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86" w:lineRule="exact"/>
        <w:rPr>
          <w:sz w:val="24"/>
          <w:szCs w:val="24"/>
          <w:color w:val="auto"/>
        </w:rPr>
      </w:pPr>
    </w:p>
    <w:p>
      <w:pPr>
        <w:ind w:left="3900" w:right="1700" w:hanging="3892"/>
        <w:spacing w:after="0" w:line="501" w:lineRule="auto"/>
        <w:tabs>
          <w:tab w:leader="none" w:pos="57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2017</w:t>
      </w:r>
    </w:p>
    <w:p>
      <w:pPr>
        <w:ind w:left="44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1-11416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CONSUMER PORTFOLIO SERVICES,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8"/>
              </w:rPr>
              <w:t>California</w:t>
            </w:r>
          </w:p>
        </w:tc>
        <w:tc>
          <w:tcPr>
            <w:tcW w:w="36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33-0459135</w:t>
            </w:r>
          </w:p>
        </w:tc>
      </w:tr>
      <w:tr>
        <w:trPr>
          <w:trHeight w:val="234"/>
        </w:trPr>
        <w:tc>
          <w:tcPr>
            <w:tcW w:w="54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3800 Howard Hughes Parkway, Suite 1400,</w:t>
            </w:r>
          </w:p>
        </w:tc>
        <w:tc>
          <w:tcPr>
            <w:tcW w:w="36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89169</w:t>
            </w:r>
          </w:p>
        </w:tc>
      </w:tr>
      <w:tr>
        <w:trPr>
          <w:trHeight w:val="216"/>
        </w:trPr>
        <w:tc>
          <w:tcPr>
            <w:tcW w:w="54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8"/>
              </w:rPr>
              <w:t>Las Vegas, Nevada</w:t>
            </w:r>
          </w:p>
        </w:tc>
        <w:tc>
          <w:tcPr>
            <w:tcW w:w="3640" w:type="dxa"/>
            <w:vAlign w:val="bottom"/>
          </w:tcPr>
          <w:p>
            <w:pPr>
              <w:spacing w:after="0"/>
              <w:rPr>
                <w:sz w:val="18"/>
                <w:szCs w:val="18"/>
                <w:color w:val="auto"/>
              </w:rPr>
            </w:pPr>
          </w:p>
        </w:tc>
      </w:tr>
      <w:tr>
        <w:trPr>
          <w:trHeight w:val="234"/>
        </w:trPr>
        <w:tc>
          <w:tcPr>
            <w:tcW w:w="54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225"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33" w:lineRule="exact"/>
        <w:rPr>
          <w:sz w:val="24"/>
          <w:szCs w:val="24"/>
          <w:color w:val="auto"/>
        </w:rPr>
      </w:pPr>
    </w:p>
    <w:p>
      <w:pPr>
        <w:jc w:val="center"/>
        <w:spacing w:after="0" w:line="207" w:lineRule="exact"/>
        <w:tabs>
          <w:tab w:leader="none" w:pos="2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51" w:lineRule="exact"/>
        <w:rPr>
          <w:sz w:val="24"/>
          <w:szCs w:val="24"/>
          <w:color w:val="auto"/>
        </w:rPr>
      </w:pPr>
    </w:p>
    <w:p>
      <w:pPr>
        <w:jc w:val="center"/>
        <w:ind w:right="-19"/>
        <w:spacing w:after="0" w:line="207" w:lineRule="exact"/>
        <w:tabs>
          <w:tab w:leader="none" w:pos="24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3" w:lineRule="exact"/>
        <w:rPr>
          <w:sz w:val="24"/>
          <w:szCs w:val="24"/>
          <w:color w:val="auto"/>
        </w:rPr>
      </w:pPr>
    </w:p>
    <w:p>
      <w:pPr>
        <w:spacing w:after="0" w:line="207" w:lineRule="exact"/>
        <w:tabs>
          <w:tab w:leader="none" w:pos="89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28, 2017 the registrant had 23,141,416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40" w:type="dxa"/>
            <w:vAlign w:val="bottom"/>
            <w:gridSpan w:val="6"/>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CONSUMER PORTFOLIO SERVICES, INC. AND SUBSIDIARIES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6"/>
          </w:tcPr>
          <w:p>
            <w:pPr>
              <w:jc w:val="center"/>
              <w:ind w:right="1160"/>
              <w:spacing w:after="0"/>
              <w:rPr>
                <w:sz w:val="20"/>
                <w:szCs w:val="20"/>
                <w:color w:val="auto"/>
              </w:rPr>
            </w:pPr>
            <w:r>
              <w:rPr>
                <w:rFonts w:ascii="Times New Roman" w:cs="Times New Roman" w:eastAsia="Times New Roman" w:hAnsi="Times New Roman"/>
                <w:sz w:val="18"/>
                <w:szCs w:val="18"/>
                <w:color w:val="auto"/>
              </w:rPr>
              <w:t>INDEX TO FORM 10-Q</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6"/>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31, 2017</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540" w:type="dxa"/>
            <w:vAlign w:val="bottom"/>
            <w:gridSpan w:val="6"/>
            <w:shd w:val="clear" w:color="auto" w:fill="EEEEEE"/>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gridSpan w:val="3"/>
            <w:shd w:val="clear" w:color="auto" w:fill="EEEEEE"/>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9300" w:type="dxa"/>
            <w:vAlign w:val="bottom"/>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rPr>
              <w:t>Financial Statements</w:t>
            </w: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620" w:type="dxa"/>
            <w:vAlign w:val="bottom"/>
            <w:tcBorders>
              <w:top w:val="single" w:sz="8" w:color="EEEEEE"/>
            </w:tcBorders>
          </w:tcPr>
          <w:p>
            <w:pPr>
              <w:spacing w:after="0"/>
              <w:rPr>
                <w:sz w:val="15"/>
                <w:szCs w:val="15"/>
                <w:color w:val="auto"/>
              </w:rPr>
            </w:pPr>
          </w:p>
        </w:tc>
        <w:tc>
          <w:tcPr>
            <w:tcW w:w="9300" w:type="dxa"/>
            <w:vAlign w:val="bottom"/>
            <w:tcBorders>
              <w:top w:val="single" w:sz="8" w:color="EEEEEE"/>
            </w:tcBorders>
            <w:gridSpan w:val="8"/>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Condensed Consolidated Balance Sheets as of March 31, 2017 and December 31, 2016</w:t>
              </w:r>
            </w:hyperlink>
          </w:p>
        </w:tc>
        <w:tc>
          <w:tcPr>
            <w:tcW w:w="600" w:type="dxa"/>
            <w:vAlign w:val="bottom"/>
            <w:tcBorders>
              <w:top w:val="single" w:sz="8" w:color="EEEEEE"/>
            </w:tcBorders>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top w:val="single" w:sz="8" w:color="EEEEEE"/>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4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620" w:type="dxa"/>
            <w:vAlign w:val="bottom"/>
            <w:tcBorders>
              <w:bottom w:val="single" w:sz="8" w:color="EEEEEE"/>
            </w:tcBorders>
            <w:shd w:val="clear" w:color="auto" w:fill="EEEEEE"/>
          </w:tcPr>
          <w:p>
            <w:pPr>
              <w:spacing w:after="0"/>
              <w:rPr>
                <w:sz w:val="17"/>
                <w:szCs w:val="17"/>
                <w:color w:val="auto"/>
              </w:rPr>
            </w:pPr>
          </w:p>
        </w:tc>
        <w:tc>
          <w:tcPr>
            <w:tcW w:w="8860" w:type="dxa"/>
            <w:vAlign w:val="bottom"/>
            <w:tcBorders>
              <w:bottom w:val="single" w:sz="8" w:color="0000EE"/>
            </w:tcBorders>
            <w:gridSpan w:val="5"/>
            <w:shd w:val="clear" w:color="auto" w:fill="EEEEEE"/>
          </w:tcPr>
          <w:p>
            <w:pPr>
              <w:spacing w:after="0" w:line="17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Condensed Consolidated Statements of Operations for the three-month periods ended March 31, 2017 and 2016</w:t>
              </w:r>
            </w:hyperlink>
          </w:p>
        </w:tc>
        <w:tc>
          <w:tcPr>
            <w:tcW w:w="440" w:type="dxa"/>
            <w:vAlign w:val="bottom"/>
            <w:tcBorders>
              <w:bottom w:val="single" w:sz="8" w:color="EEEEEE"/>
            </w:tcBorders>
            <w:gridSpan w:val="3"/>
            <w:shd w:val="clear" w:color="auto" w:fill="EEEEEE"/>
          </w:tcPr>
          <w:p>
            <w:pPr>
              <w:spacing w:after="0"/>
              <w:rPr>
                <w:sz w:val="17"/>
                <w:szCs w:val="17"/>
                <w:color w:val="auto"/>
              </w:rPr>
            </w:pPr>
          </w:p>
        </w:tc>
        <w:tc>
          <w:tcPr>
            <w:tcW w:w="600" w:type="dxa"/>
            <w:vAlign w:val="bottom"/>
            <w:tcBorders>
              <w:bottom w:val="single" w:sz="8" w:color="EEEEEE"/>
            </w:tcBorders>
            <w:gridSpan w:val="2"/>
            <w:shd w:val="clear" w:color="auto" w:fill="EEEEEE"/>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300" w:type="dxa"/>
            <w:vAlign w:val="bottom"/>
            <w:gridSpan w:val="8"/>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Comprehensive Income for the three-month periods ended March 31, 2017</w:t>
              </w:r>
            </w:hyperlink>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and 2016</w:t>
              </w:r>
            </w:hyperlink>
          </w:p>
        </w:tc>
        <w:tc>
          <w:tcPr>
            <w:tcW w:w="240" w:type="dxa"/>
            <w:vAlign w:val="bottom"/>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9300" w:type="dxa"/>
            <w:vAlign w:val="bottom"/>
            <w:gridSpan w:val="8"/>
            <w:shd w:val="clear" w:color="auto" w:fill="EEEEEE"/>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Consolidated Statements of Cash Flows for the three-month periods ended March 31, 2017 and 2016</w:t>
              </w:r>
            </w:hyperlink>
          </w:p>
        </w:tc>
        <w:tc>
          <w:tcPr>
            <w:tcW w:w="600" w:type="dxa"/>
            <w:vAlign w:val="bottom"/>
            <w:gridSpan w:val="2"/>
            <w:shd w:val="clear" w:color="auto" w:fill="EEEEEE"/>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EEEEEE"/>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620" w:type="dxa"/>
            <w:vAlign w:val="bottom"/>
            <w:tcBorders>
              <w:top w:val="single" w:sz="8" w:color="EEEEEE"/>
            </w:tcBorders>
          </w:tcPr>
          <w:p>
            <w:pPr>
              <w:spacing w:after="0"/>
              <w:rPr>
                <w:sz w:val="15"/>
                <w:szCs w:val="15"/>
                <w:color w:val="auto"/>
              </w:rPr>
            </w:pPr>
          </w:p>
        </w:tc>
        <w:tc>
          <w:tcPr>
            <w:tcW w:w="8900" w:type="dxa"/>
            <w:vAlign w:val="bottom"/>
            <w:tcBorders>
              <w:top w:val="single" w:sz="8" w:color="0000EE"/>
            </w:tcBorders>
            <w:gridSpan w:val="6"/>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Unaudited Condensed Consolidated Financial Statements</w:t>
              </w:r>
            </w:hyperlink>
          </w:p>
        </w:tc>
        <w:tc>
          <w:tcPr>
            <w:tcW w:w="400" w:type="dxa"/>
            <w:vAlign w:val="bottom"/>
            <w:tcBorders>
              <w:top w:val="single" w:sz="8" w:color="EEEEEE"/>
            </w:tcBorders>
            <w:gridSpan w:val="2"/>
          </w:tcPr>
          <w:p>
            <w:pPr>
              <w:spacing w:after="0"/>
              <w:rPr>
                <w:sz w:val="15"/>
                <w:szCs w:val="15"/>
                <w:color w:val="auto"/>
              </w:rPr>
            </w:pPr>
          </w:p>
        </w:tc>
        <w:tc>
          <w:tcPr>
            <w:tcW w:w="600" w:type="dxa"/>
            <w:vAlign w:val="bottom"/>
            <w:tcBorders>
              <w:top w:val="single" w:sz="8" w:color="EEEEEE"/>
            </w:tcBorders>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top w:val="single" w:sz="8" w:color="EEEEEE"/>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40" w:type="dxa"/>
            <w:vAlign w:val="bottom"/>
            <w:tcBorders>
              <w:top w:val="single" w:sz="8" w:color="0000EE"/>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EEEEEE"/>
          </w:tcPr>
          <w:p>
            <w:pPr>
              <w:spacing w:after="0" w:line="176" w:lineRule="exact"/>
              <w:rPr>
                <w:rFonts w:ascii="Times New Roman" w:cs="Times New Roman" w:eastAsia="Times New Roman" w:hAnsi="Times New Roman"/>
                <w:sz w:val="18"/>
                <w:szCs w:val="18"/>
                <w:color w:val="0000EE"/>
                <w:w w:val="94"/>
              </w:rPr>
            </w:pPr>
            <w:hyperlink w:anchor="page17">
              <w:r>
                <w:rPr>
                  <w:rFonts w:ascii="Times New Roman" w:cs="Times New Roman" w:eastAsia="Times New Roman" w:hAnsi="Times New Roman"/>
                  <w:sz w:val="18"/>
                  <w:szCs w:val="18"/>
                  <w:color w:val="0000EE"/>
                  <w:w w:val="94"/>
                </w:rPr>
                <w:t>Item 2.</w:t>
              </w:r>
            </w:hyperlink>
          </w:p>
        </w:tc>
        <w:tc>
          <w:tcPr>
            <w:tcW w:w="740" w:type="dxa"/>
            <w:vAlign w:val="bottom"/>
            <w:tcBorders>
              <w:bottom w:val="single" w:sz="8" w:color="EEEEEE"/>
            </w:tcBorders>
            <w:gridSpan w:val="2"/>
            <w:shd w:val="clear" w:color="auto" w:fill="EEEEEE"/>
          </w:tcPr>
          <w:p>
            <w:pPr>
              <w:spacing w:after="0"/>
              <w:rPr>
                <w:sz w:val="17"/>
                <w:szCs w:val="17"/>
                <w:color w:val="auto"/>
              </w:rPr>
            </w:pPr>
          </w:p>
        </w:tc>
        <w:tc>
          <w:tcPr>
            <w:tcW w:w="9300" w:type="dxa"/>
            <w:vAlign w:val="bottom"/>
            <w:tcBorders>
              <w:bottom w:val="single" w:sz="8" w:color="EEEEEE"/>
            </w:tcBorders>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00" w:type="dxa"/>
            <w:vAlign w:val="bottom"/>
            <w:tcBorders>
              <w:bottom w:val="single" w:sz="8" w:color="EEEEEE"/>
            </w:tcBorders>
            <w:gridSpan w:val="2"/>
            <w:shd w:val="clear" w:color="auto" w:fill="EEEEEE"/>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26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gridSpan w:val="3"/>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4.</w:t>
              </w:r>
            </w:hyperlink>
          </w:p>
        </w:tc>
        <w:tc>
          <w:tcPr>
            <w:tcW w:w="93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Controls and Procedures</w:t>
            </w:r>
          </w:p>
        </w:tc>
        <w:tc>
          <w:tcPr>
            <w:tcW w:w="60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4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540" w:type="dxa"/>
            <w:vAlign w:val="bottom"/>
            <w:gridSpan w:val="6"/>
            <w:shd w:val="clear" w:color="auto" w:fill="EEEEEE"/>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EEEEEE"/>
          </w:tcPr>
          <w:p>
            <w:pPr>
              <w:spacing w:after="0" w:line="176" w:lineRule="exact"/>
              <w:rPr>
                <w:rFonts w:ascii="Times New Roman" w:cs="Times New Roman" w:eastAsia="Times New Roman" w:hAnsi="Times New Roman"/>
                <w:sz w:val="18"/>
                <w:szCs w:val="18"/>
                <w:color w:val="0000EE"/>
                <w:w w:val="94"/>
              </w:rPr>
            </w:pPr>
            <w:hyperlink w:anchor="page29">
              <w:r>
                <w:rPr>
                  <w:rFonts w:ascii="Times New Roman" w:cs="Times New Roman" w:eastAsia="Times New Roman" w:hAnsi="Times New Roman"/>
                  <w:sz w:val="18"/>
                  <w:szCs w:val="18"/>
                  <w:color w:val="0000EE"/>
                  <w:w w:val="94"/>
                </w:rPr>
                <w:t>Item 1.</w:t>
              </w:r>
            </w:hyperlink>
          </w:p>
        </w:tc>
        <w:tc>
          <w:tcPr>
            <w:tcW w:w="740" w:type="dxa"/>
            <w:vAlign w:val="bottom"/>
            <w:tcBorders>
              <w:bottom w:val="single" w:sz="8" w:color="EEEEEE"/>
            </w:tcBorders>
            <w:gridSpan w:val="2"/>
            <w:shd w:val="clear" w:color="auto" w:fill="EEEEEE"/>
          </w:tcPr>
          <w:p>
            <w:pPr>
              <w:spacing w:after="0"/>
              <w:rPr>
                <w:sz w:val="17"/>
                <w:szCs w:val="17"/>
                <w:color w:val="auto"/>
              </w:rPr>
            </w:pPr>
          </w:p>
        </w:tc>
        <w:tc>
          <w:tcPr>
            <w:tcW w:w="9300" w:type="dxa"/>
            <w:vAlign w:val="bottom"/>
            <w:tcBorders>
              <w:bottom w:val="single" w:sz="8" w:color="EEEEEE"/>
            </w:tcBorders>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rPr>
              <w:t>Legal Proceedings</w:t>
            </w:r>
          </w:p>
        </w:tc>
        <w:tc>
          <w:tcPr>
            <w:tcW w:w="600" w:type="dxa"/>
            <w:vAlign w:val="bottom"/>
            <w:tcBorders>
              <w:bottom w:val="single" w:sz="8" w:color="EEEEEE"/>
            </w:tcBorders>
            <w:gridSpan w:val="2"/>
            <w:shd w:val="clear" w:color="auto" w:fill="EEEEEE"/>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26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gridSpan w:val="3"/>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1A.</w:t>
              </w:r>
            </w:hyperlink>
          </w:p>
        </w:tc>
        <w:tc>
          <w:tcPr>
            <w:tcW w:w="93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Risk Factors</w:t>
            </w:r>
          </w:p>
        </w:tc>
        <w:tc>
          <w:tcPr>
            <w:tcW w:w="60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EEEEEE"/>
          </w:tcPr>
          <w:p>
            <w:pPr>
              <w:spacing w:after="0" w:line="176" w:lineRule="exact"/>
              <w:rPr>
                <w:rFonts w:ascii="Times New Roman" w:cs="Times New Roman" w:eastAsia="Times New Roman" w:hAnsi="Times New Roman"/>
                <w:sz w:val="18"/>
                <w:szCs w:val="18"/>
                <w:color w:val="0000EE"/>
                <w:w w:val="94"/>
              </w:rPr>
            </w:pPr>
            <w:hyperlink w:anchor="page30">
              <w:r>
                <w:rPr>
                  <w:rFonts w:ascii="Times New Roman" w:cs="Times New Roman" w:eastAsia="Times New Roman" w:hAnsi="Times New Roman"/>
                  <w:sz w:val="18"/>
                  <w:szCs w:val="18"/>
                  <w:color w:val="0000EE"/>
                  <w:w w:val="94"/>
                </w:rPr>
                <w:t>Item 2.</w:t>
              </w:r>
            </w:hyperlink>
          </w:p>
        </w:tc>
        <w:tc>
          <w:tcPr>
            <w:tcW w:w="740" w:type="dxa"/>
            <w:vAlign w:val="bottom"/>
            <w:tcBorders>
              <w:bottom w:val="single" w:sz="8" w:color="EEEEEE"/>
            </w:tcBorders>
            <w:gridSpan w:val="2"/>
            <w:shd w:val="clear" w:color="auto" w:fill="EEEEEE"/>
          </w:tcPr>
          <w:p>
            <w:pPr>
              <w:spacing w:after="0"/>
              <w:rPr>
                <w:sz w:val="17"/>
                <w:szCs w:val="17"/>
                <w:color w:val="auto"/>
              </w:rPr>
            </w:pPr>
          </w:p>
        </w:tc>
        <w:tc>
          <w:tcPr>
            <w:tcW w:w="9300" w:type="dxa"/>
            <w:vAlign w:val="bottom"/>
            <w:tcBorders>
              <w:bottom w:val="single" w:sz="8" w:color="EEEEEE"/>
            </w:tcBorders>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600" w:type="dxa"/>
            <w:vAlign w:val="bottom"/>
            <w:tcBorders>
              <w:bottom w:val="single" w:sz="8" w:color="EEEEEE"/>
            </w:tcBorders>
            <w:gridSpan w:val="2"/>
            <w:shd w:val="clear" w:color="auto" w:fill="EEEEEE"/>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26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gridSpan w:val="3"/>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6.</w:t>
              </w:r>
            </w:hyperlink>
          </w:p>
        </w:tc>
        <w:tc>
          <w:tcPr>
            <w:tcW w:w="93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Exhibits</w:t>
            </w:r>
          </w:p>
        </w:tc>
        <w:tc>
          <w:tcPr>
            <w:tcW w:w="60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9300" w:type="dxa"/>
            <w:vAlign w:val="bottom"/>
            <w:gridSpan w:val="8"/>
            <w:shd w:val="clear" w:color="auto" w:fill="EEEEEE"/>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Signatures</w:t>
              </w:r>
            </w:hyperlink>
          </w:p>
        </w:tc>
        <w:tc>
          <w:tcPr>
            <w:tcW w:w="600" w:type="dxa"/>
            <w:vAlign w:val="bottom"/>
            <w:gridSpan w:val="2"/>
            <w:shd w:val="clear" w:color="auto" w:fill="EEEEEE"/>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26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6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40" w:type="dxa"/>
            <w:vAlign w:val="bottom"/>
            <w:tcBorders>
              <w:top w:val="single" w:sz="8" w:color="EEEEEE"/>
            </w:tcBorders>
            <w:shd w:val="clear" w:color="auto" w:fill="EEEEEE"/>
          </w:tcPr>
          <w:p>
            <w:pPr>
              <w:spacing w:after="0" w:line="20" w:lineRule="exact"/>
              <w:rPr>
                <w:sz w:val="1"/>
                <w:szCs w:val="1"/>
                <w:color w:val="auto"/>
              </w:rPr>
            </w:pPr>
          </w:p>
        </w:tc>
        <w:tc>
          <w:tcPr>
            <w:tcW w:w="228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129,197</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112,754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2,286,172</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2,267,943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finance credit losses</w:t>
            </w:r>
          </w:p>
        </w:tc>
        <w:tc>
          <w:tcPr>
            <w:tcW w:w="1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(99,255)</w:t>
            </w:r>
          </w:p>
        </w:tc>
        <w:tc>
          <w:tcPr>
            <w:tcW w:w="1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8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2,186,917</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2,172,365</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43,039</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31,881</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36,233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25,952</w:t>
            </w: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2,430,983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2,410,402</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23,720</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24,977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120,286</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2,082,040</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2,080,900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15,272</w:t>
            </w: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2,241,318</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2,224,184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$1 par value; authorized 4,998,130 shares; none issued</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75,000,000 shares; 23,279,316 and 23,587,126 shares issued and</w:t>
            </w: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outstanding at March 31, 2017 and December 31, 2016, respectively</w:t>
            </w:r>
          </w:p>
        </w:tc>
        <w:tc>
          <w:tcPr>
            <w:tcW w:w="18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76,095</w:t>
            </w:r>
          </w:p>
        </w:tc>
        <w:tc>
          <w:tcPr>
            <w:tcW w:w="12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77,128</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120,252</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(6,682)</w:t>
            </w:r>
          </w:p>
        </w:tc>
        <w:tc>
          <w:tcPr>
            <w:tcW w:w="12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(6,682)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189,665</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2,430,983</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 w:name="page4"/>
    <w:bookmarkEnd w:id="3"/>
    <w:p>
      <w:pPr>
        <w:jc w:val="center"/>
        <w:ind w:left="260" w:right="2440"/>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OPERATIONS (In thousands, except per share data)</w:t>
      </w:r>
    </w:p>
    <w:p>
      <w:pPr>
        <w:spacing w:after="0" w:line="171"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14605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20" w:type="dxa"/>
            <w:vAlign w:val="bottom"/>
            <w:tcBorders>
              <w:bottom w:val="single" w:sz="8" w:color="EEEEE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bottom w:val="single" w:sz="8" w:color="EEEEE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104,575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3,023</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107,598</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100,649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costs</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17,780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6,922</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22,088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47,167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Marketing</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3,960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1,661</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228</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99,806</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88,420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3,312</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5,015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3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EEEEEE"/>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23,517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25,296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28,223</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30,154</w:t>
            </w: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 w:name="page5"/>
    <w:bookmarkEnd w:id="4"/>
    <w:p>
      <w:pPr>
        <w:jc w:val="center"/>
        <w:ind w:left="260" w:right="1820"/>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COMPREHENSIVE INCOME (In thousands)</w:t>
      </w:r>
    </w:p>
    <w:p>
      <w:pPr>
        <w:spacing w:after="0" w:line="385"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14605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EEEEEE"/>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4,480</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7,214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comprehensive income/(loss);change in funded status of pension plan</w:t>
            </w:r>
          </w:p>
        </w:tc>
        <w:tc>
          <w:tcPr>
            <w:tcW w:w="92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CASH FLOWS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4,480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Accretion of deferred acquisition fees and origination costs</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Amortization of discount on securitization trust debt</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2,159</w:t>
            </w:r>
          </w:p>
        </w:tc>
        <w:tc>
          <w:tcPr>
            <w:tcW w:w="3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47,167</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1,394</w:t>
            </w:r>
          </w:p>
        </w:tc>
        <w:tc>
          <w:tcPr>
            <w:tcW w:w="3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4,352</w:t>
            </w:r>
          </w:p>
        </w:tc>
        <w:tc>
          <w:tcPr>
            <w:tcW w:w="3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assets, net</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3,936</w:t>
            </w:r>
          </w:p>
        </w:tc>
        <w:tc>
          <w:tcPr>
            <w:tcW w:w="3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(1,257)</w:t>
            </w:r>
          </w:p>
        </w:tc>
        <w:tc>
          <w:tcPr>
            <w:tcW w:w="3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EEEEEE"/>
            </w:tcBorders>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62,192</w:t>
            </w:r>
          </w:p>
        </w:tc>
        <w:tc>
          <w:tcPr>
            <w:tcW w:w="3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60,526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finance receivables held for investment</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(229,642)</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167,996</w:t>
            </w:r>
          </w:p>
        </w:tc>
        <w:tc>
          <w:tcPr>
            <w:tcW w:w="3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160,470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received on receivables portfolio at fair value</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Change in repossessions held in inventory</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360</w:t>
            </w:r>
          </w:p>
        </w:tc>
        <w:tc>
          <w:tcPr>
            <w:tcW w:w="3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restricted cash and cash equivalents, net</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(16,443)</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36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EEEEEE"/>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(77,862</w:t>
            </w:r>
          </w:p>
        </w:tc>
        <w:tc>
          <w:tcPr>
            <w:tcW w:w="340" w:type="dxa"/>
            <w:vAlign w:val="bottom"/>
            <w:tcBorders>
              <w:bottom w:val="single" w:sz="8" w:color="EEEEEE"/>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(170,828</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206,320</w:t>
            </w:r>
          </w:p>
        </w:tc>
        <w:tc>
          <w:tcPr>
            <w:tcW w:w="3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329,460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861</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(538)</w:t>
            </w:r>
          </w:p>
        </w:tc>
        <w:tc>
          <w:tcPr>
            <w:tcW w:w="3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advances of warehouse lines of credit</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16,482</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Repayments of residual interest financing debt</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(205,321)</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(1,572)</w:t>
            </w:r>
          </w:p>
        </w:tc>
        <w:tc>
          <w:tcPr>
            <w:tcW w:w="3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(2,900)</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473</w:t>
            </w:r>
          </w:p>
        </w:tc>
        <w:tc>
          <w:tcPr>
            <w:tcW w:w="36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EEEEEE"/>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13,805</w:t>
            </w:r>
          </w:p>
        </w:tc>
        <w:tc>
          <w:tcPr>
            <w:tcW w:w="3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107,171</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13,936</w:t>
            </w:r>
          </w:p>
        </w:tc>
        <w:tc>
          <w:tcPr>
            <w:tcW w:w="3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top w:val="single" w:sz="8" w:color="auto"/>
              <w:bottom w:val="single" w:sz="8" w:color="auto"/>
            </w:tcBorders>
            <w:shd w:val="clear" w:color="auto" w:fill="EEEEEE"/>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EEEEEE"/>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19,697</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15,518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 month period ended March 31, 2017 are not necessarily indicative of the operating results to be expected for the full year.</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 for the three-month periods ending March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620" w:type="dxa"/>
            <w:vAlign w:val="bottom"/>
            <w:gridSpan w:val="4"/>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Direct mail revenues</w:t>
            </w:r>
          </w:p>
        </w:tc>
        <w:tc>
          <w:tcPr>
            <w:tcW w:w="4620" w:type="dxa"/>
            <w:vAlign w:val="bottom"/>
            <w:gridSpan w:val="2"/>
            <w:shd w:val="clear" w:color="auto" w:fill="EEEEEE"/>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1,999</w:t>
            </w: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Convenience fee revenue</w:t>
            </w:r>
          </w:p>
        </w:tc>
        <w:tc>
          <w:tcPr>
            <w:tcW w:w="3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570</w:t>
            </w:r>
          </w:p>
        </w:tc>
        <w:tc>
          <w:tcPr>
            <w:tcW w:w="9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4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Recoveries on previously charged-off contracts</w:t>
            </w:r>
          </w:p>
        </w:tc>
        <w:tc>
          <w:tcPr>
            <w:tcW w:w="37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186</w:t>
            </w:r>
          </w:p>
        </w:tc>
        <w:tc>
          <w:tcPr>
            <w:tcW w:w="9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Sales tax refunds</w:t>
            </w:r>
          </w:p>
        </w:tc>
        <w:tc>
          <w:tcPr>
            <w:tcW w:w="3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196</w:t>
            </w:r>
          </w:p>
        </w:tc>
        <w:tc>
          <w:tcPr>
            <w:tcW w:w="9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4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3700" w:type="dxa"/>
            <w:vAlign w:val="bottom"/>
            <w:shd w:val="clear" w:color="auto" w:fill="EEEEEE"/>
          </w:tcPr>
          <w:p>
            <w:pPr>
              <w:spacing w:after="0"/>
              <w:rPr>
                <w:sz w:val="19"/>
                <w:szCs w:val="19"/>
                <w:color w:val="auto"/>
              </w:rPr>
            </w:pPr>
          </w:p>
        </w:tc>
        <w:tc>
          <w:tcPr>
            <w:tcW w:w="92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37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700" w:type="dxa"/>
            <w:vAlign w:val="bottom"/>
            <w:vMerge w:val="restart"/>
          </w:tcPr>
          <w:p>
            <w:pPr>
              <w:jc w:val="right"/>
              <w:ind w:right="239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amendment to and partial repayment of our residual interest financing in July 2008, we issued warrants exercisable for 2,500,000 common shares for $4,071,429. The warrants represent the right to purchase 2,500,000 CPS common shares at a nominal exercise price, at any time prior to July 10, 2018. In March 2010 we repurchased warrants for 500,000 of these shares for $1.0 million. Warrants to purchase 2,000,000 shares remain outstanding as of March 31,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2017 and 2016, we recorded stock-based compensation costs in the amount of $1.4 million and $1.2 million, respectively. As of March 31, 2017, unrecognized stock-based compensation costs to be recognized over future periods equaled $8.6 million. This amount will be recognized as expense over a weighted-average period of 1.9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stock option activity for the three months ended March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(in</w:t>
            </w:r>
          </w:p>
        </w:tc>
        <w:tc>
          <w:tcPr>
            <w:tcW w:w="140" w:type="dxa"/>
            <w:vAlign w:val="bottom"/>
          </w:tcPr>
          <w:p>
            <w:pPr>
              <w:spacing w:after="0"/>
              <w:rPr>
                <w:sz w:val="18"/>
                <w:szCs w:val="18"/>
                <w:color w:val="auto"/>
              </w:rPr>
            </w:pPr>
          </w:p>
        </w:tc>
        <w:tc>
          <w:tcPr>
            <w:tcW w:w="1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38"/>
        </w:trPr>
        <w:tc>
          <w:tcPr>
            <w:tcW w:w="65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0" w:type="dxa"/>
            <w:vAlign w:val="bottom"/>
          </w:tcPr>
          <w:p>
            <w:pPr>
              <w:spacing w:after="0"/>
              <w:rPr>
                <w:sz w:val="1"/>
                <w:szCs w:val="1"/>
                <w:color w:val="auto"/>
              </w:rPr>
            </w:pPr>
          </w:p>
        </w:tc>
      </w:tr>
      <w:tr>
        <w:trPr>
          <w:trHeight w:val="210"/>
        </w:trPr>
        <w:tc>
          <w:tcPr>
            <w:tcW w:w="65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65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3"/>
        </w:trPr>
        <w:tc>
          <w:tcPr>
            <w:tcW w:w="65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200" w:type="dxa"/>
            <w:vAlign w:val="bottom"/>
            <w:tcBorders>
              <w:top w:val="single" w:sz="8" w:color="EEEEEE"/>
            </w:tcBorders>
            <w:shd w:val="clear" w:color="auto" w:fill="EEEEEE"/>
          </w:tcPr>
          <w:p>
            <w:pPr>
              <w:spacing w:after="0"/>
              <w:rPr>
                <w:sz w:val="19"/>
                <w:szCs w:val="19"/>
                <w:color w:val="auto"/>
              </w:rPr>
            </w:pPr>
          </w:p>
        </w:tc>
        <w:tc>
          <w:tcPr>
            <w:tcW w:w="360" w:type="dxa"/>
            <w:vAlign w:val="bottom"/>
            <w:tcBorders>
              <w:top w:val="single" w:sz="8" w:color="EEEEEE"/>
            </w:tcBorders>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EEEEEE"/>
            </w:tcBorders>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top w:val="single" w:sz="8" w:color="auto"/>
            </w:tcBorders>
            <w:shd w:val="clear" w:color="auto" w:fill="EEEEEE"/>
          </w:tcPr>
          <w:p>
            <w:pPr>
              <w:spacing w:after="0"/>
              <w:rPr>
                <w:sz w:val="19"/>
                <w:szCs w:val="19"/>
                <w:color w:val="auto"/>
              </w:rPr>
            </w:pPr>
          </w:p>
        </w:tc>
        <w:tc>
          <w:tcPr>
            <w:tcW w:w="1360" w:type="dxa"/>
            <w:vAlign w:val="bottom"/>
            <w:tcBorders>
              <w:top w:val="single" w:sz="8" w:color="EEEEEE"/>
            </w:tcBorders>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4.87 years</w:t>
            </w:r>
          </w:p>
        </w:tc>
        <w:tc>
          <w:tcPr>
            <w:tcW w:w="0" w:type="dxa"/>
            <w:vAlign w:val="bottom"/>
          </w:tcPr>
          <w:p>
            <w:pPr>
              <w:spacing w:after="0"/>
              <w:rPr>
                <w:sz w:val="1"/>
                <w:szCs w:val="1"/>
                <w:color w:val="auto"/>
              </w:rPr>
            </w:pPr>
          </w:p>
        </w:tc>
      </w:tr>
      <w:tr>
        <w:trPr>
          <w:trHeight w:val="20"/>
        </w:trPr>
        <w:tc>
          <w:tcPr>
            <w:tcW w:w="6520" w:type="dxa"/>
            <w:vAlign w:val="bottom"/>
            <w:tcBorders>
              <w:top w:val="single" w:sz="8" w:color="EEEEEE"/>
              <w:bottom w:val="single" w:sz="8" w:color="EEEEEE"/>
            </w:tcBorders>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bottom w:val="single" w:sz="8" w:color="EEEEEE"/>
            </w:tcBorders>
            <w:vMerge w:val="restart"/>
          </w:tcPr>
          <w:p>
            <w:pPr>
              <w:spacing w:after="0" w:line="20" w:lineRule="exact"/>
              <w:rPr>
                <w:sz w:val="1"/>
                <w:szCs w:val="1"/>
                <w:color w:val="auto"/>
              </w:rPr>
            </w:pPr>
          </w:p>
        </w:tc>
        <w:tc>
          <w:tcPr>
            <w:tcW w:w="140" w:type="dxa"/>
            <w:vAlign w:val="bottom"/>
            <w:tcBorders>
              <w:top w:val="single" w:sz="8" w:color="EEEEEE"/>
              <w:bottom w:val="single" w:sz="8" w:color="EEEEEE"/>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bottom w:val="single" w:sz="8" w:color="EEEEEE"/>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7,327</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34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4.44 years</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2017, the aggregate intrinsic value of options outstanding and exercisable was $14.5 million and $11.7 million, respectively. There were 279,000 options exercised for the three months ended March 31, 2017 compared to 14,000 for the comparable period in 2016. The total intrinsic value of options exercised was $913,000 and $51,000 for the three-month periods ended March 31, 2017 and 2016. There were 3.7 million shares available for future stock option grants under existing plans as of March 31,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Company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three-month period ended March 31, 2017, we purchased 586,810 shares of our common stock, at an average price of $4.94. We purchased 561,617 shares of our stock in the open market at an average price of $4.94. The remaining purchases of 25,193 shares were related to net exercises of outstanding options and warrants. In transactions during the three-month period ended March 31, 2017, the holders of options and warrants to purchase 45,000 shares of our common stock paid the aggregate $127,000 exercise price by surrender to us of 25,193 of such 45,000 shares.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three-month period ended March 31, 2016, we purchased 703,745 shares of our stock in the open market at an average price of $4.19.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prior year net income or total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2017,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Contingent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recorded a liability as of March 31, 2017, which represents our best estimate of probable incurred losses for legal contingencies. The amount of losses that may ultimately be incurred cannot be estimated with certainty.</w:t>
      </w:r>
    </w:p>
    <w:p>
      <w:pPr>
        <w:spacing w:after="0" w:line="15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Finance Receivables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Finance Receivables, net of unearned interest:</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8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Automobile finance receivables, net of unearned interest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2,283,734</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2,266,619</w:t>
            </w:r>
          </w:p>
        </w:tc>
        <w:tc>
          <w:tcPr>
            <w:tcW w:w="80" w:type="dxa"/>
            <w:vAlign w:val="bottom"/>
          </w:tcPr>
          <w:p>
            <w:pPr>
              <w:spacing w:after="0"/>
              <w:rPr>
                <w:sz w:val="18"/>
                <w:szCs w:val="18"/>
                <w:color w:val="auto"/>
              </w:rPr>
            </w:pPr>
          </w:p>
        </w:tc>
      </w:tr>
      <w:tr>
        <w:trPr>
          <w:trHeight w:val="230"/>
        </w:trPr>
        <w:tc>
          <w:tcPr>
            <w:tcW w:w="8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Unearned acquisition fees and originations costs</w:t>
            </w:r>
          </w:p>
        </w:tc>
        <w:tc>
          <w:tcPr>
            <w:tcW w:w="1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shd w:val="clear" w:color="auto" w:fill="EEEEEE"/>
          </w:tcPr>
          <w:p>
            <w:pPr>
              <w:spacing w:after="0"/>
              <w:rPr>
                <w:sz w:val="19"/>
                <w:szCs w:val="19"/>
                <w:color w:val="auto"/>
              </w:rPr>
            </w:pPr>
          </w:p>
        </w:tc>
      </w:tr>
      <w:tr>
        <w:trPr>
          <w:trHeight w:val="22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receivables</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2,286,172</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2,267,943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March 31, 2017 and December 31,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9"/>
                <w:szCs w:val="19"/>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82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Deliquency Status</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2,095,202</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2,053,759</w:t>
            </w:r>
          </w:p>
        </w:tc>
        <w:tc>
          <w:tcPr>
            <w:tcW w:w="80" w:type="dxa"/>
            <w:vAlign w:val="bottom"/>
          </w:tcPr>
          <w:p>
            <w:pPr>
              <w:spacing w:after="0"/>
              <w:rPr>
                <w:sz w:val="18"/>
                <w:szCs w:val="18"/>
                <w:color w:val="auto"/>
              </w:rPr>
            </w:pPr>
          </w:p>
        </w:tc>
      </w:tr>
      <w:tr>
        <w:trPr>
          <w:trHeight w:val="216"/>
        </w:trPr>
        <w:tc>
          <w:tcPr>
            <w:tcW w:w="4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109,652</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116,073</w:t>
            </w:r>
          </w:p>
        </w:tc>
        <w:tc>
          <w:tcPr>
            <w:tcW w:w="80" w:type="dxa"/>
            <w:vAlign w:val="bottom"/>
            <w:shd w:val="clear" w:color="auto" w:fill="EEEEEE"/>
          </w:tcPr>
          <w:p>
            <w:pPr>
              <w:spacing w:after="0"/>
              <w:rPr>
                <w:sz w:val="18"/>
                <w:szCs w:val="18"/>
                <w:color w:val="auto"/>
              </w:rPr>
            </w:pPr>
          </w:p>
        </w:tc>
      </w:tr>
      <w:tr>
        <w:trPr>
          <w:trHeight w:val="216"/>
        </w:trPr>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45,377</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52,404</w:t>
            </w:r>
          </w:p>
        </w:tc>
        <w:tc>
          <w:tcPr>
            <w:tcW w:w="80" w:type="dxa"/>
            <w:vAlign w:val="bottom"/>
          </w:tcPr>
          <w:p>
            <w:pPr>
              <w:spacing w:after="0"/>
              <w:rPr>
                <w:sz w:val="18"/>
                <w:szCs w:val="18"/>
                <w:color w:val="auto"/>
              </w:rPr>
            </w:pPr>
          </w:p>
        </w:tc>
      </w:tr>
      <w:tr>
        <w:trPr>
          <w:trHeight w:val="230"/>
        </w:trPr>
        <w:tc>
          <w:tcPr>
            <w:tcW w:w="4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91</w:t>
            </w:r>
          </w:p>
        </w:tc>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1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33,503</w:t>
            </w:r>
          </w:p>
        </w:tc>
        <w:tc>
          <w:tcPr>
            <w:tcW w:w="1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44,383</w:t>
            </w:r>
          </w:p>
        </w:tc>
        <w:tc>
          <w:tcPr>
            <w:tcW w:w="80" w:type="dxa"/>
            <w:vAlign w:val="bottom"/>
            <w:shd w:val="clear" w:color="auto" w:fill="EEEEEE"/>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2,283,734</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2,266,619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Finance receivables totaling $33.5 million and $44.4 million at March 31, 2017 and December 31, 2016, respectively, including all receivables greater than 90 days delinquent, have been placed on non-accrual status as a result of their delinquency status.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credit losses is charged to our consolidated statement of operations. Net losses incurred on finance receivables are charged to the allowance. We establish the allowance for new receivables over the 12-month period following their acquisition.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activity for the allowance for finance credit losses for the three-month periods ended March 31, 2017 and 2016:</w:t>
      </w:r>
    </w:p>
    <w:p>
      <w:pPr>
        <w:sectPr>
          <w:pgSz w:w="11900" w:h="16838" w:orient="portrait"/>
          <w:cols w:equalWidth="0" w:num="1">
            <w:col w:w="11420"/>
          </w:cols>
          <w:pgMar w:left="240" w:top="6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credit losses on finance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Recoveries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19"/>
                <w:szCs w:val="19"/>
                <w:color w:val="auto"/>
              </w:rPr>
            </w:pPr>
          </w:p>
        </w:tc>
      </w:tr>
      <w:tr>
        <w:trPr>
          <w:trHeight w:val="191"/>
        </w:trPr>
        <w:tc>
          <w:tcPr>
            <w:tcW w:w="300" w:type="dxa"/>
            <w:vAlign w:val="bottom"/>
          </w:tcPr>
          <w:p>
            <w:pPr>
              <w:spacing w:after="0"/>
              <w:rPr>
                <w:sz w:val="16"/>
                <w:szCs w:val="16"/>
                <w:color w:val="auto"/>
              </w:rPr>
            </w:pPr>
          </w:p>
        </w:tc>
        <w:tc>
          <w:tcPr>
            <w:tcW w:w="186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95,578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75,603</w:t>
            </w:r>
          </w:p>
        </w:tc>
        <w:tc>
          <w:tcPr>
            <w:tcW w:w="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47,167</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44,197</w:t>
            </w:r>
          </w:p>
        </w:tc>
        <w:tc>
          <w:tcPr>
            <w:tcW w:w="60" w:type="dxa"/>
            <w:vAlign w:val="bottom"/>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(50,299)</w:t>
            </w: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(45,933)</w:t>
            </w:r>
          </w:p>
        </w:tc>
      </w:tr>
      <w:tr>
        <w:trPr>
          <w:trHeight w:val="234"/>
        </w:trPr>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6,809</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tcPr>
          <w:p>
            <w:pPr>
              <w:spacing w:after="0"/>
              <w:rPr>
                <w:sz w:val="20"/>
                <w:szCs w:val="20"/>
                <w:color w:val="auto"/>
              </w:rPr>
            </w:pPr>
          </w:p>
        </w:tc>
      </w:tr>
      <w:tr>
        <w:trPr>
          <w:trHeight w:val="223"/>
        </w:trPr>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99,255</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79,867</w:t>
            </w:r>
          </w:p>
        </w:tc>
        <w:tc>
          <w:tcPr>
            <w:tcW w:w="60" w:type="dxa"/>
            <w:vAlign w:val="bottom"/>
          </w:tcPr>
          <w:p>
            <w:pPr>
              <w:spacing w:after="0"/>
              <w:rPr>
                <w:sz w:val="19"/>
                <w:szCs w:val="19"/>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520" w:space="720"/>
            <w:col w:w="3180"/>
          </w:cols>
          <w:pgMar w:left="240" w:top="684" w:right="2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ectPr>
          <w:pgSz w:w="11900" w:h="16838" w:orient="portrait"/>
          <w:cols w:equalWidth="0" w:num="1">
            <w:col w:w="11420"/>
          </w:cols>
          <w:pgMar w:left="240" w:top="68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balance of repossessions in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losses on repossessed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repossessed inventory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5"/>
        </w:trPr>
        <w:tc>
          <w:tcPr>
            <w:tcW w:w="13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19"/>
                <w:szCs w:val="19"/>
                <w:color w:val="auto"/>
              </w:rPr>
            </w:pPr>
          </w:p>
        </w:tc>
        <w:tc>
          <w:tcPr>
            <w:tcW w:w="13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spacing w:after="0"/>
        <w:tabs>
          <w:tab w:leader="none" w:pos="860" w:val="left"/>
          <w:tab w:leader="none" w:pos="1700" w:val="left"/>
          <w:tab w:leader="none" w:pos="2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37,650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40,069</w:t>
      </w:r>
    </w:p>
    <w:p>
      <w:pPr>
        <w:spacing w:after="0" w:line="9" w:lineRule="exact"/>
        <w:rPr>
          <w:sz w:val="20"/>
          <w:szCs w:val="20"/>
          <w:color w:val="auto"/>
        </w:rPr>
      </w:pPr>
    </w:p>
    <w:p>
      <w:pPr>
        <w:jc w:val="right"/>
        <w:ind w:right="40"/>
        <w:spacing w:after="0"/>
        <w:tabs>
          <w:tab w:leader="none" w:pos="600" w:val="left"/>
        </w:tabs>
        <w:rPr>
          <w:sz w:val="20"/>
          <w:szCs w:val="20"/>
          <w:color w:val="auto"/>
        </w:rPr>
      </w:pPr>
      <w:r>
        <w:rPr>
          <w:rFonts w:ascii="Times New Roman" w:cs="Times New Roman" w:eastAsia="Times New Roman" w:hAnsi="Times New Roman"/>
          <w:sz w:val="18"/>
          <w:szCs w:val="18"/>
          <w:color w:val="auto"/>
        </w:rPr>
        <w:t>(26,865)</w:t>
      </w:r>
      <w:r>
        <w:rPr>
          <w:sz w:val="20"/>
          <w:szCs w:val="20"/>
          <w:color w:val="auto"/>
        </w:rPr>
        <w:tab/>
      </w:r>
      <w:r>
        <w:rPr>
          <w:rFonts w:ascii="Times New Roman" w:cs="Times New Roman" w:eastAsia="Times New Roman" w:hAnsi="Times New Roman"/>
          <w:sz w:val="18"/>
          <w:szCs w:val="18"/>
          <w:color w:val="auto"/>
        </w:rPr>
        <w:t>(28,924)</w:t>
      </w:r>
    </w:p>
    <w:p>
      <w:pPr>
        <w:spacing w:after="0" w:line="31" w:lineRule="exact"/>
        <w:rPr>
          <w:sz w:val="20"/>
          <w:szCs w:val="20"/>
          <w:color w:val="auto"/>
        </w:rPr>
      </w:pPr>
    </w:p>
    <w:p>
      <w:pPr>
        <w:spacing w:after="0"/>
        <w:tabs>
          <w:tab w:leader="none" w:pos="860" w:val="left"/>
          <w:tab w:leader="none" w:pos="1700" w:val="left"/>
          <w:tab w:leader="none" w:pos="2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10,785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20" w:space="720"/>
            <w:col w:w="3180"/>
          </w:cols>
          <w:pgMar w:left="240" w:top="68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Securitization Trust Debt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5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Final Scheduled</w:t>
            </w: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Pledged at March</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20" w:type="dxa"/>
            <w:vAlign w:val="bottom"/>
          </w:tcPr>
          <w:p>
            <w:pPr>
              <w:spacing w:after="0"/>
              <w:rPr>
                <w:sz w:val="18"/>
                <w:szCs w:val="18"/>
                <w:color w:val="auto"/>
              </w:rPr>
            </w:pPr>
          </w:p>
        </w:tc>
        <w:tc>
          <w:tcPr>
            <w:tcW w:w="15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Principal at</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r>
      <w:tr>
        <w:trPr>
          <w:trHeight w:val="230"/>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60" w:type="dxa"/>
            <w:vAlign w:val="bottom"/>
          </w:tcPr>
          <w:p>
            <w:pPr>
              <w:spacing w:after="0"/>
              <w:rPr>
                <w:sz w:val="19"/>
                <w:szCs w:val="19"/>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19"/>
                <w:szCs w:val="19"/>
                <w:color w:val="auto"/>
              </w:rPr>
            </w:pPr>
          </w:p>
        </w:tc>
        <w:tc>
          <w:tcPr>
            <w:tcW w:w="15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7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16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 (2)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r>
      <w:tr>
        <w:trPr>
          <w:trHeight w:val="210"/>
        </w:trPr>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2012-C</w:t>
            </w:r>
          </w:p>
        </w:tc>
        <w:tc>
          <w:tcPr>
            <w:tcW w:w="17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December 2019</w:t>
            </w:r>
          </w:p>
        </w:tc>
        <w:tc>
          <w:tcPr>
            <w:tcW w:w="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147,000</w:t>
            </w:r>
          </w:p>
        </w:tc>
        <w:tc>
          <w:tcPr>
            <w:tcW w:w="2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14,421</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2012-D</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March 2020</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14,443</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17,865</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2013-A</w:t>
            </w:r>
          </w:p>
        </w:tc>
        <w:tc>
          <w:tcPr>
            <w:tcW w:w="17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June 2020</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25,391</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185,000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23,845</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28,661</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2013-B</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September 2020</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31,760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37,570</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2013-C</w:t>
            </w:r>
          </w:p>
        </w:tc>
        <w:tc>
          <w:tcPr>
            <w:tcW w:w="17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December 2020</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41,253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205,000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40,751</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46,830</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2013-D</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March 2021</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40,236</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46,345</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2014-A</w:t>
            </w:r>
          </w:p>
        </w:tc>
        <w:tc>
          <w:tcPr>
            <w:tcW w:w="17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June 2021</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49,623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47,812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54,988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2014-B</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September 2021</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67,362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66,722</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75,140</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2014-C</w:t>
            </w:r>
          </w:p>
        </w:tc>
        <w:tc>
          <w:tcPr>
            <w:tcW w:w="17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December 2021</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104,233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273,000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103,419</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116,280</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2014-D</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March 2022</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113,895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267,500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113,507</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127,307</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2015-A</w:t>
            </w:r>
          </w:p>
        </w:tc>
        <w:tc>
          <w:tcPr>
            <w:tcW w:w="17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June 2022</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122,123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245,000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122,207</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134,466</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2015-B</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September 2022</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140,289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139,941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153,893</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2015-C</w:t>
            </w:r>
          </w:p>
        </w:tc>
        <w:tc>
          <w:tcPr>
            <w:tcW w:w="17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December 2022</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190,437</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190,367</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207,636</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2016-A</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March 2023</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242,144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329,460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240,391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262,260</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2016-B</w:t>
            </w:r>
          </w:p>
        </w:tc>
        <w:tc>
          <w:tcPr>
            <w:tcW w:w="17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June 2023</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271,079</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332,690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264,265</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284,752</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2016-C</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September 2023</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274,132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318,500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267,108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285,618</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2016-D</w:t>
            </w:r>
          </w:p>
        </w:tc>
        <w:tc>
          <w:tcPr>
            <w:tcW w:w="17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December 2023</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194,366</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206,325</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188,640</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200,221</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2017-A</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April 2024</w:t>
            </w: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203,701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206,320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199,838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11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7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2,131,868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4,196,295</w:t>
            </w: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2,095,252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2,094,253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19" w:lineRule="exact"/>
        <w:rPr>
          <w:sz w:val="20"/>
          <w:szCs w:val="20"/>
          <w:color w:val="auto"/>
        </w:rPr>
      </w:pPr>
    </w:p>
    <w:p>
      <w:pPr>
        <w:jc w:val="both"/>
        <w:ind w:left="340" w:hanging="332"/>
        <w:spacing w:after="0" w:line="253" w:lineRule="auto"/>
        <w:tabs>
          <w:tab w:leader="none" w:pos="3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$648.9 million in 2017, $670.8 million in 2018, $421.9 million in 2019, $234.5 million in 2020, $102.1 million in 2021, $17.1 million in 2022.</w:t>
      </w:r>
    </w:p>
    <w:p>
      <w:pPr>
        <w:spacing w:after="0" w:line="212"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repossessed assets that are included in Other assets on our Unaudited Condensed Consolidated Balance Sheet.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Debt issuance costs of $13.2 million and $13.4 million as of March 31, 2017 and December 31, 2016, respectively, have been excluded from the table above. These debt issuance costs are presented as a direct deduction to the carrying amount of the securitization trust debt on our Unaudited Condensed Consolidated Balance Sheets.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March 31, 2017, we were in compliance with all such covenants.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March 31, 2017, restricted cash under the various agreements totaled approximately $129.2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80"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and amounts of our other debt outstanding at March 31, 2017 and December 31, 2016 are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Amount Outstanding at</w:t>
            </w: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0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Description</w:t>
            </w:r>
          </w:p>
        </w:tc>
        <w:tc>
          <w:tcPr>
            <w:tcW w:w="2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Interest Rate</w:t>
            </w:r>
          </w:p>
        </w:tc>
        <w:tc>
          <w:tcPr>
            <w:tcW w:w="2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Maturity</w:t>
            </w:r>
          </w:p>
        </w:tc>
        <w:tc>
          <w:tcPr>
            <w:tcW w:w="200" w:type="dxa"/>
            <w:vAlign w:val="bottom"/>
          </w:tcPr>
          <w:p>
            <w:pPr>
              <w:spacing w:after="0"/>
              <w:rPr>
                <w:sz w:val="20"/>
                <w:szCs w:val="20"/>
                <w:color w:val="auto"/>
              </w:rPr>
            </w:pPr>
          </w:p>
        </w:tc>
        <w:tc>
          <w:tcPr>
            <w:tcW w:w="276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000" w:type="dxa"/>
            <w:vAlign w:val="bottom"/>
            <w:gridSpan w:val="2"/>
            <w:vMerge w:val="continue"/>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26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740" w:type="dxa"/>
            <w:vAlign w:val="bottom"/>
            <w:gridSpan w:val="2"/>
            <w:shd w:val="clear" w:color="auto" w:fill="EEEEEE"/>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5.50% over one month Libor</w:t>
            </w:r>
          </w:p>
        </w:tc>
        <w:tc>
          <w:tcPr>
            <w:tcW w:w="25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74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(Minimum 6.50%)</w:t>
            </w:r>
          </w:p>
        </w:tc>
        <w:tc>
          <w:tcPr>
            <w:tcW w:w="262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2019</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76,515</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64,352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740" w:type="dxa"/>
            <w:vAlign w:val="bottom"/>
            <w:gridSpan w:val="2"/>
            <w:shd w:val="clear" w:color="auto" w:fill="EEEEEE"/>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5.50% over one month Libor</w:t>
            </w:r>
          </w:p>
        </w:tc>
        <w:tc>
          <w:tcPr>
            <w:tcW w:w="25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74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(Minimum 6.25%)</w:t>
            </w:r>
          </w:p>
        </w:tc>
        <w:tc>
          <w:tcPr>
            <w:tcW w:w="262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August 2019</w:t>
            </w:r>
          </w:p>
        </w:tc>
        <w:tc>
          <w:tcPr>
            <w:tcW w:w="200" w:type="dxa"/>
            <w:vAlign w:val="bottom"/>
            <w:shd w:val="clear" w:color="auto" w:fill="EEEEEE"/>
          </w:tcPr>
          <w:p>
            <w:pPr>
              <w:spacing w:after="0"/>
              <w:rPr>
                <w:sz w:val="20"/>
                <w:szCs w:val="20"/>
                <w:color w:val="auto"/>
              </w:rPr>
            </w:pPr>
          </w:p>
        </w:tc>
        <w:tc>
          <w:tcPr>
            <w:tcW w:w="14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34,291</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26,445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740" w:type="dxa"/>
            <w:vAlign w:val="bottom"/>
            <w:gridSpan w:val="2"/>
            <w:shd w:val="clear" w:color="auto" w:fill="EEEEEE"/>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6.75% over a commercial paper</w:t>
            </w:r>
          </w:p>
        </w:tc>
        <w:tc>
          <w:tcPr>
            <w:tcW w:w="25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74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rate (Minimum 7.75%)</w:t>
            </w:r>
          </w:p>
        </w:tc>
        <w:tc>
          <w:tcPr>
            <w:tcW w:w="262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November 2019</w:t>
            </w:r>
          </w:p>
        </w:tc>
        <w:tc>
          <w:tcPr>
            <w:tcW w:w="200" w:type="dxa"/>
            <w:vAlign w:val="bottom"/>
            <w:shd w:val="clear" w:color="auto" w:fill="EEEEEE"/>
          </w:tcPr>
          <w:p>
            <w:pPr>
              <w:spacing w:after="0"/>
              <w:rPr>
                <w:sz w:val="20"/>
                <w:szCs w:val="20"/>
                <w:color w:val="auto"/>
              </w:rPr>
            </w:pPr>
          </w:p>
        </w:tc>
        <w:tc>
          <w:tcPr>
            <w:tcW w:w="14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10,640</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14,168</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5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2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Weighted average maturity of</w:t>
            </w: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74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8"/>
              </w:rPr>
              <w:t>Weighted average rate of 7.48%</w:t>
            </w:r>
          </w:p>
        </w:tc>
        <w:tc>
          <w:tcPr>
            <w:tcW w:w="262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2019 and January 2019 at</w:t>
            </w: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740" w:type="dxa"/>
            <w:vAlign w:val="bottom"/>
            <w:gridSpan w:val="2"/>
            <w:shd w:val="clear" w:color="auto" w:fill="EEEEEE"/>
          </w:tcPr>
          <w:p>
            <w:pPr>
              <w:jc w:val="center"/>
              <w:ind w:right="260"/>
              <w:spacing w:after="0"/>
              <w:rPr>
                <w:sz w:val="20"/>
                <w:szCs w:val="20"/>
                <w:color w:val="auto"/>
              </w:rPr>
            </w:pPr>
            <w:r>
              <w:rPr>
                <w:rFonts w:ascii="Times New Roman" w:cs="Times New Roman" w:eastAsia="Times New Roman" w:hAnsi="Times New Roman"/>
                <w:sz w:val="18"/>
                <w:szCs w:val="18"/>
                <w:color w:val="auto"/>
                <w:w w:val="99"/>
              </w:rPr>
              <w:t>and 7.50% at March 31, 2017 and</w:t>
            </w:r>
          </w:p>
        </w:tc>
        <w:tc>
          <w:tcPr>
            <w:tcW w:w="262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31, 2017 and December 31,</w:t>
            </w: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74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December 31, 2016 , respectively</w:t>
            </w:r>
          </w:p>
        </w:tc>
        <w:tc>
          <w:tcPr>
            <w:tcW w:w="262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2016, respectively</w:t>
            </w:r>
          </w:p>
        </w:tc>
        <w:tc>
          <w:tcPr>
            <w:tcW w:w="200" w:type="dxa"/>
            <w:vAlign w:val="bottom"/>
            <w:shd w:val="clear" w:color="auto" w:fill="EEEEEE"/>
          </w:tcPr>
          <w:p>
            <w:pPr>
              <w:spacing w:after="0"/>
              <w:rPr>
                <w:sz w:val="20"/>
                <w:szCs w:val="20"/>
                <w:color w:val="auto"/>
              </w:rPr>
            </w:pPr>
          </w:p>
        </w:tc>
        <w:tc>
          <w:tcPr>
            <w:tcW w:w="14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15,272</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14,949</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50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5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250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5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136,718</w:t>
            </w:r>
          </w:p>
        </w:tc>
        <w:tc>
          <w:tcPr>
            <w:tcW w:w="2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119,914</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Debt issuance costs of $1.2 million and $1.6 million as of March 31, 2017 and December 31, 2016, respectively, have been excluded from the table above. These debt issuance costs are presented as a direct deduction to the carrying amount of the Warehouse lines of credit on our Unaudited Condensed Consolidated Balance Sheets.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2017, we renewed our $100 million warehouse credit line that was first established in May 2012. There was $76.5 million outstanding under this facility at March 31, 2017. The revolving period for this facility was extended to April 2019 followed by an amortization period through April 2021 for any receivables pledged at the end of the revolving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14"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p>
      <w:pPr>
        <w:sectPr>
          <w:pgSz w:w="11900" w:h="16838" w:orient="portrait"/>
          <w:cols w:equalWidth="0" w:num="1">
            <w:col w:w="11420"/>
          </w:cols>
          <w:pgMar w:left="240" w:top="6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finance receivables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191"/>
        </w:trPr>
        <w:tc>
          <w:tcPr>
            <w:tcW w:w="300" w:type="dxa"/>
            <w:vAlign w:val="bottom"/>
          </w:tcPr>
          <w:p>
            <w:pPr>
              <w:spacing w:after="0"/>
              <w:rPr>
                <w:sz w:val="16"/>
                <w:szCs w:val="16"/>
                <w:color w:val="auto"/>
              </w:rPr>
            </w:pPr>
          </w:p>
        </w:tc>
        <w:tc>
          <w:tcPr>
            <w:tcW w:w="186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6"/>
                <w:szCs w:val="16"/>
                <w:color w:val="auto"/>
              </w:rPr>
            </w:pPr>
          </w:p>
        </w:tc>
      </w:tr>
      <w:tr>
        <w:trPr>
          <w:trHeight w:val="230"/>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104,496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96,628</w:t>
            </w:r>
          </w:p>
        </w:tc>
      </w:tr>
      <w:tr>
        <w:trPr>
          <w:trHeight w:val="234"/>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104,575</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96,663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-462280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-179705</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520" w:space="720"/>
            <w:col w:w="3180"/>
          </w:cols>
          <w:pgMar w:left="240" w:top="684" w:right="2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p>
      <w:pPr>
        <w:spacing w:after="0" w:line="221"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8"/>
          <w:szCs w:val="18"/>
          <w:b w:val="1"/>
          <w:bCs w:val="1"/>
          <w:color w:val="auto"/>
        </w:rPr>
        <w:t>March 31,</w:t>
      </w:r>
    </w:p>
    <w:p>
      <w:pPr>
        <w:sectPr>
          <w:pgSz w:w="11900" w:h="16838" w:orient="portrait"/>
          <w:cols w:equalWidth="0" w:num="1">
            <w:col w:w="11420"/>
          </w:cols>
          <w:pgMar w:left="240" w:top="684" w:right="23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Securitization trust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Residual interest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Subordinated renewable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84"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191"/>
        </w:trPr>
        <w:tc>
          <w:tcPr>
            <w:tcW w:w="300" w:type="dxa"/>
            <w:vAlign w:val="bottom"/>
          </w:tcPr>
          <w:p>
            <w:pPr>
              <w:spacing w:after="0"/>
              <w:rPr>
                <w:sz w:val="16"/>
                <w:szCs w:val="16"/>
                <w:color w:val="auto"/>
              </w:rPr>
            </w:pPr>
          </w:p>
        </w:tc>
        <w:tc>
          <w:tcPr>
            <w:tcW w:w="186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6"/>
                <w:szCs w:val="16"/>
                <w:color w:val="auto"/>
              </w:rPr>
            </w:pPr>
          </w:p>
        </w:tc>
      </w:tr>
      <w:tr>
        <w:trPr>
          <w:trHeight w:val="216"/>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20,080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14,764</w:t>
            </w:r>
          </w:p>
        </w:tc>
      </w:tr>
      <w:tr>
        <w:trPr>
          <w:trHeight w:val="216"/>
        </w:trPr>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1,708</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30"/>
        </w:trPr>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34"/>
        </w:trPr>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300</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3"/>
        </w:trPr>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17,821</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-736600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-462280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-179705</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7520" w:space="720"/>
            <w:col w:w="3180"/>
          </w:cols>
          <w:pgMar w:left="240" w:top="684" w:right="239" w:bottom="1440" w:gutter="0" w:footer="0" w:header="0"/>
          <w:type w:val="continuous"/>
        </w:sectPr>
      </w:pPr>
    </w:p>
    <w:p>
      <w:pPr>
        <w:spacing w:after="0" w:line="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Earnings per share for the three-month periods ended March 31, 2017 and 2016 were calculated using the weighted average number of shares outstanding for the related period. The following table reconciles the number of shares used in the computations of basic and diluted earnings per share for the three-month periods ended March 31,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2580" w:type="dxa"/>
            <w:vAlign w:val="bottom"/>
            <w:gridSpan w:val="4"/>
          </w:tcPr>
          <w:p>
            <w:pPr>
              <w:jc w:val="center"/>
              <w:ind w:left="412"/>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2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8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2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during the period used to compute basic earnings per</w:t>
            </w:r>
          </w:p>
        </w:tc>
        <w:tc>
          <w:tcPr>
            <w:tcW w:w="8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8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860" w:type="dxa"/>
            <w:vAlign w:val="bottom"/>
            <w:shd w:val="clear" w:color="auto" w:fill="EEEEEE"/>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23,517</w:t>
            </w:r>
          </w:p>
        </w:tc>
        <w:tc>
          <w:tcPr>
            <w:tcW w:w="860" w:type="dxa"/>
            <w:vAlign w:val="bottom"/>
            <w:shd w:val="clear" w:color="auto" w:fill="EEEEEE"/>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w w:val="96"/>
              </w:rPr>
              <w:t>25,296</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Incremental common shares attributable to exercise of outstanding options and warrants</w:t>
            </w:r>
          </w:p>
        </w:tc>
        <w:tc>
          <w:tcPr>
            <w:tcW w:w="86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4,706</w:t>
            </w:r>
          </w:p>
        </w:tc>
        <w:tc>
          <w:tcPr>
            <w:tcW w:w="8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4,858</w:t>
            </w:r>
          </w:p>
        </w:tc>
      </w:tr>
      <w:tr>
        <w:trPr>
          <w:trHeight w:val="223"/>
        </w:trPr>
        <w:tc>
          <w:tcPr>
            <w:tcW w:w="82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number of common shares used to compute diluted earnings per share</w:t>
            </w:r>
          </w:p>
        </w:tc>
        <w:tc>
          <w:tcPr>
            <w:tcW w:w="860" w:type="dxa"/>
            <w:vAlign w:val="bottom"/>
            <w:tcBorders>
              <w:top w:val="single" w:sz="8" w:color="auto"/>
              <w:bottom w:val="single" w:sz="8" w:color="auto"/>
            </w:tcBorders>
            <w:shd w:val="clear" w:color="auto" w:fill="EEEEEE"/>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28,223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30,154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the anti-dilutive effects of common stock equivalents were considered, shares included in the diluted earnings per share calculation for the three months ended March 31, 2017 and 2016 would have included an additional 6.6 million and 6.8 million shares, respectively, attributable to the exercise of outstanding options and warrants.</w:t>
      </w:r>
    </w:p>
    <w:p>
      <w:pPr>
        <w:spacing w:after="0" w:line="172" w:lineRule="exact"/>
        <w:rPr>
          <w:sz w:val="20"/>
          <w:szCs w:val="20"/>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2017 and December 31, 2016,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$43.0 million as of March 31, 2017 is more likely than not based on forecasted future net earnings. Our net deferred tax asset of $43.0 million consists of approximately $34.8 million of net U.S. federal deferred tax assets and $8.4 million of net state deferred tax assets.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was $3.3 million and $5.0 million for the three months ended March 31, 2017 and 2016, which represents an effective income tax rate of 43% and 41%, respectively.</w:t>
      </w:r>
    </w:p>
    <w:p>
      <w:pPr>
        <w:spacing w:after="0" w:line="158"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Litigation. </w:t>
      </w:r>
      <w:r>
        <w:rPr>
          <w:rFonts w:ascii="Times New Roman" w:cs="Times New Roman" w:eastAsia="Times New Roman" w:hAnsi="Times New Roman"/>
          <w:sz w:val="18"/>
          <w:szCs w:val="18"/>
          <w:color w:val="auto"/>
        </w:rPr>
        <w:t>We are routinely involved in various legal proceedings resulting from our consumer finance activities and practices,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most part, we have legal and factual defenses to consumer claims, which we routinely contest or settle (for immaterial amounts) depending on the particular circumstances of each case.</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Department of Justice Subpoena. </w:t>
      </w:r>
      <w:r>
        <w:rPr>
          <w:rFonts w:ascii="Times New Roman" w:cs="Times New Roman" w:eastAsia="Times New Roman" w:hAnsi="Times New Roman"/>
          <w:sz w:val="18"/>
          <w:szCs w:val="18"/>
          <w:color w:val="auto"/>
        </w:rPr>
        <w:t>In January 2015, we were served with a subpoena by the U.S. Department of Justice directing us to produce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We are among several other securitizers of sub-prime automobile receivables who received such subpoenas in 2014 and 2015. Among other matters, the subpoena requested information relating to the underwriting criteria used to originate these automobile contracts and the representations and warranties relating to those underwriting criteria that were made in connection with the securitization of the automobile contracts. We have produced required documents, and are unaware of any subsequent material developments in the government’s investigation. The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In General</w:t>
      </w:r>
      <w:r>
        <w:rPr>
          <w:rFonts w:ascii="Times New Roman" w:cs="Times New Roman" w:eastAsia="Times New Roman" w:hAnsi="Times New Roman"/>
          <w:sz w:val="18"/>
          <w:szCs w:val="18"/>
          <w:color w:val="auto"/>
        </w:rPr>
        <w:t>. There can be no assurance as to the outcomes of the matters referenced above. We have recorded a liability as of March 31, 2017,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March 31, 2017 does not exceed $1 million.</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 wide discretion vested in the U.S. Department of Justice and other government agencies, and the deference that courts may give to assertions made by government litigants,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periods ended March 31,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2660" w:type="dxa"/>
            <w:vAlign w:val="bottom"/>
            <w:gridSpan w:val="4"/>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March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8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cost (benefit)</w:t>
            </w:r>
          </w:p>
        </w:tc>
        <w:tc>
          <w:tcPr>
            <w:tcW w:w="9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214</w:t>
            </w:r>
          </w:p>
        </w:tc>
        <w:tc>
          <w:tcPr>
            <w:tcW w:w="9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9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(287)</w:t>
            </w:r>
          </w:p>
        </w:tc>
        <w:tc>
          <w:tcPr>
            <w:tcW w:w="9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8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transition (asset)/obligation</w:t>
            </w:r>
          </w:p>
        </w:tc>
        <w:tc>
          <w:tcPr>
            <w:tcW w:w="9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(gain) / loss</w:t>
            </w:r>
          </w:p>
        </w:tc>
        <w:tc>
          <w:tcPr>
            <w:tcW w:w="92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82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periodic cost (benefit)</w:t>
            </w:r>
          </w:p>
        </w:tc>
        <w:tc>
          <w:tcPr>
            <w:tcW w:w="920" w:type="dxa"/>
            <w:vAlign w:val="bottom"/>
            <w:tcBorders>
              <w:top w:val="single" w:sz="8" w:color="auto"/>
              <w:bottom w:val="single" w:sz="8" w:color="auto"/>
            </w:tcBorders>
            <w:shd w:val="clear" w:color="auto" w:fill="EEEEEE"/>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940" w:type="dxa"/>
            <w:vAlign w:val="bottom"/>
            <w:tcBorders>
              <w:top w:val="single" w:sz="8" w:color="auto"/>
              <w:bottom w:val="single" w:sz="8" w:color="auto"/>
            </w:tcBorders>
            <w:shd w:val="clear" w:color="auto" w:fill="EEEEEE"/>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did not make any contributions to the Plan during the three-month periods ended March 31, 2017 and 2016. We do not anticipate making any contributions for the remainder of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Repossessed vehicle inventory, which is included in Other assets on our unaudited condensed consolidated balance sheet, is measured at fair value using level 2 assumptions based on our actual loss experience on sale of repossessed vehicles. At March 31, 2017 the finance receivables related to the repossessed vehicles in inventory totaled $37.7 million. We have applied a valuation adjustment, or loss allowance, of $26.9 million, which is based on a recovery rate of approximately 28%, resulting in an estimated fair value and carrying amount of $10.8 million. The fair value and carrying amount of the repossessed inventory at December 31, 2016 was $11.1 million after applying a valuation adjustment of $28.9 million.</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 1 or level 2 assets and liabilities for the three months ended March 31, 2017 and 2016. We have no material level 3 assets that are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60" w:type="dxa"/>
            <w:vAlign w:val="bottom"/>
            <w:gridSpan w:val="15"/>
          </w:tcPr>
          <w:p>
            <w:pPr>
              <w:ind w:left="660"/>
              <w:spacing w:after="0"/>
              <w:rPr>
                <w:sz w:val="20"/>
                <w:szCs w:val="20"/>
                <w:color w:val="auto"/>
              </w:rPr>
            </w:pPr>
            <w:r>
              <w:rPr>
                <w:rFonts w:ascii="Times New Roman" w:cs="Times New Roman" w:eastAsia="Times New Roman" w:hAnsi="Times New Roman"/>
                <w:sz w:val="18"/>
                <w:szCs w:val="18"/>
                <w:color w:val="auto"/>
              </w:rPr>
              <w:t>The estimated fair values of financial assets and liabilities at March 31, 2017 and December 31, 2016, were as follows: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8"/>
                <w:szCs w:val="18"/>
                <w:b w:val="1"/>
                <w:bCs w:val="1"/>
                <w:color w:val="auto"/>
              </w:rPr>
              <w:t>As of March 31, 2017</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gridSpan w:val="9"/>
          </w:tcPr>
          <w:p>
            <w:pPr>
              <w:ind w:left="62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12,071</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12,071</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12,071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129,197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129,197</w:t>
            </w:r>
          </w:p>
        </w:tc>
        <w:tc>
          <w:tcPr>
            <w:tcW w:w="26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129,197</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2,186,917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2,124,963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2,124,963</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31,881</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EEEEE"/>
          </w:tcPr>
          <w:p>
            <w:pPr>
              <w:spacing w:after="0"/>
              <w:rPr>
                <w:sz w:val="18"/>
                <w:szCs w:val="18"/>
                <w:color w:val="auto"/>
              </w:rPr>
            </w:pPr>
          </w:p>
        </w:tc>
        <w:tc>
          <w:tcPr>
            <w:tcW w:w="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31,881</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31,881</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120,286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120,286</w:t>
            </w:r>
          </w:p>
        </w:tc>
        <w:tc>
          <w:tcPr>
            <w:tcW w:w="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120,286</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3,948</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2,082,040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EEEEE"/>
          </w:tcPr>
          <w:p>
            <w:pPr>
              <w:spacing w:after="0"/>
              <w:rPr>
                <w:sz w:val="18"/>
                <w:szCs w:val="18"/>
                <w:color w:val="auto"/>
              </w:rPr>
            </w:pPr>
          </w:p>
        </w:tc>
        <w:tc>
          <w:tcPr>
            <w:tcW w:w="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2,103,416</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2,103,416</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15,272</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15,272</w:t>
            </w:r>
          </w:p>
        </w:tc>
        <w:tc>
          <w:tcPr>
            <w:tcW w:w="0" w:type="dxa"/>
            <w:vAlign w:val="bottom"/>
          </w:tcPr>
          <w:p>
            <w:pPr>
              <w:spacing w:after="0"/>
              <w:rPr>
                <w:sz w:val="1"/>
                <w:szCs w:val="1"/>
                <w:color w:val="auto"/>
              </w:rPr>
            </w:pPr>
          </w:p>
        </w:tc>
      </w:tr>
      <w:tr>
        <w:trPr>
          <w:trHeight w:val="427"/>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200" w:type="dxa"/>
            <w:vAlign w:val="bottom"/>
          </w:tcPr>
          <w:p>
            <w:pPr>
              <w:spacing w:after="0"/>
              <w:rPr>
                <w:sz w:val="19"/>
                <w:szCs w:val="19"/>
                <w:color w:val="auto"/>
              </w:rPr>
            </w:pPr>
          </w:p>
        </w:tc>
        <w:tc>
          <w:tcPr>
            <w:tcW w:w="13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gridSpan w:val="9"/>
          </w:tcPr>
          <w:p>
            <w:pPr>
              <w:ind w:left="62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13,936</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13,936</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13,936</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112,754</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112,754</w:t>
            </w:r>
          </w:p>
        </w:tc>
        <w:tc>
          <w:tcPr>
            <w:tcW w:w="1140" w:type="dxa"/>
            <w:vAlign w:val="bottom"/>
            <w:shd w:val="clear" w:color="auto" w:fill="EEEEEE"/>
          </w:tcPr>
          <w:p>
            <w:pPr>
              <w:spacing w:after="0"/>
              <w:rPr>
                <w:sz w:val="18"/>
                <w:szCs w:val="18"/>
                <w:color w:val="auto"/>
              </w:rPr>
            </w:pPr>
          </w:p>
        </w:tc>
        <w:tc>
          <w:tcPr>
            <w:tcW w:w="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112,754</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2,172,365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2,104,503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2,104,503</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36,233</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EEEEE"/>
          </w:tcPr>
          <w:p>
            <w:pPr>
              <w:spacing w:after="0"/>
              <w:rPr>
                <w:sz w:val="18"/>
                <w:szCs w:val="18"/>
                <w:color w:val="auto"/>
              </w:rPr>
            </w:pPr>
          </w:p>
        </w:tc>
        <w:tc>
          <w:tcPr>
            <w:tcW w:w="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36,233</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36,233</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103,358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103,358</w:t>
            </w:r>
          </w:p>
        </w:tc>
        <w:tc>
          <w:tcPr>
            <w:tcW w:w="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103,358</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3,715</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2,080,900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EEEEE"/>
          </w:tcPr>
          <w:p>
            <w:pPr>
              <w:spacing w:after="0"/>
              <w:rPr>
                <w:sz w:val="18"/>
                <w:szCs w:val="18"/>
                <w:color w:val="auto"/>
              </w:rPr>
            </w:pPr>
          </w:p>
        </w:tc>
        <w:tc>
          <w:tcPr>
            <w:tcW w:w="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2,138,892</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2,138,892</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14,949</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March 31, 2017 and December 31, 2016, the amounts that will actually be realized or paid at settlement or maturity of the instruments could be significantly different.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 and Equivalents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value equals fair value.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 net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finance receivables is estimated by discounting future cash flows expected to be collected using current rates at which similar receivables could be originated.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Interest Receivable and Payable</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value approximates fair value.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Lines of Credit and Subordinated Renewable Notes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carrying value approximates fair value because the related interest rates are estimated to reflect current market conditions for similar types of secured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 Trust Debt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941"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directly originated an immaterial amount of vehicle purchase money loans by lending money directly to consumers. In this report, we refer to all of such contracts and loans as "automobile contracts."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March 31, 2017, we have originated a total of approximately $13.7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Recent contract purchase volumes and managed portfolio levels are shown in the table below:</w:t>
      </w:r>
    </w:p>
    <w:p>
      <w:pPr>
        <w:spacing w:after="0" w:line="185" w:lineRule="exact"/>
        <w:rPr>
          <w:sz w:val="20"/>
          <w:szCs w:val="20"/>
          <w:color w:val="auto"/>
        </w:rPr>
      </w:pPr>
    </w:p>
    <w:tbl>
      <w:tblPr>
        <w:tblLayout w:type="fixed"/>
        <w:tblInd w:w="2000" w:type="dxa"/>
        <w:tblCellMar>
          <w:top w:w="0" w:type="dxa"/>
          <w:left w:w="0" w:type="dxa"/>
          <w:bottom w:w="0" w:type="dxa"/>
          <w:right w:w="0" w:type="dxa"/>
        </w:tblCellMar>
      </w:tblPr>
      <w:tr>
        <w:trPr>
          <w:trHeight w:val="232"/>
        </w:trPr>
        <w:tc>
          <w:tcPr>
            <w:tcW w:w="5920" w:type="dxa"/>
            <w:vAlign w:val="bottom"/>
            <w:gridSpan w:val="5"/>
          </w:tcPr>
          <w:p>
            <w:pPr>
              <w:ind w:left="1540"/>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5"/>
          </w:tcPr>
          <w:p>
            <w:pPr>
              <w:ind w:left="90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Contracts</w:t>
            </w: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w:t>
            </w:r>
          </w:p>
        </w:tc>
        <w:tc>
          <w:tcPr>
            <w:tcW w:w="10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Purchased in</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Portfolio at</w:t>
            </w:r>
          </w:p>
        </w:tc>
      </w:tr>
      <w:tr>
        <w:trPr>
          <w:trHeight w:val="238"/>
        </w:trPr>
        <w:tc>
          <w:tcPr>
            <w:tcW w:w="4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0" w:type="dxa"/>
            <w:vAlign w:val="bottom"/>
          </w:tcPr>
          <w:p>
            <w:pPr>
              <w:spacing w:after="0"/>
              <w:rPr>
                <w:sz w:val="20"/>
                <w:szCs w:val="20"/>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Period End</w:t>
            </w:r>
          </w:p>
        </w:tc>
      </w:tr>
      <w:tr>
        <w:trPr>
          <w:trHeight w:val="210"/>
        </w:trPr>
        <w:tc>
          <w:tcPr>
            <w:tcW w:w="40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2008</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296,817</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1,664,122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8,599</w:t>
            </w: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1,194,722</w:t>
            </w:r>
          </w:p>
        </w:tc>
      </w:tr>
      <w:tr>
        <w:trPr>
          <w:trHeight w:val="216"/>
        </w:trPr>
        <w:tc>
          <w:tcPr>
            <w:tcW w:w="4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2010</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113,023</w:t>
            </w: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756,203</w:t>
            </w:r>
          </w:p>
        </w:tc>
      </w:tr>
      <w:tr>
        <w:trPr>
          <w:trHeight w:val="216"/>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284,236</w:t>
            </w: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794,649</w:t>
            </w:r>
          </w:p>
        </w:tc>
      </w:tr>
      <w:tr>
        <w:trPr>
          <w:trHeight w:val="216"/>
        </w:trPr>
        <w:tc>
          <w:tcPr>
            <w:tcW w:w="4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2012</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551,742</w:t>
            </w: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897,575</w:t>
            </w:r>
          </w:p>
        </w:tc>
      </w:tr>
      <w:tr>
        <w:trPr>
          <w:trHeight w:val="216"/>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764,087</w:t>
            </w: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1,231,422</w:t>
            </w:r>
          </w:p>
        </w:tc>
      </w:tr>
      <w:tr>
        <w:trPr>
          <w:trHeight w:val="216"/>
        </w:trPr>
        <w:tc>
          <w:tcPr>
            <w:tcW w:w="4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2014</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944,944</w:t>
            </w: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1,643,920</w:t>
            </w:r>
          </w:p>
        </w:tc>
      </w:tr>
      <w:tr>
        <w:trPr>
          <w:trHeight w:val="216"/>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1,060,538</w:t>
            </w: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2,031,136</w:t>
            </w:r>
          </w:p>
        </w:tc>
      </w:tr>
      <w:tr>
        <w:trPr>
          <w:trHeight w:val="216"/>
        </w:trPr>
        <w:tc>
          <w:tcPr>
            <w:tcW w:w="4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2016</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1,088,785</w:t>
            </w: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2,308,070</w:t>
            </w: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 ended March 31, 2017</w:t>
            </w:r>
          </w:p>
        </w:tc>
        <w:tc>
          <w:tcPr>
            <w:tcW w:w="14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229,641</w:t>
            </w: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2,323,218</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7" w:name="page18"/>
    <w:bookmarkEnd w:id="1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1994 we have conducted 73 term securitizations of automobile contracts that we originated. As of March 31, 2017, 18 of those securitizations are active and all but one are structured as secured financings. The exception is our September 2010 transaction, which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history of term securitizations, over the most recent ten years, is summarized in the table below:</w:t>
      </w:r>
    </w:p>
    <w:p>
      <w:pPr>
        <w:spacing w:after="0" w:line="221" w:lineRule="exact"/>
        <w:rPr>
          <w:sz w:val="20"/>
          <w:szCs w:val="20"/>
          <w:color w:val="auto"/>
        </w:rPr>
      </w:pPr>
    </w:p>
    <w:tbl>
      <w:tblPr>
        <w:tblLayout w:type="fixed"/>
        <w:tblInd w:w="2000" w:type="dxa"/>
        <w:tblCellMar>
          <w:top w:w="0" w:type="dxa"/>
          <w:left w:w="0" w:type="dxa"/>
          <w:bottom w:w="0" w:type="dxa"/>
          <w:right w:w="0" w:type="dxa"/>
        </w:tblCellMar>
      </w:tblPr>
      <w:tr>
        <w:trPr>
          <w:trHeight w:val="232"/>
        </w:trPr>
        <w:tc>
          <w:tcPr>
            <w:tcW w:w="5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Recent Asset-Backed Term Securitizations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5"/>
          </w:tcPr>
          <w:p>
            <w:pPr>
              <w:ind w:left="116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Receivables</w:t>
            </w:r>
          </w:p>
        </w:tc>
        <w:tc>
          <w:tcPr>
            <w:tcW w:w="10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 Term</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Pledged in Term</w:t>
            </w:r>
          </w:p>
        </w:tc>
      </w:tr>
      <w:tr>
        <w:trPr>
          <w:trHeight w:val="238"/>
        </w:trPr>
        <w:tc>
          <w:tcPr>
            <w:tcW w:w="3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Securitizations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r>
      <w:tr>
        <w:trPr>
          <w:trHeight w:val="210"/>
        </w:trPr>
        <w:tc>
          <w:tcPr>
            <w:tcW w:w="374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2006</w:t>
            </w:r>
          </w:p>
        </w:tc>
        <w:tc>
          <w:tcPr>
            <w:tcW w:w="20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auto"/>
            </w:tcBorders>
            <w:shd w:val="clear" w:color="auto" w:fill="EEEEEE"/>
          </w:tcPr>
          <w:p>
            <w:pPr>
              <w:jc w:val="right"/>
              <w:ind w:right="57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957,681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2007</w:t>
            </w:r>
          </w:p>
        </w:tc>
        <w:tc>
          <w:tcPr>
            <w:tcW w:w="200" w:type="dxa"/>
            <w:vAlign w:val="bottom"/>
          </w:tcPr>
          <w:p>
            <w:pPr>
              <w:spacing w:after="0"/>
              <w:rPr>
                <w:sz w:val="18"/>
                <w:szCs w:val="18"/>
                <w:color w:val="auto"/>
              </w:rPr>
            </w:pPr>
          </w:p>
        </w:tc>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1,118,097</w:t>
            </w:r>
          </w:p>
        </w:tc>
      </w:tr>
      <w:tr>
        <w:trPr>
          <w:trHeight w:val="216"/>
        </w:trPr>
        <w:tc>
          <w:tcPr>
            <w:tcW w:w="3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2008</w:t>
            </w: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57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509,022</w:t>
            </w: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2009</w:t>
            </w:r>
          </w:p>
        </w:tc>
        <w:tc>
          <w:tcPr>
            <w:tcW w:w="200" w:type="dxa"/>
            <w:vAlign w:val="bottom"/>
          </w:tcPr>
          <w:p>
            <w:pPr>
              <w:spacing w:after="0"/>
              <w:rPr>
                <w:sz w:val="18"/>
                <w:szCs w:val="18"/>
                <w:color w:val="auto"/>
              </w:rPr>
            </w:pPr>
          </w:p>
        </w:tc>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2010</w:t>
            </w: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57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103,772</w:t>
            </w: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2011</w:t>
            </w:r>
          </w:p>
        </w:tc>
        <w:tc>
          <w:tcPr>
            <w:tcW w:w="200" w:type="dxa"/>
            <w:vAlign w:val="bottom"/>
          </w:tcPr>
          <w:p>
            <w:pPr>
              <w:spacing w:after="0"/>
              <w:rPr>
                <w:sz w:val="18"/>
                <w:szCs w:val="18"/>
                <w:color w:val="auto"/>
              </w:rPr>
            </w:pPr>
          </w:p>
        </w:tc>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335,593</w:t>
            </w:r>
          </w:p>
        </w:tc>
      </w:tr>
      <w:tr>
        <w:trPr>
          <w:trHeight w:val="216"/>
        </w:trPr>
        <w:tc>
          <w:tcPr>
            <w:tcW w:w="3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2012</w:t>
            </w: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57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603,500</w:t>
            </w: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2013</w:t>
            </w:r>
          </w:p>
        </w:tc>
        <w:tc>
          <w:tcPr>
            <w:tcW w:w="200" w:type="dxa"/>
            <w:vAlign w:val="bottom"/>
          </w:tcPr>
          <w:p>
            <w:pPr>
              <w:spacing w:after="0"/>
              <w:rPr>
                <w:sz w:val="18"/>
                <w:szCs w:val="18"/>
                <w:color w:val="auto"/>
              </w:rPr>
            </w:pPr>
          </w:p>
        </w:tc>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778,000</w:t>
            </w:r>
          </w:p>
        </w:tc>
      </w:tr>
      <w:tr>
        <w:trPr>
          <w:trHeight w:val="216"/>
        </w:trPr>
        <w:tc>
          <w:tcPr>
            <w:tcW w:w="3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2014</w:t>
            </w: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57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923,000</w:t>
            </w: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2015</w:t>
            </w:r>
          </w:p>
        </w:tc>
        <w:tc>
          <w:tcPr>
            <w:tcW w:w="200" w:type="dxa"/>
            <w:vAlign w:val="bottom"/>
          </w:tcPr>
          <w:p>
            <w:pPr>
              <w:spacing w:after="0"/>
              <w:rPr>
                <w:sz w:val="18"/>
                <w:szCs w:val="18"/>
                <w:color w:val="auto"/>
              </w:rPr>
            </w:pPr>
          </w:p>
        </w:tc>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795,000</w:t>
            </w:r>
          </w:p>
        </w:tc>
      </w:tr>
      <w:tr>
        <w:trPr>
          <w:trHeight w:val="216"/>
        </w:trPr>
        <w:tc>
          <w:tcPr>
            <w:tcW w:w="3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2016</w:t>
            </w: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57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1,214,997</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 ended March 31, 2017</w:t>
            </w:r>
          </w:p>
        </w:tc>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210,000</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time to time we have also completed financings of our residual interests in other securitizations that we and our affiliates previously sponsored.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2016, we had one such residual interest financing outstanding, which was repaid in full in November 2016.</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renewed in August 2016, extending the revolving period to August 2018, and adding an amortization period through August 2019. In April 2015, we entered into a $100 million facility, with a revolving period extending to April 2017, followed by an amortization period to April 2019. That facility was renewed in April 2017, extending the revolving period to April 2019, followed by an amortization period to April 2021. In November 2015, we entered into a third $100 million facility, with a revolving period extending to November 2017, followed by an amortization period to November 2019.</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2017 we were in compliance with all such covenants.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right="2560"/>
        <w:spacing w:after="0" w:line="284" w:lineRule="auto"/>
        <w:rPr>
          <w:sz w:val="20"/>
          <w:szCs w:val="20"/>
          <w:color w:val="auto"/>
        </w:rPr>
      </w:pPr>
      <w:r>
        <w:rPr>
          <w:rFonts w:ascii="Times New Roman" w:cs="Times New Roman" w:eastAsia="Times New Roman" w:hAnsi="Times New Roman"/>
          <w:sz w:val="18"/>
          <w:szCs w:val="18"/>
          <w:i w:val="1"/>
          <w:iCs w:val="1"/>
          <w:color w:val="auto"/>
        </w:rPr>
        <w:t>Comparison of Operating Results for the three months ended March 31, 2017 with the three months ended March 31, 2016 Revenues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2017, our revenues were $107.6 million, an increase of $6.9 million, or 6.9%, from the prior year revenue of $100.7 million. The primary reason for the increase in revenues is an increase in interest income. Interest income for the three months ended March 31, 2017 increased $7.9 million, or 8.2%, to $104.6 million from $96.7 million in the prior year. The primary reason for the increase in interest income is the increase in finance receivables held by consolidated subsidiaries. The table below shows the outstanding and average balances of our portfolio held by consolidated subsidiaries for the three months ended March 31, 2017 and 2016:</w:t>
      </w:r>
    </w:p>
    <w:p>
      <w:pPr>
        <w:spacing w:after="0" w:line="193" w:lineRule="exact"/>
        <w:rPr>
          <w:sz w:val="20"/>
          <w:szCs w:val="20"/>
          <w:color w:val="auto"/>
        </w:rPr>
      </w:pPr>
    </w:p>
    <w:tbl>
      <w:tblPr>
        <w:tblLayout w:type="fixed"/>
        <w:tblInd w:w="12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Finance Receivables Owned by</w:t>
            </w: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gridSpan w:val="5"/>
          </w:tcPr>
          <w:p>
            <w:pPr>
              <w:ind w:left="1100"/>
              <w:spacing w:after="0" w:line="188" w:lineRule="exact"/>
              <w:rPr>
                <w:sz w:val="20"/>
                <w:szCs w:val="20"/>
                <w:color w:val="auto"/>
              </w:rPr>
            </w:pPr>
            <w:r>
              <w:rPr>
                <w:rFonts w:ascii="Times New Roman" w:cs="Times New Roman" w:eastAsia="Times New Roman" w:hAnsi="Times New Roman"/>
                <w:sz w:val="18"/>
                <w:szCs w:val="18"/>
                <w:b w:val="1"/>
                <w:bCs w:val="1"/>
                <w:color w:val="auto"/>
              </w:rPr>
              <w:t>($ in millions)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balance for the three-month period</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2,311.8</w:t>
            </w:r>
          </w:p>
        </w:tc>
        <w:tc>
          <w:tcPr>
            <w:tcW w:w="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2,098.0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Ending balance for the period</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2,323.2</w:t>
            </w:r>
          </w:p>
        </w:tc>
        <w:tc>
          <w:tcPr>
            <w:tcW w:w="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2,141.3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2017, other income of $3.0 million decreased by $963,000, or 24.2% compared to the prior year. The three-month period ended March 31, 2017 includes a decrease of $846,000 in revenue associated with direct mail and other related products and services that we offer to our dealers and a decrease of $75,000 in payments from third-party providers of convenience fees paid by our customers for web based and other electronic payments and a decrease of $57,000 on payments to us for our interest in certain sold charge offs and acquired third-party portfolios. The decreases were somewhat offset by an increase of $15,000 in the remaining categories of other income.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provision for credit losses, interest expense, employee costs, marketing and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operating expenses were $99.8 million for the three months ended March 31, 2017, compared to $88.4 million for the prior period, an increase of $11.4 million, or 12.9%. The increase is primarily due to the increase in our consolidated portfolio and associated servicing costs, and the related increases in interest expense and in our provision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Employee costs increased by $2.6 million or 17.4%, to $17.8 million during the three months ended March 31, 2017, representing 17.8% of total operating expenses, from $15.1 million for the prior year, or 17.1% of total operating expenses. Since 2010, we have added employees in our Originations and Marketing departments in conjunction with the increase in contract purchases. Since 2013, we have also added Servicing staff to accommodate the increase in the number of accounts in our managed portfolio. The table below summarizes our employees by category as well as contract purchases and units in our managed portfolio as of, and for the three-month periods ended, March 31, 2017 and 2016:</w:t>
      </w:r>
    </w:p>
    <w:p>
      <w:pPr>
        <w:spacing w:after="0" w:line="193" w:lineRule="exact"/>
        <w:rPr>
          <w:sz w:val="20"/>
          <w:szCs w:val="20"/>
          <w:color w:val="auto"/>
        </w:rPr>
      </w:pPr>
    </w:p>
    <w:tbl>
      <w:tblPr>
        <w:tblLayout w:type="fixed"/>
        <w:tblInd w:w="12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5"/>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229.6</w:t>
            </w:r>
          </w:p>
        </w:tc>
        <w:tc>
          <w:tcPr>
            <w:tcW w:w="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2,323.2</w:t>
            </w:r>
          </w:p>
        </w:tc>
        <w:tc>
          <w:tcPr>
            <w:tcW w:w="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2,141.7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172,106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Marketing staff</w:t>
            </w:r>
          </w:p>
        </w:tc>
        <w:tc>
          <w:tcPr>
            <w:tcW w:w="14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14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$6.9 million, an increase of $1.6 million, or 29.8% compared to the previous year and represented 6.9% of total operating expenses.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2017 increased by $4.3 million to $22.1 million, or 23.9% and represented 22.1% of total operating expenses, compared to $17.8 million in the previous year, when it was 20.2% of total operating expenses.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$5.3 million, or 36.0%, for the three months ended March 31, 2017 compared to the prior period. The average balance of securitization trust debt increased 11.8% to $2,168.0 million for the three months ended March 31, 2017 compared to $1,938.4 million for the three months ended March 31, 2016. In addition, the blended interest rates on new term securitizations have generally increased since June 2014. As a result, the cost of securitization debt during the three-month period ended March 31, 2017 was 3.7%, compared to 3.0%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2014, although that trend has reversed somewhat since July 2016. The blended interest rates of our recent securitizations are summarized in the table below: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20" w:type="dxa"/>
            <w:vAlign w:val="bottom"/>
            <w:tcBorders>
              <w:bottom w:val="single" w:sz="8" w:color="EEEEEE"/>
            </w:tcBorders>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c>
          <w:tcPr>
            <w:tcW w:w="2740" w:type="dxa"/>
            <w:vAlign w:val="bottom"/>
          </w:tcPr>
          <w:p>
            <w:pPr>
              <w:spacing w:after="0"/>
              <w:rPr>
                <w:sz w:val="20"/>
                <w:szCs w:val="20"/>
                <w:color w:val="auto"/>
              </w:rPr>
            </w:pPr>
          </w:p>
        </w:tc>
      </w:tr>
      <w:tr>
        <w:trPr>
          <w:trHeight w:val="210"/>
        </w:trPr>
        <w:tc>
          <w:tcPr>
            <w:tcW w:w="2740" w:type="dxa"/>
            <w:vAlign w:val="bottom"/>
          </w:tcPr>
          <w:p>
            <w:pPr>
              <w:spacing w:after="0"/>
              <w:rPr>
                <w:sz w:val="18"/>
                <w:szCs w:val="18"/>
                <w:color w:val="auto"/>
              </w:rPr>
            </w:pPr>
          </w:p>
        </w:tc>
        <w:tc>
          <w:tcPr>
            <w:tcW w:w="28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rPr>
              <w:t>June 2014</w:t>
            </w:r>
          </w:p>
        </w:tc>
        <w:tc>
          <w:tcPr>
            <w:tcW w:w="220" w:type="dxa"/>
            <w:vAlign w:val="bottom"/>
            <w:shd w:val="clear" w:color="auto" w:fill="EEEEEE"/>
          </w:tcPr>
          <w:p>
            <w:pPr>
              <w:spacing w:after="0"/>
              <w:rPr>
                <w:sz w:val="18"/>
                <w:szCs w:val="18"/>
                <w:color w:val="auto"/>
              </w:rPr>
            </w:pPr>
          </w:p>
        </w:tc>
        <w:tc>
          <w:tcPr>
            <w:tcW w:w="28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2.37%</w:t>
            </w:r>
          </w:p>
        </w:tc>
        <w:tc>
          <w:tcPr>
            <w:tcW w:w="27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333333"/>
              </w:rPr>
              <w:t>September 2014</w:t>
            </w:r>
          </w:p>
        </w:tc>
        <w:tc>
          <w:tcPr>
            <w:tcW w:w="3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2.71%</w:t>
            </w:r>
          </w:p>
        </w:tc>
        <w:tc>
          <w:tcPr>
            <w:tcW w:w="27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8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December 2014</w:t>
            </w:r>
          </w:p>
        </w:tc>
        <w:tc>
          <w:tcPr>
            <w:tcW w:w="3080" w:type="dxa"/>
            <w:vAlign w:val="bottom"/>
            <w:gridSpan w:val="2"/>
            <w:shd w:val="clear" w:color="auto" w:fill="EEEEEE"/>
          </w:tcPr>
          <w:p>
            <w:pPr>
              <w:jc w:val="center"/>
              <w:ind w:left="130"/>
              <w:spacing w:after="0"/>
              <w:rPr>
                <w:sz w:val="20"/>
                <w:szCs w:val="20"/>
                <w:color w:val="auto"/>
              </w:rPr>
            </w:pPr>
            <w:r>
              <w:rPr>
                <w:rFonts w:ascii="Times New Roman" w:cs="Times New Roman" w:eastAsia="Times New Roman" w:hAnsi="Times New Roman"/>
                <w:sz w:val="18"/>
                <w:szCs w:val="18"/>
                <w:color w:val="auto"/>
                <w:w w:val="98"/>
              </w:rPr>
              <w:t>3.07%</w:t>
            </w:r>
          </w:p>
        </w:tc>
        <w:tc>
          <w:tcPr>
            <w:tcW w:w="27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333333"/>
              </w:rPr>
              <w:t>March 2015</w:t>
            </w:r>
          </w:p>
        </w:tc>
        <w:tc>
          <w:tcPr>
            <w:tcW w:w="3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3.04%</w:t>
            </w:r>
          </w:p>
        </w:tc>
        <w:tc>
          <w:tcPr>
            <w:tcW w:w="27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8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rPr>
              <w:t>June 2015</w:t>
            </w:r>
          </w:p>
        </w:tc>
        <w:tc>
          <w:tcPr>
            <w:tcW w:w="3080" w:type="dxa"/>
            <w:vAlign w:val="bottom"/>
            <w:gridSpan w:val="2"/>
            <w:shd w:val="clear" w:color="auto" w:fill="EEEEEE"/>
          </w:tcPr>
          <w:p>
            <w:pPr>
              <w:jc w:val="center"/>
              <w:ind w:left="130"/>
              <w:spacing w:after="0"/>
              <w:rPr>
                <w:sz w:val="20"/>
                <w:szCs w:val="20"/>
                <w:color w:val="auto"/>
              </w:rPr>
            </w:pPr>
            <w:r>
              <w:rPr>
                <w:rFonts w:ascii="Times New Roman" w:cs="Times New Roman" w:eastAsia="Times New Roman" w:hAnsi="Times New Roman"/>
                <w:sz w:val="18"/>
                <w:szCs w:val="18"/>
                <w:color w:val="auto"/>
                <w:w w:val="98"/>
              </w:rPr>
              <w:t>3.18%</w:t>
            </w:r>
          </w:p>
        </w:tc>
        <w:tc>
          <w:tcPr>
            <w:tcW w:w="27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333333"/>
              </w:rPr>
              <w:t>September 2015</w:t>
            </w:r>
          </w:p>
        </w:tc>
        <w:tc>
          <w:tcPr>
            <w:tcW w:w="3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3.78%</w:t>
            </w:r>
          </w:p>
        </w:tc>
        <w:tc>
          <w:tcPr>
            <w:tcW w:w="27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8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January 2016</w:t>
            </w:r>
          </w:p>
        </w:tc>
        <w:tc>
          <w:tcPr>
            <w:tcW w:w="3080" w:type="dxa"/>
            <w:vAlign w:val="bottom"/>
            <w:gridSpan w:val="2"/>
            <w:shd w:val="clear" w:color="auto" w:fill="EEEEEE"/>
          </w:tcPr>
          <w:p>
            <w:pPr>
              <w:jc w:val="center"/>
              <w:ind w:left="130"/>
              <w:spacing w:after="0"/>
              <w:rPr>
                <w:sz w:val="20"/>
                <w:szCs w:val="20"/>
                <w:color w:val="auto"/>
              </w:rPr>
            </w:pPr>
            <w:r>
              <w:rPr>
                <w:rFonts w:ascii="Times New Roman" w:cs="Times New Roman" w:eastAsia="Times New Roman" w:hAnsi="Times New Roman"/>
                <w:sz w:val="18"/>
                <w:szCs w:val="18"/>
                <w:color w:val="auto"/>
                <w:w w:val="98"/>
              </w:rPr>
              <w:t>4.34%</w:t>
            </w:r>
          </w:p>
        </w:tc>
        <w:tc>
          <w:tcPr>
            <w:tcW w:w="27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April 2016</w:t>
            </w:r>
          </w:p>
        </w:tc>
        <w:tc>
          <w:tcPr>
            <w:tcW w:w="3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4.65%</w:t>
            </w:r>
          </w:p>
        </w:tc>
        <w:tc>
          <w:tcPr>
            <w:tcW w:w="27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8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July 2016</w:t>
            </w:r>
          </w:p>
        </w:tc>
        <w:tc>
          <w:tcPr>
            <w:tcW w:w="3080" w:type="dxa"/>
            <w:vAlign w:val="bottom"/>
            <w:gridSpan w:val="2"/>
            <w:shd w:val="clear" w:color="auto" w:fill="EEEEEE"/>
          </w:tcPr>
          <w:p>
            <w:pPr>
              <w:jc w:val="center"/>
              <w:ind w:left="130"/>
              <w:spacing w:after="0"/>
              <w:rPr>
                <w:sz w:val="20"/>
                <w:szCs w:val="20"/>
                <w:color w:val="auto"/>
              </w:rPr>
            </w:pPr>
            <w:r>
              <w:rPr>
                <w:rFonts w:ascii="Times New Roman" w:cs="Times New Roman" w:eastAsia="Times New Roman" w:hAnsi="Times New Roman"/>
                <w:sz w:val="18"/>
                <w:szCs w:val="18"/>
                <w:color w:val="auto"/>
                <w:w w:val="98"/>
              </w:rPr>
              <w:t>4.48%</w:t>
            </w:r>
          </w:p>
        </w:tc>
        <w:tc>
          <w:tcPr>
            <w:tcW w:w="27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2016</w:t>
            </w:r>
          </w:p>
        </w:tc>
        <w:tc>
          <w:tcPr>
            <w:tcW w:w="3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3.66%</w:t>
            </w:r>
          </w:p>
        </w:tc>
        <w:tc>
          <w:tcPr>
            <w:tcW w:w="27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8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January 2017</w:t>
            </w:r>
          </w:p>
        </w:tc>
        <w:tc>
          <w:tcPr>
            <w:tcW w:w="3080" w:type="dxa"/>
            <w:vAlign w:val="bottom"/>
            <w:gridSpan w:val="2"/>
            <w:shd w:val="clear" w:color="auto" w:fill="EEEEEE"/>
          </w:tcPr>
          <w:p>
            <w:pPr>
              <w:jc w:val="center"/>
              <w:ind w:left="130"/>
              <w:spacing w:after="0"/>
              <w:rPr>
                <w:sz w:val="20"/>
                <w:szCs w:val="20"/>
                <w:color w:val="auto"/>
              </w:rPr>
            </w:pPr>
            <w:r>
              <w:rPr>
                <w:rFonts w:ascii="Times New Roman" w:cs="Times New Roman" w:eastAsia="Times New Roman" w:hAnsi="Times New Roman"/>
                <w:sz w:val="18"/>
                <w:szCs w:val="18"/>
                <w:color w:val="auto"/>
                <w:w w:val="98"/>
              </w:rPr>
              <w:t>3.90%</w:t>
            </w:r>
          </w:p>
        </w:tc>
        <w:tc>
          <w:tcPr>
            <w:tcW w:w="274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2017</w:t>
            </w:r>
          </w:p>
        </w:tc>
        <w:tc>
          <w:tcPr>
            <w:tcW w:w="3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3.45%</w:t>
            </w:r>
          </w:p>
        </w:tc>
        <w:tc>
          <w:tcPr>
            <w:tcW w:w="2740" w:type="dxa"/>
            <w:vAlign w:val="bottom"/>
          </w:tcPr>
          <w:p>
            <w:pPr>
              <w:spacing w:after="0"/>
              <w:rPr>
                <w:sz w:val="20"/>
                <w:szCs w:val="20"/>
                <w:color w:val="auto"/>
              </w:rPr>
            </w:pPr>
          </w:p>
        </w:tc>
      </w:tr>
      <w:tr>
        <w:trPr>
          <w:trHeight w:val="414"/>
        </w:trPr>
        <w:tc>
          <w:tcPr>
            <w:tcW w:w="27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0" w:name="page21"/>
    <w:bookmarkEnd w:id="2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on subordinated renewable notes decreased by $64,000, or 17.6%. The decrease is due to a decrease in the average yield on our subordinated renewable notes to 7.8% for the three-month period ended March 31, 2017 compared to the prior year when the average yield on our subordinated renewable notes was 9.5%. In addition, the average balance decreased to $15.3 million for the three-month period ended March 31, 2017 compared to $15.4 million in the prior year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on warehouse debt decreased by $714,000, or 29.5%, for the three months ended March 31, 2017 compared to the prior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possible, we hold contracts with our own cash rather than pledging them to one of our warehouse facilities to minimize interest expense.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three-month periods ended March 31, 2017 and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5"/>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Balance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Borders>
              <w:top w:val="single" w:sz="8" w:color="EEEEEE"/>
            </w:tcBorders>
            <w:shd w:val="clear" w:color="auto" w:fill="EEEEEE"/>
          </w:tcPr>
          <w:p>
            <w:pPr>
              <w:spacing w:after="0"/>
              <w:rPr>
                <w:sz w:val="13"/>
                <w:szCs w:val="13"/>
                <w:color w:val="auto"/>
              </w:rPr>
            </w:pPr>
          </w:p>
        </w:tc>
        <w:tc>
          <w:tcPr>
            <w:tcW w:w="140" w:type="dxa"/>
            <w:vAlign w:val="bottom"/>
            <w:tcBorders>
              <w:top w:val="single" w:sz="8" w:color="EEEEEE"/>
            </w:tcBorders>
            <w:shd w:val="clear" w:color="auto" w:fill="EEEEEE"/>
          </w:tcPr>
          <w:p>
            <w:pPr>
              <w:spacing w:after="0"/>
              <w:rPr>
                <w:sz w:val="13"/>
                <w:szCs w:val="13"/>
                <w:color w:val="auto"/>
              </w:rPr>
            </w:pPr>
          </w:p>
        </w:tc>
        <w:tc>
          <w:tcPr>
            <w:tcW w:w="3040" w:type="dxa"/>
            <w:vAlign w:val="bottom"/>
            <w:tcBorders>
              <w:top w:val="single" w:sz="8" w:color="EEEEEE"/>
            </w:tcBorders>
            <w:gridSpan w:val="3"/>
            <w:shd w:val="clear" w:color="auto" w:fill="EEEEEE"/>
          </w:tcPr>
          <w:p>
            <w:pPr>
              <w:jc w:val="center"/>
              <w:ind w:right="1240"/>
              <w:spacing w:after="0" w:line="156"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120" w:type="dxa"/>
            <w:vAlign w:val="bottom"/>
            <w:tcBorders>
              <w:top w:val="single" w:sz="8" w:color="EEEEEE"/>
            </w:tcBorders>
            <w:shd w:val="clear" w:color="auto" w:fill="EEEEEE"/>
          </w:tcPr>
          <w:p>
            <w:pPr>
              <w:spacing w:after="0"/>
              <w:rPr>
                <w:sz w:val="13"/>
                <w:szCs w:val="13"/>
                <w:color w:val="auto"/>
              </w:rPr>
            </w:pPr>
          </w:p>
        </w:tc>
        <w:tc>
          <w:tcPr>
            <w:tcW w:w="140" w:type="dxa"/>
            <w:vAlign w:val="bottom"/>
            <w:tcBorders>
              <w:top w:val="single" w:sz="8" w:color="auto"/>
            </w:tcBorders>
            <w:shd w:val="clear" w:color="auto" w:fill="EEEEEE"/>
          </w:tcPr>
          <w:p>
            <w:pPr>
              <w:spacing w:after="0"/>
              <w:rPr>
                <w:sz w:val="13"/>
                <w:szCs w:val="13"/>
                <w:color w:val="auto"/>
              </w:rPr>
            </w:pPr>
          </w:p>
        </w:tc>
        <w:tc>
          <w:tcPr>
            <w:tcW w:w="880" w:type="dxa"/>
            <w:vAlign w:val="bottom"/>
            <w:tcBorders>
              <w:top w:val="single" w:sz="8" w:color="auto"/>
            </w:tcBorders>
            <w:shd w:val="clear" w:color="auto" w:fill="EEEEEE"/>
          </w:tcPr>
          <w:p>
            <w:pPr>
              <w:spacing w:after="0"/>
              <w:rPr>
                <w:sz w:val="13"/>
                <w:szCs w:val="13"/>
                <w:color w:val="auto"/>
              </w:rPr>
            </w:pPr>
          </w:p>
        </w:tc>
        <w:tc>
          <w:tcPr>
            <w:tcW w:w="100" w:type="dxa"/>
            <w:vAlign w:val="bottom"/>
            <w:tcBorders>
              <w:top w:val="single" w:sz="8" w:color="EEEEEE"/>
            </w:tcBorders>
            <w:shd w:val="clear" w:color="auto" w:fill="EEEEEE"/>
          </w:tcPr>
          <w:p>
            <w:pPr>
              <w:spacing w:after="0"/>
              <w:rPr>
                <w:sz w:val="13"/>
                <w:szCs w:val="13"/>
                <w:color w:val="auto"/>
              </w:rPr>
            </w:pPr>
          </w:p>
        </w:tc>
        <w:tc>
          <w:tcPr>
            <w:tcW w:w="120" w:type="dxa"/>
            <w:vAlign w:val="bottom"/>
            <w:tcBorders>
              <w:top w:val="single" w:sz="8" w:color="EEEEEE"/>
            </w:tcBorders>
            <w:shd w:val="clear" w:color="auto" w:fill="EEEEEE"/>
          </w:tcPr>
          <w:p>
            <w:pPr>
              <w:spacing w:after="0"/>
              <w:rPr>
                <w:sz w:val="13"/>
                <w:szCs w:val="13"/>
                <w:color w:val="auto"/>
              </w:rPr>
            </w:pPr>
          </w:p>
        </w:tc>
        <w:tc>
          <w:tcPr>
            <w:tcW w:w="140" w:type="dxa"/>
            <w:vAlign w:val="bottom"/>
            <w:tcBorders>
              <w:top w:val="single" w:sz="8" w:color="auto"/>
            </w:tcBorders>
            <w:shd w:val="clear" w:color="auto" w:fill="EEEEEE"/>
          </w:tcPr>
          <w:p>
            <w:pPr>
              <w:spacing w:after="0"/>
              <w:rPr>
                <w:sz w:val="13"/>
                <w:szCs w:val="13"/>
                <w:color w:val="auto"/>
              </w:rPr>
            </w:pPr>
          </w:p>
        </w:tc>
        <w:tc>
          <w:tcPr>
            <w:tcW w:w="860" w:type="dxa"/>
            <w:vAlign w:val="bottom"/>
            <w:tcBorders>
              <w:top w:val="single" w:sz="8" w:color="auto"/>
            </w:tcBorders>
            <w:shd w:val="clear" w:color="auto" w:fill="EEEEEE"/>
          </w:tcPr>
          <w:p>
            <w:pPr>
              <w:spacing w:after="0"/>
              <w:rPr>
                <w:sz w:val="13"/>
                <w:szCs w:val="13"/>
                <w:color w:val="auto"/>
              </w:rPr>
            </w:pPr>
          </w:p>
        </w:tc>
        <w:tc>
          <w:tcPr>
            <w:tcW w:w="120" w:type="dxa"/>
            <w:vAlign w:val="bottom"/>
            <w:tcBorders>
              <w:top w:val="single" w:sz="8" w:color="EEEEEE"/>
            </w:tcBorders>
            <w:shd w:val="clear" w:color="auto" w:fill="EEEEEE"/>
          </w:tcPr>
          <w:p>
            <w:pPr>
              <w:spacing w:after="0"/>
              <w:rPr>
                <w:sz w:val="13"/>
                <w:szCs w:val="13"/>
                <w:color w:val="auto"/>
              </w:rPr>
            </w:pPr>
          </w:p>
        </w:tc>
        <w:tc>
          <w:tcPr>
            <w:tcW w:w="100" w:type="dxa"/>
            <w:vAlign w:val="bottom"/>
            <w:tcBorders>
              <w:top w:val="single" w:sz="8" w:color="EEEEEE"/>
            </w:tcBorders>
            <w:shd w:val="clear" w:color="auto" w:fill="EEEEEE"/>
          </w:tcPr>
          <w:p>
            <w:pPr>
              <w:spacing w:after="0"/>
              <w:rPr>
                <w:sz w:val="13"/>
                <w:szCs w:val="13"/>
                <w:color w:val="auto"/>
              </w:rPr>
            </w:pPr>
          </w:p>
        </w:tc>
        <w:tc>
          <w:tcPr>
            <w:tcW w:w="880" w:type="dxa"/>
            <w:vAlign w:val="bottom"/>
            <w:tcBorders>
              <w:top w:val="single" w:sz="8" w:color="auto"/>
            </w:tcBorders>
            <w:shd w:val="clear" w:color="auto" w:fill="EEEEEE"/>
          </w:tcPr>
          <w:p>
            <w:pPr>
              <w:spacing w:after="0"/>
              <w:rPr>
                <w:sz w:val="13"/>
                <w:szCs w:val="13"/>
                <w:color w:val="auto"/>
              </w:rPr>
            </w:pPr>
          </w:p>
        </w:tc>
        <w:tc>
          <w:tcPr>
            <w:tcW w:w="220" w:type="dxa"/>
            <w:vAlign w:val="bottom"/>
            <w:tcBorders>
              <w:top w:val="single" w:sz="8" w:color="EEEEEE"/>
            </w:tcBorders>
            <w:shd w:val="clear" w:color="auto" w:fill="EEEEEE"/>
          </w:tcPr>
          <w:p>
            <w:pPr>
              <w:spacing w:after="0"/>
              <w:rPr>
                <w:sz w:val="13"/>
                <w:szCs w:val="13"/>
                <w:color w:val="auto"/>
              </w:rPr>
            </w:pPr>
          </w:p>
        </w:tc>
        <w:tc>
          <w:tcPr>
            <w:tcW w:w="140" w:type="dxa"/>
            <w:vAlign w:val="bottom"/>
            <w:tcBorders>
              <w:top w:val="single" w:sz="8" w:color="auto"/>
            </w:tcBorders>
            <w:shd w:val="clear" w:color="auto" w:fill="EEEEEE"/>
          </w:tcPr>
          <w:p>
            <w:pPr>
              <w:spacing w:after="0"/>
              <w:rPr>
                <w:sz w:val="13"/>
                <w:szCs w:val="13"/>
                <w:color w:val="auto"/>
              </w:rPr>
            </w:pPr>
          </w:p>
        </w:tc>
        <w:tc>
          <w:tcPr>
            <w:tcW w:w="860" w:type="dxa"/>
            <w:vAlign w:val="bottom"/>
            <w:tcBorders>
              <w:top w:val="single" w:sz="8" w:color="auto"/>
            </w:tcBorders>
            <w:shd w:val="clear" w:color="auto" w:fill="EEEEEE"/>
          </w:tcPr>
          <w:p>
            <w:pPr>
              <w:spacing w:after="0"/>
              <w:rPr>
                <w:sz w:val="13"/>
                <w:szCs w:val="13"/>
                <w:color w:val="auto"/>
              </w:rPr>
            </w:pPr>
          </w:p>
        </w:tc>
        <w:tc>
          <w:tcPr>
            <w:tcW w:w="220" w:type="dxa"/>
            <w:vAlign w:val="bottom"/>
            <w:tcBorders>
              <w:top w:val="single" w:sz="8" w:color="EEEEEE"/>
            </w:tcBorders>
            <w:shd w:val="clear" w:color="auto" w:fill="EEEEEE"/>
          </w:tcPr>
          <w:p>
            <w:pPr>
              <w:spacing w:after="0"/>
              <w:rPr>
                <w:sz w:val="13"/>
                <w:szCs w:val="13"/>
                <w:color w:val="auto"/>
              </w:rPr>
            </w:pPr>
          </w:p>
        </w:tc>
        <w:tc>
          <w:tcPr>
            <w:tcW w:w="160" w:type="dxa"/>
            <w:vAlign w:val="bottom"/>
            <w:tcBorders>
              <w:top w:val="single" w:sz="8" w:color="auto"/>
            </w:tcBorders>
            <w:shd w:val="clear" w:color="auto" w:fill="EEEEEE"/>
          </w:tcPr>
          <w:p>
            <w:pPr>
              <w:spacing w:after="0"/>
              <w:rPr>
                <w:sz w:val="13"/>
                <w:szCs w:val="13"/>
                <w:color w:val="auto"/>
              </w:rPr>
            </w:pPr>
          </w:p>
        </w:tc>
        <w:tc>
          <w:tcPr>
            <w:tcW w:w="860" w:type="dxa"/>
            <w:vAlign w:val="bottom"/>
            <w:tcBorders>
              <w:top w:val="single" w:sz="8" w:color="auto"/>
            </w:tcBorders>
            <w:shd w:val="clear" w:color="auto" w:fill="EEEEEE"/>
          </w:tcPr>
          <w:p>
            <w:pPr>
              <w:spacing w:after="0"/>
              <w:rPr>
                <w:sz w:val="13"/>
                <w:szCs w:val="13"/>
                <w:color w:val="auto"/>
              </w:rPr>
            </w:pPr>
          </w:p>
        </w:tc>
        <w:tc>
          <w:tcPr>
            <w:tcW w:w="100" w:type="dxa"/>
            <w:vAlign w:val="bottom"/>
            <w:tcBorders>
              <w:top w:val="single" w:sz="8" w:color="EEEEEE"/>
            </w:tcBorders>
            <w:shd w:val="clear" w:color="auto" w:fill="EEEEEE"/>
          </w:tcPr>
          <w:p>
            <w:pPr>
              <w:spacing w:after="0"/>
              <w:rPr>
                <w:sz w:val="13"/>
                <w:szCs w:val="13"/>
                <w:color w:val="auto"/>
              </w:rPr>
            </w:pPr>
          </w:p>
        </w:tc>
        <w:tc>
          <w:tcPr>
            <w:tcW w:w="1000" w:type="dxa"/>
            <w:vAlign w:val="bottom"/>
            <w:tcBorders>
              <w:top w:val="single" w:sz="8" w:color="EEEEEE"/>
            </w:tcBorders>
            <w:shd w:val="clear" w:color="auto" w:fill="EEEEEE"/>
          </w:tcPr>
          <w:p>
            <w:pPr>
              <w:spacing w:after="0"/>
              <w:rPr>
                <w:sz w:val="13"/>
                <w:szCs w:val="13"/>
                <w:color w:val="auto"/>
              </w:rPr>
            </w:pPr>
          </w:p>
        </w:tc>
        <w:tc>
          <w:tcPr>
            <w:tcW w:w="100" w:type="dxa"/>
            <w:vAlign w:val="bottom"/>
            <w:tcBorders>
              <w:top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100" w:type="dxa"/>
            <w:vAlign w:val="bottom"/>
            <w:tcBorders>
              <w:top w:val="single" w:sz="8" w:color="EEEEEE"/>
            </w:tcBorders>
            <w:shd w:val="clear" w:color="auto" w:fill="EEEEEE"/>
          </w:tcPr>
          <w:p>
            <w:pPr>
              <w:spacing w:after="0"/>
              <w:rPr>
                <w:sz w:val="2"/>
                <w:szCs w:val="2"/>
                <w:color w:val="auto"/>
              </w:rPr>
            </w:pPr>
          </w:p>
        </w:tc>
        <w:tc>
          <w:tcPr>
            <w:tcW w:w="140" w:type="dxa"/>
            <w:vAlign w:val="bottom"/>
            <w:tcBorders>
              <w:top w:val="single" w:sz="8" w:color="EEEEEE"/>
            </w:tcBorders>
            <w:shd w:val="clear" w:color="auto" w:fill="EEEEEE"/>
          </w:tcPr>
          <w:p>
            <w:pPr>
              <w:spacing w:after="0"/>
              <w:rPr>
                <w:sz w:val="2"/>
                <w:szCs w:val="2"/>
                <w:color w:val="auto"/>
              </w:rPr>
            </w:pPr>
          </w:p>
        </w:tc>
        <w:tc>
          <w:tcPr>
            <w:tcW w:w="1800" w:type="dxa"/>
            <w:vAlign w:val="bottom"/>
            <w:tcBorders>
              <w:top w:val="single" w:sz="8" w:color="auto"/>
            </w:tcBorders>
            <w:shd w:val="clear" w:color="auto" w:fill="EEEEEE"/>
          </w:tcPr>
          <w:p>
            <w:pPr>
              <w:spacing w:after="0"/>
              <w:rPr>
                <w:sz w:val="2"/>
                <w:szCs w:val="2"/>
                <w:color w:val="auto"/>
              </w:rPr>
            </w:pPr>
          </w:p>
        </w:tc>
        <w:tc>
          <w:tcPr>
            <w:tcW w:w="140" w:type="dxa"/>
            <w:vAlign w:val="bottom"/>
            <w:tcBorders>
              <w:top w:val="single" w:sz="8" w:color="EEEEEE"/>
            </w:tcBorders>
            <w:shd w:val="clear" w:color="auto" w:fill="EEEEEE"/>
          </w:tcPr>
          <w:p>
            <w:pPr>
              <w:spacing w:after="0"/>
              <w:rPr>
                <w:sz w:val="2"/>
                <w:szCs w:val="2"/>
                <w:color w:val="auto"/>
              </w:rPr>
            </w:pPr>
          </w:p>
        </w:tc>
        <w:tc>
          <w:tcPr>
            <w:tcW w:w="1100" w:type="dxa"/>
            <w:vAlign w:val="bottom"/>
            <w:tcBorders>
              <w:top w:val="single" w:sz="8" w:color="EEEE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140" w:type="dxa"/>
            <w:vAlign w:val="bottom"/>
            <w:tcBorders>
              <w:top w:val="single" w:sz="8" w:color="EEEEEE"/>
            </w:tcBorders>
            <w:shd w:val="clear" w:color="auto" w:fill="EEEEEE"/>
          </w:tcPr>
          <w:p>
            <w:pPr>
              <w:spacing w:after="0"/>
              <w:rPr>
                <w:sz w:val="2"/>
                <w:szCs w:val="2"/>
                <w:color w:val="auto"/>
              </w:rPr>
            </w:pPr>
          </w:p>
        </w:tc>
        <w:tc>
          <w:tcPr>
            <w:tcW w:w="88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EEEE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140" w:type="dxa"/>
            <w:vAlign w:val="bottom"/>
            <w:tcBorders>
              <w:top w:val="single" w:sz="8" w:color="EEEEEE"/>
            </w:tcBorders>
            <w:shd w:val="clear" w:color="auto" w:fill="EEEEEE"/>
          </w:tcPr>
          <w:p>
            <w:pPr>
              <w:spacing w:after="0"/>
              <w:rPr>
                <w:sz w:val="2"/>
                <w:szCs w:val="2"/>
                <w:color w:val="auto"/>
              </w:rPr>
            </w:pPr>
          </w:p>
        </w:tc>
        <w:tc>
          <w:tcPr>
            <w:tcW w:w="860" w:type="dxa"/>
            <w:vAlign w:val="bottom"/>
            <w:tcBorders>
              <w:top w:val="single" w:sz="8" w:color="EEEE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EEEEEE"/>
            </w:tcBorders>
            <w:shd w:val="clear" w:color="auto" w:fill="EEEEEE"/>
          </w:tcPr>
          <w:p>
            <w:pPr>
              <w:spacing w:after="0"/>
              <w:rPr>
                <w:sz w:val="2"/>
                <w:szCs w:val="2"/>
                <w:color w:val="auto"/>
              </w:rPr>
            </w:pPr>
          </w:p>
        </w:tc>
        <w:tc>
          <w:tcPr>
            <w:tcW w:w="88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140" w:type="dxa"/>
            <w:vAlign w:val="bottom"/>
            <w:tcBorders>
              <w:top w:val="single" w:sz="8" w:color="EEEEEE"/>
            </w:tcBorders>
            <w:shd w:val="clear" w:color="auto" w:fill="EEEEEE"/>
          </w:tcPr>
          <w:p>
            <w:pPr>
              <w:spacing w:after="0"/>
              <w:rPr>
                <w:sz w:val="2"/>
                <w:szCs w:val="2"/>
                <w:color w:val="auto"/>
              </w:rPr>
            </w:pPr>
          </w:p>
        </w:tc>
        <w:tc>
          <w:tcPr>
            <w:tcW w:w="86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86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EEEEEE"/>
            </w:tcBorders>
            <w:shd w:val="clear" w:color="auto" w:fill="EEEEEE"/>
          </w:tcPr>
          <w:p>
            <w:pPr>
              <w:spacing w:after="0"/>
              <w:rPr>
                <w:sz w:val="2"/>
                <w:szCs w:val="2"/>
                <w:color w:val="auto"/>
              </w:rPr>
            </w:pPr>
          </w:p>
        </w:tc>
        <w:tc>
          <w:tcPr>
            <w:tcW w:w="100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EEEEEE"/>
            </w:tcBorders>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receivables gross (2)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2,271,937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104,575</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2,057,010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96,663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FFFFFF"/>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180" w:type="dxa"/>
            <w:vAlign w:val="bottom"/>
            <w:gridSpan w:val="4"/>
          </w:tcPr>
          <w:p>
            <w:pPr>
              <w:jc w:val="center"/>
              <w:ind w:right="1100"/>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FFFFFF"/>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 (3)</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52,409</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1,708</w:t>
            </w:r>
          </w:p>
        </w:tc>
        <w:tc>
          <w:tcPr>
            <w:tcW w:w="12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97,364</w:t>
            </w:r>
          </w:p>
        </w:tc>
        <w:tc>
          <w:tcPr>
            <w:tcW w:w="1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2,422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2,167,961</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20,080</w:t>
            </w:r>
          </w:p>
        </w:tc>
        <w:tc>
          <w:tcPr>
            <w:tcW w:w="12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1,938,397</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14,764</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15,406</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Borders>
              <w:top w:val="single" w:sz="8" w:color="EEEEEE"/>
              <w:bottom w:val="single" w:sz="8" w:color="EEEEEE"/>
            </w:tcBorders>
            <w:shd w:val="clear" w:color="auto" w:fill="EEEEEE"/>
          </w:tcPr>
          <w:p>
            <w:pPr>
              <w:spacing w:after="0"/>
              <w:rPr>
                <w:sz w:val="20"/>
                <w:szCs w:val="20"/>
                <w:color w:val="auto"/>
              </w:rPr>
            </w:pPr>
          </w:p>
        </w:tc>
        <w:tc>
          <w:tcPr>
            <w:tcW w:w="140" w:type="dxa"/>
            <w:vAlign w:val="bottom"/>
            <w:tcBorders>
              <w:top w:val="single" w:sz="8" w:color="EEEEEE"/>
              <w:bottom w:val="single" w:sz="8" w:color="EEEEEE"/>
            </w:tcBorders>
            <w:shd w:val="clear" w:color="auto" w:fill="EEEEEE"/>
          </w:tcPr>
          <w:p>
            <w:pPr>
              <w:spacing w:after="0"/>
              <w:rPr>
                <w:sz w:val="20"/>
                <w:szCs w:val="20"/>
                <w:color w:val="auto"/>
              </w:rPr>
            </w:pPr>
          </w:p>
        </w:tc>
        <w:tc>
          <w:tcPr>
            <w:tcW w:w="1800" w:type="dxa"/>
            <w:vAlign w:val="bottom"/>
            <w:tcBorders>
              <w:top w:val="single" w:sz="8" w:color="EEEEEE"/>
              <w:bottom w:val="single" w:sz="8" w:color="EEEEEE"/>
            </w:tcBorders>
            <w:shd w:val="clear" w:color="auto" w:fill="EEEEEE"/>
          </w:tcPr>
          <w:p>
            <w:pPr>
              <w:spacing w:after="0"/>
              <w:rPr>
                <w:sz w:val="20"/>
                <w:szCs w:val="20"/>
                <w:color w:val="auto"/>
              </w:rPr>
            </w:pPr>
          </w:p>
        </w:tc>
        <w:tc>
          <w:tcPr>
            <w:tcW w:w="140" w:type="dxa"/>
            <w:vAlign w:val="bottom"/>
            <w:tcBorders>
              <w:top w:val="single" w:sz="8" w:color="EEEEEE"/>
              <w:bottom w:val="single" w:sz="8" w:color="EEEEEE"/>
            </w:tcBorders>
            <w:shd w:val="clear" w:color="auto" w:fill="EEEEEE"/>
          </w:tcPr>
          <w:p>
            <w:pPr>
              <w:spacing w:after="0"/>
              <w:rPr>
                <w:sz w:val="20"/>
                <w:szCs w:val="20"/>
                <w:color w:val="auto"/>
              </w:rPr>
            </w:pPr>
          </w:p>
        </w:tc>
        <w:tc>
          <w:tcPr>
            <w:tcW w:w="1100" w:type="dxa"/>
            <w:vAlign w:val="bottom"/>
            <w:tcBorders>
              <w:top w:val="single" w:sz="8" w:color="EEEEEE"/>
              <w:bottom w:val="single" w:sz="8" w:color="EEEEEE"/>
            </w:tcBorders>
            <w:shd w:val="clear" w:color="auto" w:fill="EEEEEE"/>
          </w:tcPr>
          <w:p>
            <w:pPr>
              <w:spacing w:after="0"/>
              <w:rPr>
                <w:sz w:val="20"/>
                <w:szCs w:val="20"/>
                <w:color w:val="auto"/>
              </w:rPr>
            </w:pPr>
          </w:p>
        </w:tc>
        <w:tc>
          <w:tcPr>
            <w:tcW w:w="120" w:type="dxa"/>
            <w:vAlign w:val="bottom"/>
            <w:tcBorders>
              <w:top w:val="single" w:sz="8" w:color="EEEEEE"/>
              <w:bottom w:val="single" w:sz="8" w:color="EEEEEE"/>
            </w:tcBorders>
            <w:shd w:val="clear" w:color="auto" w:fill="EEEEEE"/>
          </w:tcPr>
          <w:p>
            <w:pPr>
              <w:spacing w:after="0"/>
              <w:rPr>
                <w:sz w:val="20"/>
                <w:szCs w:val="20"/>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2,235,682</w:t>
            </w:r>
          </w:p>
        </w:tc>
        <w:tc>
          <w:tcPr>
            <w:tcW w:w="100" w:type="dxa"/>
            <w:vAlign w:val="bottom"/>
            <w:tcBorders>
              <w:top w:val="single" w:sz="8" w:color="EEEEEE"/>
              <w:bottom w:val="single" w:sz="8" w:color="EEEEEE"/>
            </w:tcBorders>
            <w:shd w:val="clear" w:color="auto" w:fill="EEEEEE"/>
          </w:tcPr>
          <w:p>
            <w:pPr>
              <w:spacing w:after="0"/>
              <w:rPr>
                <w:sz w:val="20"/>
                <w:szCs w:val="20"/>
                <w:color w:val="auto"/>
              </w:rPr>
            </w:pPr>
          </w:p>
        </w:tc>
        <w:tc>
          <w:tcPr>
            <w:tcW w:w="120" w:type="dxa"/>
            <w:vAlign w:val="bottom"/>
            <w:tcBorders>
              <w:top w:val="single" w:sz="8" w:color="EEEEEE"/>
              <w:bottom w:val="single" w:sz="8" w:color="EEEEEE"/>
            </w:tcBorders>
            <w:shd w:val="clear" w:color="auto" w:fill="EEEEEE"/>
          </w:tcPr>
          <w:p>
            <w:pPr>
              <w:spacing w:after="0"/>
              <w:rPr>
                <w:sz w:val="20"/>
                <w:szCs w:val="20"/>
                <w:color w:val="auto"/>
              </w:rPr>
            </w:pPr>
          </w:p>
        </w:tc>
        <w:tc>
          <w:tcPr>
            <w:tcW w:w="140" w:type="dxa"/>
            <w:vAlign w:val="bottom"/>
            <w:tcBorders>
              <w:top w:val="single" w:sz="8" w:color="auto"/>
              <w:bottom w:val="single" w:sz="8" w:color="EEEEEE"/>
            </w:tcBorders>
            <w:shd w:val="clear" w:color="auto" w:fill="EEEEEE"/>
          </w:tcPr>
          <w:p>
            <w:pPr>
              <w:spacing w:after="0"/>
              <w:rPr>
                <w:sz w:val="20"/>
                <w:szCs w:val="20"/>
                <w:color w:val="auto"/>
              </w:rPr>
            </w:pPr>
          </w:p>
        </w:tc>
        <w:tc>
          <w:tcPr>
            <w:tcW w:w="86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120" w:type="dxa"/>
            <w:vAlign w:val="bottom"/>
            <w:tcBorders>
              <w:top w:val="single" w:sz="8" w:color="EEEEEE"/>
              <w:bottom w:val="single" w:sz="8" w:color="EEEEEE"/>
            </w:tcBorders>
            <w:shd w:val="clear" w:color="auto" w:fill="EEEEEE"/>
          </w:tcPr>
          <w:p>
            <w:pPr>
              <w:spacing w:after="0"/>
              <w:rPr>
                <w:sz w:val="20"/>
                <w:szCs w:val="20"/>
                <w:color w:val="auto"/>
              </w:rPr>
            </w:pPr>
          </w:p>
        </w:tc>
        <w:tc>
          <w:tcPr>
            <w:tcW w:w="1200" w:type="dxa"/>
            <w:vAlign w:val="bottom"/>
            <w:tcBorders>
              <w:top w:val="single" w:sz="8" w:color="EEEEEE"/>
              <w:bottom w:val="single" w:sz="8" w:color="EEEEEE"/>
            </w:tcBorders>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2,059,774</w:t>
            </w:r>
          </w:p>
        </w:tc>
        <w:tc>
          <w:tcPr>
            <w:tcW w:w="220" w:type="dxa"/>
            <w:vAlign w:val="bottom"/>
            <w:tcBorders>
              <w:top w:val="single" w:sz="8" w:color="EEEEEE"/>
              <w:bottom w:val="single" w:sz="8" w:color="EEEEEE"/>
            </w:tcBorders>
            <w:shd w:val="clear" w:color="auto" w:fill="EEEEEE"/>
          </w:tcPr>
          <w:p>
            <w:pPr>
              <w:spacing w:after="0"/>
              <w:rPr>
                <w:sz w:val="20"/>
                <w:szCs w:val="20"/>
                <w:color w:val="auto"/>
              </w:rPr>
            </w:pPr>
          </w:p>
        </w:tc>
        <w:tc>
          <w:tcPr>
            <w:tcW w:w="160" w:type="dxa"/>
            <w:vAlign w:val="bottom"/>
            <w:tcBorders>
              <w:top w:val="single" w:sz="8" w:color="auto"/>
              <w:bottom w:val="single" w:sz="8" w:color="EEEEEE"/>
            </w:tcBorders>
            <w:shd w:val="clear" w:color="auto" w:fill="EEEEEE"/>
          </w:tcPr>
          <w:p>
            <w:pPr>
              <w:spacing w:after="0"/>
              <w:rPr>
                <w:sz w:val="20"/>
                <w:szCs w:val="20"/>
                <w:color w:val="auto"/>
              </w:rPr>
            </w:pPr>
          </w:p>
        </w:tc>
        <w:tc>
          <w:tcPr>
            <w:tcW w:w="86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100" w:type="dxa"/>
            <w:vAlign w:val="bottom"/>
            <w:tcBorders>
              <w:top w:val="single" w:sz="8" w:color="EEEEEE"/>
              <w:bottom w:val="single" w:sz="8" w:color="EEEEEE"/>
            </w:tcBorders>
            <w:shd w:val="clear" w:color="auto" w:fill="EEEEEE"/>
          </w:tcPr>
          <w:p>
            <w:pPr>
              <w:spacing w:after="0"/>
              <w:rPr>
                <w:sz w:val="20"/>
                <w:szCs w:val="20"/>
                <w:color w:val="auto"/>
              </w:rPr>
            </w:pPr>
          </w:p>
        </w:tc>
        <w:tc>
          <w:tcPr>
            <w:tcW w:w="110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FFFFFF"/>
              </w:rPr>
              <w:t>$</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1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100" w:type="dxa"/>
            <w:vAlign w:val="bottom"/>
            <w:tcBorders>
              <w:bottom w:val="single" w:sz="8" w:color="EEEEEE"/>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Borders>
              <w:bottom w:val="single" w:sz="8" w:color="EEEEEE"/>
            </w:tcBorders>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980" w:type="dxa"/>
            <w:vAlign w:val="bottom"/>
            <w:tcBorders>
              <w:bottom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FFFFFF"/>
              </w:rPr>
              <w:t>$</w:t>
            </w:r>
          </w:p>
        </w:tc>
        <w:tc>
          <w:tcPr>
            <w:tcW w:w="1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82,487</w:t>
            </w:r>
          </w:p>
        </w:tc>
        <w:tc>
          <w:tcPr>
            <w:tcW w:w="1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8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86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78,842</w:t>
            </w:r>
          </w:p>
        </w:tc>
        <w:tc>
          <w:tcPr>
            <w:tcW w:w="10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Net interest yield (4)</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FFFFFF"/>
              </w:rPr>
              <w:t>$</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line="20" w:lineRule="exact"/>
              <w:rPr>
                <w:sz w:val="1"/>
                <w:szCs w:val="1"/>
                <w:color w:val="auto"/>
              </w:rPr>
            </w:pPr>
          </w:p>
        </w:tc>
      </w:tr>
      <w:tr>
        <w:trPr>
          <w:trHeight w:val="197"/>
        </w:trPr>
        <w:tc>
          <w:tcPr>
            <w:tcW w:w="4300" w:type="dxa"/>
            <w:vAlign w:val="bottom"/>
            <w:gridSpan w:val="6"/>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gridSpan w:val="5"/>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 assets to average interest</w:t>
            </w: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gridSpan w:val="5"/>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bearing liabilities</w:t>
            </w: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FFFFFF"/>
              </w:rPr>
              <w:t>$</w:t>
            </w: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29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27"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deferred fees and direct costs.</w:t>
      </w:r>
    </w:p>
    <w:p>
      <w:pPr>
        <w:spacing w:after="0" w:line="9"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includes deferred financing costs and non-utilization fees.</w:t>
      </w:r>
    </w:p>
    <w:p>
      <w:pPr>
        <w:spacing w:after="0" w:line="9"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2017</w:t>
            </w:r>
          </w:p>
        </w:tc>
        <w:tc>
          <w:tcPr>
            <w:tcW w:w="0" w:type="dxa"/>
            <w:vAlign w:val="bottom"/>
          </w:tcPr>
          <w:p>
            <w:pPr>
              <w:spacing w:after="0"/>
              <w:rPr>
                <w:sz w:val="1"/>
                <w:szCs w:val="1"/>
                <w:color w:val="auto"/>
              </w:rPr>
            </w:pPr>
          </w:p>
        </w:tc>
      </w:tr>
      <w:tr>
        <w:trPr>
          <w:trHeight w:val="238"/>
        </w:trPr>
        <w:tc>
          <w:tcPr>
            <w:tcW w:w="4040" w:type="dxa"/>
            <w:vAlign w:val="bottom"/>
            <w:gridSpan w:val="4"/>
            <w:vMerge w:val="restart"/>
          </w:tcPr>
          <w:p>
            <w:pPr>
              <w:jc w:val="center"/>
              <w:ind w:left="2170"/>
              <w:spacing w:after="0"/>
              <w:rPr>
                <w:sz w:val="20"/>
                <w:szCs w:val="20"/>
                <w:color w:val="auto"/>
              </w:rPr>
            </w:pPr>
            <w:r>
              <w:rPr>
                <w:rFonts w:ascii="Times New Roman" w:cs="Times New Roman" w:eastAsia="Times New Roman" w:hAnsi="Times New Roman"/>
                <w:sz w:val="18"/>
                <w:szCs w:val="18"/>
                <w:b w:val="1"/>
                <w:bCs w:val="1"/>
                <w:color w:val="FFFFFF"/>
              </w:rPr>
              <w:t>$</w:t>
            </w: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7"/>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Compared to March 31, 2016</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70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Due</w:t>
            </w:r>
          </w:p>
        </w:tc>
        <w:tc>
          <w:tcPr>
            <w:tcW w:w="140" w:type="dxa"/>
            <w:vAlign w:val="bottom"/>
          </w:tcPr>
          <w:p>
            <w:pPr>
              <w:spacing w:after="0"/>
              <w:rPr>
                <w:sz w:val="16"/>
                <w:szCs w:val="16"/>
                <w:color w:val="auto"/>
              </w:rPr>
            </w:pPr>
          </w:p>
        </w:tc>
        <w:tc>
          <w:tcPr>
            <w:tcW w:w="12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040" w:type="dxa"/>
            <w:vAlign w:val="bottom"/>
            <w:gridSpan w:val="4"/>
          </w:tcPr>
          <w:p>
            <w:pPr>
              <w:jc w:val="center"/>
              <w:ind w:left="2170"/>
              <w:spacing w:after="0"/>
              <w:rPr>
                <w:sz w:val="20"/>
                <w:szCs w:val="20"/>
                <w:color w:val="auto"/>
              </w:rPr>
            </w:pPr>
            <w:r>
              <w:rPr>
                <w:rFonts w:ascii="Times New Roman" w:cs="Times New Roman" w:eastAsia="Times New Roman" w:hAnsi="Times New Roman"/>
                <w:sz w:val="18"/>
                <w:szCs w:val="18"/>
                <w:b w:val="1"/>
                <w:bCs w:val="1"/>
                <w:color w:val="FFFFFF"/>
              </w:rPr>
              <w:t>$</w:t>
            </w:r>
          </w:p>
        </w:tc>
        <w:tc>
          <w:tcPr>
            <w:tcW w:w="1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to Volume</w:t>
            </w:r>
          </w:p>
        </w:tc>
        <w:tc>
          <w:tcPr>
            <w:tcW w:w="140" w:type="dxa"/>
            <w:vAlign w:val="bottom"/>
          </w:tcPr>
          <w:p>
            <w:pPr>
              <w:spacing w:after="0"/>
              <w:rPr>
                <w:sz w:val="21"/>
                <w:szCs w:val="21"/>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 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280" w:type="dxa"/>
            <w:vAlign w:val="bottom"/>
            <w:gridSpan w:val="3"/>
            <w:shd w:val="clear" w:color="auto" w:fill="EEEEEE"/>
          </w:tcPr>
          <w:p>
            <w:pPr>
              <w:jc w:val="center"/>
              <w:ind w:right="24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24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200"/>
              <w:spacing w:after="0" w:line="176" w:lineRule="exact"/>
              <w:rPr>
                <w:sz w:val="20"/>
                <w:szCs w:val="20"/>
                <w:color w:val="auto"/>
              </w:rPr>
            </w:pPr>
            <w:r>
              <w:rPr>
                <w:rFonts w:ascii="Times New Roman" w:cs="Times New Roman" w:eastAsia="Times New Roman" w:hAnsi="Times New Roman"/>
                <w:sz w:val="18"/>
                <w:szCs w:val="18"/>
                <w:color w:val="FFFFFF"/>
              </w:rPr>
              <w:t>$</w:t>
            </w: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Finance receivables gross</w:t>
            </w:r>
          </w:p>
        </w:tc>
        <w:tc>
          <w:tcPr>
            <w:tcW w:w="1800" w:type="dxa"/>
            <w:vAlign w:val="bottom"/>
            <w:tcBorders>
              <w:top w:val="single" w:sz="8" w:color="auto"/>
            </w:tcBorders>
          </w:tcPr>
          <w:p>
            <w:pPr>
              <w:spacing w:after="0"/>
              <w:rPr>
                <w:sz w:val="18"/>
                <w:szCs w:val="18"/>
                <w:color w:val="auto"/>
              </w:rPr>
            </w:pPr>
          </w:p>
        </w:tc>
        <w:tc>
          <w:tcPr>
            <w:tcW w:w="2480" w:type="dxa"/>
            <w:vAlign w:val="bottom"/>
            <w:tcBorders>
              <w:top w:val="single" w:sz="8" w:color="EEEEEE"/>
            </w:tcBorders>
            <w:gridSpan w:val="2"/>
          </w:tcPr>
          <w:p>
            <w:pPr>
              <w:spacing w:after="0"/>
              <w:rPr>
                <w:sz w:val="18"/>
                <w:szCs w:val="18"/>
                <w:color w:val="auto"/>
              </w:rPr>
            </w:pPr>
          </w:p>
        </w:tc>
        <w:tc>
          <w:tcPr>
            <w:tcW w:w="240" w:type="dxa"/>
            <w:vAlign w:val="bottom"/>
            <w:tcBorders>
              <w:top w:val="single" w:sz="8" w:color="EEEEEE"/>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EEEEEE"/>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7,912</w:t>
            </w:r>
          </w:p>
        </w:tc>
        <w:tc>
          <w:tcPr>
            <w:tcW w:w="240" w:type="dxa"/>
            <w:vAlign w:val="bottom"/>
            <w:tcBorders>
              <w:top w:val="single" w:sz="8" w:color="EEEE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EEEEEE"/>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10,100</w:t>
            </w:r>
          </w:p>
        </w:tc>
        <w:tc>
          <w:tcPr>
            <w:tcW w:w="140" w:type="dxa"/>
            <w:vAlign w:val="bottom"/>
            <w:tcBorders>
              <w:top w:val="single" w:sz="8" w:color="EEEEEE"/>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EEEEEE"/>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gridSpan w:val="5"/>
            <w:shd w:val="clear" w:color="auto" w:fill="EEEEEE"/>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24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200"/>
              <w:spacing w:after="0" w:line="176" w:lineRule="exact"/>
              <w:rPr>
                <w:sz w:val="20"/>
                <w:szCs w:val="20"/>
                <w:color w:val="auto"/>
              </w:rPr>
            </w:pPr>
            <w:r>
              <w:rPr>
                <w:rFonts w:ascii="Times New Roman" w:cs="Times New Roman" w:eastAsia="Times New Roman" w:hAnsi="Times New Roman"/>
                <w:sz w:val="18"/>
                <w:szCs w:val="18"/>
                <w:color w:val="FFFFFF"/>
              </w:rPr>
              <w:t>$</w:t>
            </w: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Borders>
              <w:top w:val="single" w:sz="8" w:color="EEEEEE"/>
            </w:tcBorders>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060" w:type="dxa"/>
            <w:vAlign w:val="bottom"/>
            <w:tcBorders>
              <w:top w:val="single" w:sz="8" w:color="auto"/>
            </w:tcBorders>
            <w:gridSpan w:val="3"/>
          </w:tcPr>
          <w:p>
            <w:pPr>
              <w:spacing w:after="0"/>
              <w:rPr>
                <w:sz w:val="18"/>
                <w:szCs w:val="18"/>
                <w:color w:val="auto"/>
              </w:rPr>
            </w:pPr>
          </w:p>
        </w:tc>
        <w:tc>
          <w:tcPr>
            <w:tcW w:w="23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340" w:type="dxa"/>
            <w:vAlign w:val="bottom"/>
            <w:tcBorders>
              <w:top w:val="single" w:sz="8" w:color="EEEEEE"/>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20" w:type="dxa"/>
            <w:vAlign w:val="bottom"/>
            <w:tcBorders>
              <w:top w:val="single" w:sz="8" w:color="EEEEEE"/>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(1,142)</w:t>
            </w:r>
          </w:p>
        </w:tc>
        <w:tc>
          <w:tcPr>
            <w:tcW w:w="140" w:type="dxa"/>
            <w:vAlign w:val="bottom"/>
            <w:tcBorders>
              <w:top w:val="single" w:sz="8" w:color="EEEEEE"/>
            </w:tcBorders>
          </w:tcPr>
          <w:p>
            <w:pPr>
              <w:spacing w:after="0"/>
              <w:rPr>
                <w:sz w:val="18"/>
                <w:szCs w:val="18"/>
                <w:color w:val="auto"/>
              </w:rPr>
            </w:pPr>
          </w:p>
        </w:tc>
        <w:tc>
          <w:tcPr>
            <w:tcW w:w="1240" w:type="dxa"/>
            <w:vAlign w:val="bottom"/>
            <w:tcBorders>
              <w:top w:val="single" w:sz="8" w:color="EEEE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1,748</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34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reduction in the annualized yield on our finance receivables for the three months ended March 31, 2017 compared to the prior year period is the result of our decision to offer dealers slightly lower acquisition fees and also to require slightly lower contract interest rates on a portion of the contracts we purchase.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Provision for credit losses was $47.2 million for the three months ended March 31, 2017, an increase of $3.0 million, or 6.7% compared to the prior year and represented 47.3%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Consequently, the increase in provision expense is the result of the increase in contract purchases, the larger portfolio owned by our consolidated subsidiaries, and somewhat higher delinquency and charge off rates compared to the prior year.</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decreased by $710,000, or 15.2%, to $4.0 million during the three months ended March 31, 2017, compared to $4.7 million in the prior year period, and represented 4.0% of total operating expenses. For the three months ended March 31, 2017, we purchased 14,304 contracts representing $229.6 million in receivables compared to 19,222 contracts representing $312.3 million in receivables in the prior period.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Occupancy expenses increased by $578,000 or 53.4%, to $1.7 million compared to $1.1 million in the previous year and represented 1.7% of total operating expenses. In July 2015, we entered into a lease for additional office space in Irvine, California. We then occupied that space, and incurred incremental occupancy expense, in phases. The first phase was in July 2015 and the second and final phase was in April 2016.</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by $53,000 or 30.0%, to $228,000 compared to $175,000 in the previous year and represented 0.2% of total operating expenses.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2017, we recorded income tax expense of $3.3 million, representing a 42.5% effective income tax rate. In the prior year period, we recorded $5.0 million in income tax expense, representing a 41.0% effective income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Experience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In addition, in June 2014 we entered into a consent decree with the FTC that required us to make certain procedural changes in our servicing practices, which we believe have contributed to somewhat higher delinquencies and extensions compared to prior periods.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Owned Portfolio</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6"/>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500" w:type="dxa"/>
            <w:vAlign w:val="bottom"/>
            <w:gridSpan w:val="6"/>
          </w:tcPr>
          <w:p>
            <w:pPr>
              <w:ind w:left="60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2340" w:type="dxa"/>
            <w:vAlign w:val="bottom"/>
            <w:gridSpan w:val="7"/>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6"/>
          </w:tcPr>
          <w:p>
            <w:pPr>
              <w:ind w:left="26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Delinquency Experience</w:t>
            </w: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servicing portfolio (1)</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172,108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2,323,214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157,123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2,141,601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169,720</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2,308,058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Period of delinquency (2)</w:t>
            </w: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31-60 days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109,652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89,126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8,673</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116,073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6"/>
                <w:szCs w:val="16"/>
                <w:color w:val="auto"/>
              </w:rPr>
              <w:t>61-90 days</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3,426</w:t>
            </w: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45,377</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2,563</w:t>
            </w: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32,817</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3,998</w:t>
            </w: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52,403</w:t>
            </w: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91+ days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33,503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31,231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Total delinquencies (2)</w:t>
            </w: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14,195</w:t>
            </w:r>
          </w:p>
        </w:tc>
        <w:tc>
          <w:tcPr>
            <w:tcW w:w="1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188,532</w:t>
            </w:r>
          </w:p>
        </w:tc>
        <w:tc>
          <w:tcPr>
            <w:tcW w:w="240" w:type="dxa"/>
            <w:vAlign w:val="bottom"/>
            <w:tcBorders>
              <w:top w:val="single" w:sz="8" w:color="EEEEEE"/>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11,521</w:t>
            </w:r>
          </w:p>
        </w:tc>
        <w:tc>
          <w:tcPr>
            <w:tcW w:w="1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153,174</w:t>
            </w:r>
          </w:p>
        </w:tc>
        <w:tc>
          <w:tcPr>
            <w:tcW w:w="220" w:type="dxa"/>
            <w:vAlign w:val="bottom"/>
            <w:tcBorders>
              <w:top w:val="single" w:sz="8" w:color="EEEEEE"/>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16,078</w:t>
            </w:r>
          </w:p>
        </w:tc>
        <w:tc>
          <w:tcPr>
            <w:tcW w:w="220" w:type="dxa"/>
            <w:vAlign w:val="bottom"/>
            <w:tcBorders>
              <w:top w:val="single" w:sz="8" w:color="EEEEEE"/>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212,860</w:t>
            </w: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 in repossession (3)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37,650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38,836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Total delinquencies and amount in repossession (2)</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17,191</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226,182</w:t>
            </w:r>
          </w:p>
        </w:tc>
        <w:tc>
          <w:tcPr>
            <w:tcW w:w="240" w:type="dxa"/>
            <w:vAlign w:val="bottom"/>
            <w:tcBorders>
              <w:top w:val="single" w:sz="8" w:color="EEEEEE"/>
              <w:bottom w:val="single" w:sz="8" w:color="EEEEEE"/>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14,859</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192,010</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19,240</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252,985</w:t>
            </w: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6"/>
                <w:szCs w:val="16"/>
                <w:color w:val="auto"/>
              </w:rPr>
              <w:t xml:space="preserve">Delinquencies as a percentage of gross </w:t>
            </w:r>
            <w:r>
              <w:rPr>
                <w:rFonts w:ascii="Times New Roman" w:cs="Times New Roman" w:eastAsia="Times New Roman" w:hAnsi="Times New Roman"/>
                <w:sz w:val="18"/>
                <w:szCs w:val="18"/>
                <w:color w:val="auto"/>
              </w:rPr>
              <w:t>servicing</w:t>
            </w: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portfolio</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8.1%</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7.2%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9.5%</w:t>
            </w: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6"/>
                <w:szCs w:val="16"/>
                <w:color w:val="auto"/>
              </w:rPr>
              <w:t xml:space="preserve">Total delinquencies and amount in </w:t>
            </w:r>
            <w:r>
              <w:rPr>
                <w:rFonts w:ascii="Times New Roman" w:cs="Times New Roman" w:eastAsia="Times New Roman" w:hAnsi="Times New Roman"/>
                <w:sz w:val="18"/>
                <w:szCs w:val="18"/>
                <w:color w:val="auto"/>
              </w:rPr>
              <w:t>repossession as a</w:t>
            </w: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percentage of gross servicing portfolio</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9.7%</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9.0%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11.3%</w:t>
            </w: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Extension Experience</w:t>
            </w: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Contracts with one extension, accruing (4)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34,649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480,191</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26,996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364,919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34,354</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479,237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 xml:space="preserve">Contracts with two or more </w:t>
            </w:r>
            <w:r>
              <w:rPr>
                <w:rFonts w:ascii="Times New Roman" w:cs="Times New Roman" w:eastAsia="Times New Roman" w:hAnsi="Times New Roman"/>
                <w:sz w:val="18"/>
                <w:szCs w:val="18"/>
                <w:color w:val="auto"/>
              </w:rPr>
              <w:t>extensions, accruing (4)</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34,812</w:t>
            </w: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468,778</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19,700</w:t>
            </w:r>
          </w:p>
        </w:tc>
        <w:tc>
          <w:tcPr>
            <w:tcW w:w="1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260,810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30,450</w:t>
            </w: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407,631</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948,969</w:t>
            </w:r>
          </w:p>
        </w:tc>
        <w:tc>
          <w:tcPr>
            <w:tcW w:w="24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625,729</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64,804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886,868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Contracts with one extension, non-accrual (4)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18,729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19,312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1,676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22,335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two or more extensions, non-accrual (4)</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1,970</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24,380</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17,574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1,999</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25,617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43,109</w:t>
            </w:r>
          </w:p>
        </w:tc>
        <w:tc>
          <w:tcPr>
            <w:tcW w:w="24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36,886</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tcBorders>
              <w:bottom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spacing w:after="0"/>
              <w:rPr>
                <w:sz w:val="18"/>
                <w:szCs w:val="18"/>
                <w:color w:val="auto"/>
              </w:rPr>
            </w:pPr>
          </w:p>
        </w:tc>
        <w:tc>
          <w:tcPr>
            <w:tcW w:w="880" w:type="dxa"/>
            <w:vAlign w:val="bottom"/>
            <w:tcBorders>
              <w:bottom w:val="single" w:sz="8" w:color="auto"/>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40" w:type="dxa"/>
            <w:vAlign w:val="bottom"/>
            <w:tcBorders>
              <w:bottom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spacing w:after="0"/>
              <w:rPr>
                <w:sz w:val="18"/>
                <w:szCs w:val="18"/>
                <w:color w:val="auto"/>
              </w:rPr>
            </w:pPr>
          </w:p>
        </w:tc>
        <w:tc>
          <w:tcPr>
            <w:tcW w:w="860" w:type="dxa"/>
            <w:vAlign w:val="bottom"/>
            <w:tcBorders>
              <w:bottom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tcBorders>
              <w:bottom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tcBorders>
              <w:bottom w:val="single" w:sz="8" w:color="auto"/>
            </w:tcBorders>
            <w:shd w:val="clear" w:color="auto" w:fill="EEEEEE"/>
          </w:tcPr>
          <w:p>
            <w:pPr>
              <w:spacing w:after="0"/>
              <w:rPr>
                <w:sz w:val="18"/>
                <w:szCs w:val="18"/>
                <w:color w:val="auto"/>
              </w:rPr>
            </w:pPr>
          </w:p>
        </w:tc>
        <w:tc>
          <w:tcPr>
            <w:tcW w:w="860" w:type="dxa"/>
            <w:vAlign w:val="bottom"/>
            <w:tcBorders>
              <w:bottom w:val="single" w:sz="8" w:color="auto"/>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contracts with extensions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992,078</w:t>
            </w:r>
          </w:p>
        </w:tc>
        <w:tc>
          <w:tcPr>
            <w:tcW w:w="2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662,615</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68,479</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934,820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19" w:lineRule="exact"/>
        <w:rPr>
          <w:sz w:val="20"/>
          <w:szCs w:val="20"/>
          <w:color w:val="auto"/>
        </w:rPr>
      </w:pPr>
    </w:p>
    <w:p>
      <w:pPr>
        <w:jc w:val="both"/>
        <w:ind w:firstLine="8"/>
        <w:spacing w:after="0" w:line="250" w:lineRule="auto"/>
        <w:tabs>
          <w:tab w:leader="none" w:pos="278"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jc w:val="both"/>
        <w:ind w:firstLine="8"/>
        <w:spacing w:after="0" w:line="250" w:lineRule="auto"/>
        <w:tabs>
          <w:tab w:leader="none" w:pos="272"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represents financed vehicles that have been repossessed but not yet liquidated.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Net Charge-Off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Owned Portfolio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Pr>
          <w:p>
            <w:pPr>
              <w:spacing w:after="0"/>
              <w:rPr>
                <w:sz w:val="19"/>
                <w:szCs w:val="19"/>
                <w:color w:val="auto"/>
              </w:rPr>
            </w:pPr>
          </w:p>
        </w:tc>
        <w:tc>
          <w:tcPr>
            <w:tcW w:w="14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200" w:type="dxa"/>
            <w:vAlign w:val="bottom"/>
            <w:shd w:val="clear" w:color="auto" w:fill="EEEEEE"/>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2,311,798</w:t>
            </w:r>
          </w:p>
        </w:tc>
        <w:tc>
          <w:tcPr>
            <w:tcW w:w="46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2,098,261</w:t>
            </w:r>
          </w:p>
        </w:tc>
        <w:tc>
          <w:tcPr>
            <w:tcW w:w="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2,226,056</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Annualized net charge-offs as a percentage of average servicing portfolio (2)</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6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_________________________</w:t>
      </w:r>
    </w:p>
    <w:p>
      <w:pPr>
        <w:spacing w:after="0" w:line="29" w:lineRule="exact"/>
        <w:rPr>
          <w:sz w:val="20"/>
          <w:szCs w:val="20"/>
          <w:color w:val="auto"/>
        </w:rPr>
      </w:pPr>
    </w:p>
    <w:p>
      <w:pPr>
        <w:ind w:firstLine="8"/>
        <w:spacing w:after="0" w:line="250" w:lineRule="auto"/>
        <w:tabs>
          <w:tab w:leader="none" w:pos="278"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54" w:lineRule="auto"/>
        <w:tabs>
          <w:tab w:leader="none" w:pos="26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March 31, 2017 and March 31, 2016 percentages represent three months ended March 31, 2017 and March 31, 2016 annualized. December 31, 2016 represents 12 months ended December 31,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53" w:lineRule="auto"/>
        <w:tabs>
          <w:tab w:leader="none" w:pos="2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a prudent extension program is an integral component to mitigating losses in our portfolio of sub-prime automobile receivables. The table below summarizes the status, as of March 31, 2017, for accounts that received extensions from 2008 through 2015 (2016 extension data are not included at this time due to insufficient passage of time for meaningful evaluation of results):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Charged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6"/>
              </w:rPr>
              <w:t>Avg</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Off &lt;= 6</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Months</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Active or Paid</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Active or</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Charged Off &gt; 6</w:t>
            </w: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 Charged Off</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Charged Off &lt;=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Months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to Charge</w:t>
            </w:r>
          </w:p>
        </w:tc>
      </w:tr>
      <w:tr>
        <w:trPr>
          <w:trHeight w:val="216"/>
        </w:trPr>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Period of</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Extensions</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Off at March</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Paid Off at</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Months After</w:t>
            </w: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&gt; 6 Months</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6 Months After</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 Post</w:t>
            </w:r>
          </w:p>
        </w:tc>
      </w:tr>
      <w:tr>
        <w:trPr>
          <w:trHeight w:val="234"/>
        </w:trPr>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Extension</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31, 2017</w:t>
            </w:r>
          </w:p>
        </w:tc>
        <w:tc>
          <w:tcPr>
            <w:tcW w:w="26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March 31, 2017</w:t>
            </w: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Extension</w:t>
            </w: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After Extension</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Extension</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Extension</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Extension</w:t>
            </w:r>
          </w:p>
        </w:tc>
      </w:tr>
      <w:tr>
        <w:trPr>
          <w:trHeight w:val="210"/>
        </w:trPr>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35,588</w:t>
            </w: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30.1%</w:t>
            </w: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20,058</w:t>
            </w:r>
          </w:p>
        </w:tc>
        <w:tc>
          <w:tcPr>
            <w:tcW w:w="15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56.4%</w:t>
            </w:r>
          </w:p>
        </w:tc>
        <w:tc>
          <w:tcPr>
            <w:tcW w:w="15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4,819</w:t>
            </w:r>
          </w:p>
        </w:tc>
        <w:tc>
          <w:tcPr>
            <w:tcW w:w="9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7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32,226</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10,278</w:t>
            </w: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31.9%</w:t>
            </w: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16,165</w:t>
            </w:r>
          </w:p>
        </w:tc>
        <w:tc>
          <w:tcPr>
            <w:tcW w:w="15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50.2%</w:t>
            </w:r>
          </w:p>
        </w:tc>
        <w:tc>
          <w:tcPr>
            <w:tcW w:w="15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5,783</w:t>
            </w:r>
          </w:p>
        </w:tc>
        <w:tc>
          <w:tcPr>
            <w:tcW w:w="9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7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26,167</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12,171</w:t>
            </w: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46.5%</w:t>
            </w: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11,997</w:t>
            </w:r>
          </w:p>
        </w:tc>
        <w:tc>
          <w:tcPr>
            <w:tcW w:w="15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45.8%</w:t>
            </w:r>
          </w:p>
        </w:tc>
        <w:tc>
          <w:tcPr>
            <w:tcW w:w="15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1,999</w:t>
            </w:r>
          </w:p>
        </w:tc>
        <w:tc>
          <w:tcPr>
            <w:tcW w:w="9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7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18,786</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10,996</w:t>
            </w: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58.5%</w:t>
            </w: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6,858</w:t>
            </w:r>
          </w:p>
        </w:tc>
        <w:tc>
          <w:tcPr>
            <w:tcW w:w="15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36.5%</w:t>
            </w:r>
          </w:p>
        </w:tc>
        <w:tc>
          <w:tcPr>
            <w:tcW w:w="15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932</w:t>
            </w:r>
          </w:p>
        </w:tc>
        <w:tc>
          <w:tcPr>
            <w:tcW w:w="9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18,783</w:t>
            </w: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61.1%</w:t>
            </w: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6,505</w:t>
            </w:r>
          </w:p>
        </w:tc>
        <w:tc>
          <w:tcPr>
            <w:tcW w:w="15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34.6%</w:t>
            </w:r>
          </w:p>
        </w:tc>
        <w:tc>
          <w:tcPr>
            <w:tcW w:w="15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796</w:t>
            </w:r>
          </w:p>
        </w:tc>
        <w:tc>
          <w:tcPr>
            <w:tcW w:w="9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23,398</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12,702</w:t>
            </w: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54.3%</w:t>
            </w: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9,720</w:t>
            </w:r>
          </w:p>
        </w:tc>
        <w:tc>
          <w:tcPr>
            <w:tcW w:w="15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41.5%</w:t>
            </w:r>
          </w:p>
        </w:tc>
        <w:tc>
          <w:tcPr>
            <w:tcW w:w="15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976</w:t>
            </w:r>
          </w:p>
        </w:tc>
        <w:tc>
          <w:tcPr>
            <w:tcW w:w="9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25,773</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14,616</w:t>
            </w: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56.7%</w:t>
            </w: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10,331</w:t>
            </w:r>
          </w:p>
        </w:tc>
        <w:tc>
          <w:tcPr>
            <w:tcW w:w="15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40.1%</w:t>
            </w:r>
          </w:p>
        </w:tc>
        <w:tc>
          <w:tcPr>
            <w:tcW w:w="15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826</w:t>
            </w:r>
          </w:p>
        </w:tc>
        <w:tc>
          <w:tcPr>
            <w:tcW w:w="9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53,319</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38,581</w:t>
            </w: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72.4%</w:t>
            </w: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13,656</w:t>
            </w:r>
          </w:p>
        </w:tc>
        <w:tc>
          <w:tcPr>
            <w:tcW w:w="15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25.6%</w:t>
            </w:r>
          </w:p>
        </w:tc>
        <w:tc>
          <w:tcPr>
            <w:tcW w:w="15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1,082</w:t>
            </w:r>
          </w:p>
        </w:tc>
        <w:tc>
          <w:tcPr>
            <w:tcW w:w="9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bl>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Table excludes extensions on portfolios serviced for third parties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For example, of the accounts granted extensions in 2012, 61.1% were either paid in full or active and performing at March 31, 2017.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17 months after the extension, indicating that even in the cases of an ultimate loss, the obligor serviced the account with additional payments of principal and interest.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44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7,939</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5,137</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170,888</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153,908</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163,050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4.6%</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3.3%</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______________________</w:t>
            </w: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65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560" w:type="dxa"/>
            <w:vAlign w:val="bottom"/>
            <w:gridSpan w:val="6"/>
          </w:tcPr>
          <w:p>
            <w:pPr>
              <w:jc w:val="right"/>
              <w:ind w:right="880"/>
              <w:spacing w:after="0"/>
              <w:rPr>
                <w:sz w:val="20"/>
                <w:szCs w:val="20"/>
                <w:color w:val="auto"/>
              </w:rPr>
            </w:pPr>
            <w:r>
              <w:rPr>
                <w:rFonts w:ascii="Times New Roman" w:cs="Times New Roman" w:eastAsia="Times New Roman" w:hAnsi="Times New Roman"/>
                <w:sz w:val="16"/>
                <w:szCs w:val="16"/>
                <w:color w:val="auto"/>
              </w:rPr>
              <w:t>March 31, 2017</w:t>
            </w:r>
          </w:p>
        </w:tc>
        <w:tc>
          <w:tcPr>
            <w:tcW w:w="2500" w:type="dxa"/>
            <w:vAlign w:val="bottom"/>
            <w:gridSpan w:val="6"/>
          </w:tcPr>
          <w:p>
            <w:pPr>
              <w:ind w:left="620"/>
              <w:spacing w:after="0"/>
              <w:rPr>
                <w:sz w:val="20"/>
                <w:szCs w:val="20"/>
                <w:color w:val="auto"/>
              </w:rPr>
            </w:pPr>
            <w:r>
              <w:rPr>
                <w:rFonts w:ascii="Times New Roman" w:cs="Times New Roman" w:eastAsia="Times New Roman" w:hAnsi="Times New Roman"/>
                <w:sz w:val="16"/>
                <w:szCs w:val="16"/>
                <w:color w:val="auto"/>
              </w:rPr>
              <w:t>March 31, 2016</w:t>
            </w:r>
          </w:p>
        </w:tc>
        <w:tc>
          <w:tcPr>
            <w:tcW w:w="2340" w:type="dxa"/>
            <w:vAlign w:val="bottom"/>
            <w:gridSpan w:val="6"/>
          </w:tcPr>
          <w:p>
            <w:pPr>
              <w:ind w:left="480"/>
              <w:spacing w:after="0"/>
              <w:rPr>
                <w:sz w:val="20"/>
                <w:szCs w:val="20"/>
                <w:color w:val="auto"/>
              </w:rPr>
            </w:pPr>
            <w:r>
              <w:rPr>
                <w:rFonts w:ascii="Times New Roman" w:cs="Times New Roman" w:eastAsia="Times New Roman" w:hAnsi="Times New Roman"/>
                <w:sz w:val="16"/>
                <w:szCs w:val="16"/>
                <w:color w:val="auto"/>
              </w:rPr>
              <w:t>December 31, 2016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Number of</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Number of</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Number of</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Contracts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Amount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Contracts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Contracts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6"/>
          </w:tcPr>
          <w:p>
            <w:pPr>
              <w:ind w:left="360"/>
              <w:spacing w:after="0"/>
              <w:rPr>
                <w:sz w:val="20"/>
                <w:szCs w:val="20"/>
                <w:color w:val="auto"/>
              </w:rPr>
            </w:pPr>
            <w:r>
              <w:rPr>
                <w:rFonts w:ascii="Times New Roman" w:cs="Times New Roman" w:eastAsia="Times New Roman" w:hAnsi="Times New Roman"/>
                <w:sz w:val="16"/>
                <w:szCs w:val="16"/>
                <w:color w:val="auto"/>
              </w:rPr>
              <w:t>(Dollars in thousands)</w:t>
            </w: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one extension</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36,169</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498,920</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28,630</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384,230</w:t>
            </w: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36,030</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501,572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two extensions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19,386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264,968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176,756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17,800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242,216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three extensions</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9,904</w:t>
            </w: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132,569</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5,416</w:t>
            </w: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70,631</w:t>
            </w: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8,794</w:t>
            </w: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116,929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four extensions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64,452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23,957</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five extensions</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1,946</w:t>
            </w: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24,120</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6,078</w:t>
            </w: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17,190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six extensions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7,049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EEEEEE"/>
              <w:bottom w:val="single" w:sz="8" w:color="EEEEEE"/>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72,951</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992,078</w:t>
            </w:r>
          </w:p>
        </w:tc>
        <w:tc>
          <w:tcPr>
            <w:tcW w:w="240" w:type="dxa"/>
            <w:vAlign w:val="bottom"/>
            <w:tcBorders>
              <w:top w:val="single" w:sz="8" w:color="EEEEEE"/>
              <w:bottom w:val="single" w:sz="8" w:color="EEEEEE"/>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49,755</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662,615</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68,479</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934,820</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4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0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Managed portfolio (excluding originated and owned by 3rd</w:t>
            </w:r>
          </w:p>
        </w:tc>
        <w:tc>
          <w:tcPr>
            <w:tcW w:w="10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8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86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8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6"/>
                <w:szCs w:val="16"/>
                <w:color w:val="auto"/>
              </w:rPr>
              <w:t>parties)</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172,108</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2,323,214</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157,123</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2,141,601</w:t>
            </w: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169,720</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2,308,058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0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______________________</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Non-Accrual Receivables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6" w:name="page27"/>
    <w:bookmarkEnd w:id="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three-month period ended March 31, 2017 was $62.2 million, an increase of $1.7 million, compared to net cash provided by operating activities for the three-month period ended March 31, 2016 of $60.5 million. Cash provided by operating activities is significantly affected by our net income before provisions for credit losses. For the three months ended March 31, 2017, our net income excluding provisions for credit losses was $51.6 million, or $236,000 more than our net income excluding provisions for credit losses for the three months ended March 31, 2016.</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three-month period ended March 31, 2017 was $77.9 million compared to net cash used in investing activities of $170.8 million in the prior year period. Cash provided by investing activities primarily results from principal payments and other proceeds received on finance receivables held for investment. Cash used in investing activities generally relates to originations of automobile contracts. Originations of finance receivables held for investment were $229.6 million and $312.3 million during the first three months of 2017 and 2016,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2017 was $13.8 million compared to net cash provided by financing activities of $107.2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three months of 2017, we issued $206.3 million in new securitization trust debt compared to $329.5 million in the same period of 2016. In addition, we repaid $205.3 million in securitization trust debt in the three months ended March 31, 2017 compared to repayments of securitization trust debt of $192.6 million in the prior year period. In the three months ended March 31, 2017, we had net advances on warehouse lines of credit of $16.5 million, compared to net repayments of $24.2 million in the prior year’s period.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March 31, 2017, we had unrestricted cash of $12.1 million and $178.6 million aggregate available borrowings under our three warehouse credit facilities (assuming the availability of sufficient eligible collateral). As of March 31, 2017 we had approximately $20.6 million of such eligible collateral. During the three-month period ended March 31, 2017, we completed one securitization aggregating $206.3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 Moreover, certain of our retained interests in securitization transactions and their related spread accounts are pledged as collateral to our residual interest financing and cash releases from these transactions will be used to repay the financings.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2017, we were in compliance with all such financial covenants.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7" w:name="page28"/>
    <w:bookmarkEnd w:id="27"/>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March 31, 2017, we had approximately $2,217.6 million of debt outstanding. Such debt consisted primarily of $2,082.0 million of securitization trust debt and $120.3 million of warehouse lines of credit. Our securitization trust debt has increased by $213.6 million while our warehouse lines of credit have decreased by $52.0 million since March 31, 2016 (each net of deferred financing costs). As of March 31, 2016 our debt included $8.3 million of residual interest financing which was repaid in full in November 2016. Since 2005, we have offered renewable subordinated notes to the public on a continuous basis, and such notes have maturities that range from six months to 10 years. We had $15.3 million in subordinated renewable notes outstanding at both March 31, 2017 and 2016.</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recent operating results include pre-tax earnings of $7.8 million for the three months ended March 31, 2017 and $49.7 million, $61.4 million, $52.2 million, $37.2 million and $9.2 for the years ended December 31, 2016, December 31, 2015, December 31, 2014, December 31, 2013 and December 31, 2012, respectively.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remind the reader that risk factors are set forth in Item 1A of our report on Form 10-K, filed with the U.S. Securities and Exchange Commission on March 7, 2017. Where we are aware of material changes to such risk factors as previously disclosed, we set forth below an updated discussion of such risks. The reader should note that the other risks identified in our report on Form 10-K remain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substantial indebtedness.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March 31, 2017, we had approximately $2,217.6 million of debt outstanding. Such debt consisted primarily of $2,082.0 million of securitization trust debt and $120.3 million of warehouse lines of credit. Our securitization trust debt has increased by $213.6 million while our warehouse lines of credit have decreased by $52.0 million since March 31, 2016 (each net of deferred financing costs). As of March 31, 2016 our debt included $8.3 million of residual interest financing which was repaid in full in November 2016. Since 2005, we have offered renewable subordinated notes to the public on a continuous basis, and such notes have maturities that range from six months to 10 years. We had $15.3 million in subordinated renewable notes outstanding at both March 31, 2017 and 2016. Our substantial indebtedness could adversely affect our financial condition by, among other things:</w:t>
      </w:r>
    </w:p>
    <w:p>
      <w:pPr>
        <w:spacing w:after="0" w:line="189" w:lineRule="exact"/>
        <w:rPr>
          <w:sz w:val="20"/>
          <w:szCs w:val="20"/>
          <w:color w:val="auto"/>
        </w:rPr>
      </w:pPr>
    </w:p>
    <w:p>
      <w:pPr>
        <w:ind w:left="780" w:hanging="259"/>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7" w:lineRule="exact"/>
        <w:rPr>
          <w:rFonts w:ascii="Times New Roman" w:cs="Times New Roman" w:eastAsia="Times New Roman" w:hAnsi="Times New Roman"/>
          <w:sz w:val="18"/>
          <w:szCs w:val="18"/>
          <w:color w:val="auto"/>
        </w:rPr>
      </w:pPr>
    </w:p>
    <w:p>
      <w:pPr>
        <w:ind w:left="780" w:hanging="259"/>
        <w:spacing w:after="0" w:line="250"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780" w:hanging="259"/>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89" w:lineRule="exact"/>
        <w:rPr>
          <w:sz w:val="20"/>
          <w:szCs w:val="20"/>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2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obtain necessary financing, and the terms of any such financing;</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especially as applicable to securitization trust debt;</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future provisioning for receivables losses;</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actual losses on receivables; and</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9" w:name="page30"/>
    <w:bookmarkEnd w:id="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2017, we repurchased 561,617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Yet 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9"/>
                <w:szCs w:val="19"/>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10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Period(1)</w:t>
            </w: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January 2017</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80,800</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80,800</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4,297,029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2017</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107,605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5.04</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107,605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March 2017</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373,212</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4.91</w:t>
            </w: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373,212</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1,924,234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561,617</w:t>
            </w:r>
          </w:p>
        </w:tc>
        <w:tc>
          <w:tcPr>
            <w:tcW w:w="3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6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561,617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-2540</wp:posOffset>
            </wp:positionV>
            <wp:extent cx="30613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-126365</wp:posOffset>
            </wp:positionV>
            <wp:extent cx="30613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9" w:lineRule="exact"/>
        <w:rPr>
          <w:rFonts w:ascii="Times New Roman" w:cs="Times New Roman" w:eastAsia="Times New Roman" w:hAnsi="Times New Roman"/>
          <w:sz w:val="18"/>
          <w:szCs w:val="18"/>
          <w:i w:val="1"/>
          <w:iCs w:val="1"/>
          <w:color w:val="auto"/>
        </w:rPr>
      </w:pPr>
    </w:p>
    <w:p>
      <w:pPr>
        <w:jc w:val="both"/>
        <w:ind w:left="660" w:hanging="328"/>
        <w:spacing w:after="0" w:line="254" w:lineRule="auto"/>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 March 31, 2017, our board of directors had authorized the purchase of up to $54.5 million of our outstanding securities, under a program first announced in our annual report for the year 2002, filed on March 26, 2003. All purchases described in the table above were under the program announced in March 2003, which has no fixed expiration date. Our board of directors in May 2016 increased the aggregate authorization by $10 million from $44.5 million to $54.5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0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Exhibits listed below are filed with this report.</w:t>
            </w:r>
          </w:p>
        </w:tc>
      </w:tr>
      <w:tr>
        <w:trPr>
          <w:trHeight w:val="414"/>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4.14</w:t>
            </w:r>
          </w:p>
        </w:tc>
        <w:tc>
          <w:tcPr>
            <w:tcW w:w="1094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Instruments defining the rights of holders of long-term debt of certain consolidated subsidiaries of the registrant are omitted pursuant to the</w:t>
            </w:r>
          </w:p>
        </w:tc>
      </w:tr>
      <w:tr>
        <w:trPr>
          <w:trHeight w:val="216"/>
        </w:trPr>
        <w:tc>
          <w:tcPr>
            <w:tcW w:w="480" w:type="dxa"/>
            <w:vAlign w:val="bottom"/>
          </w:tcPr>
          <w:p>
            <w:pPr>
              <w:spacing w:after="0"/>
              <w:rPr>
                <w:sz w:val="18"/>
                <w:szCs w:val="18"/>
                <w:color w:val="auto"/>
              </w:rPr>
            </w:pPr>
          </w:p>
        </w:tc>
        <w:tc>
          <w:tcPr>
            <w:tcW w:w="109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exclusion set forth in subdivisions (b)(iv)(iii)(A) and (b)(v) of Item 601 of Regulation S-K (17 CFR 229.601).  The registrant agrees to</w:t>
            </w:r>
          </w:p>
        </w:tc>
      </w:tr>
      <w:tr>
        <w:trPr>
          <w:trHeight w:val="234"/>
        </w:trPr>
        <w:tc>
          <w:tcPr>
            <w:tcW w:w="480" w:type="dxa"/>
            <w:vAlign w:val="bottom"/>
          </w:tcPr>
          <w:p>
            <w:pPr>
              <w:spacing w:after="0"/>
              <w:rPr>
                <w:sz w:val="20"/>
                <w:szCs w:val="20"/>
                <w:color w:val="auto"/>
              </w:rPr>
            </w:pPr>
          </w:p>
        </w:tc>
        <w:tc>
          <w:tcPr>
            <w:tcW w:w="109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provide copies of such instruments to the United States Securities and Exchange Commission upon request.</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31.1</w:t>
            </w:r>
          </w:p>
        </w:tc>
        <w:tc>
          <w:tcPr>
            <w:tcW w:w="109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Rule 13a-14(a) Certification of the Chief Executive Officer of the registrant.</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31.2</w:t>
            </w:r>
          </w:p>
        </w:tc>
        <w:tc>
          <w:tcPr>
            <w:tcW w:w="109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Rule 13a-14(a) Certification of the Chief Financial Officer of the registrant.</w:t>
            </w:r>
          </w:p>
        </w:tc>
      </w:tr>
    </w:tbl>
    <w:p>
      <w:pPr>
        <w:spacing w:after="0" w:line="198" w:lineRule="exact"/>
        <w:rPr>
          <w:sz w:val="20"/>
          <w:szCs w:val="20"/>
          <w:color w:val="auto"/>
        </w:rPr>
      </w:pPr>
    </w:p>
    <w:p>
      <w:pPr>
        <w:ind w:left="1380" w:hanging="1372"/>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1350 Certifications.*</w:t>
      </w:r>
    </w:p>
    <w:p>
      <w:pPr>
        <w:spacing w:after="0" w:line="225" w:lineRule="exact"/>
        <w:rPr>
          <w:rFonts w:ascii="Times New Roman" w:cs="Times New Roman" w:eastAsia="Times New Roman" w:hAnsi="Times New Roman"/>
          <w:sz w:val="18"/>
          <w:szCs w:val="18"/>
          <w:color w:val="auto"/>
        </w:rPr>
      </w:pPr>
    </w:p>
    <w:p>
      <w:pPr>
        <w:jc w:val="both"/>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duly caused this report to be signed on its behalf by the undersigned thereunto duly authorized.</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2017</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CHARLES E. BRADLEY, JR.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2017</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JEFFREY P. FRITZ</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Jeffrey P. Fritz</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1" w:name="page32"/>
    <w:bookmarkEnd w:id="31"/>
    <w:p>
      <w:pPr>
        <w:ind w:left="104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2017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hanging="4"/>
        <w:spacing w:after="0" w:line="282" w:lineRule="auto"/>
        <w:tabs>
          <w:tab w:leader="none" w:pos="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1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2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2" w:name="page33"/>
    <w:bookmarkEnd w:id="32"/>
    <w:p>
      <w:pPr>
        <w:ind w:left="104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2017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hanging="4"/>
        <w:spacing w:after="0" w:line="282" w:lineRule="auto"/>
        <w:tabs>
          <w:tab w:leader="none" w:pos="9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1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2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P. FRITZ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P. Fritz,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Consumer Portfolio Services, Inc. (the “Company”) for the quarterly period ended March 31, 2017,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0" w:lineRule="exact"/>
        <w:rPr>
          <w:sz w:val="20"/>
          <w:szCs w:val="20"/>
          <w:color w:val="auto"/>
        </w:rPr>
      </w:pPr>
    </w:p>
    <w:p>
      <w:pPr>
        <w:ind w:left="1000" w:hanging="344"/>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P. FRITZ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32"/>
    </w:lvl>
    <w:lvl w:ilvl="1">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2019-12-29T06:32:04Z</dcterms:created>
  <dcterms:modified xsi:type="dcterms:W3CDTF">2019-12-29T06:32:04Z</dcterms:modified>
</cp:coreProperties>
</file>