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UNDER SECTION 13 OR 15(d) OF THE 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001-14116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CONSUMER PORTFOLIO SERVICES,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4360" w:type="dxa"/>
            <w:vAlign w:val="bottom"/>
          </w:tcPr>
          <w:p>
            <w:pPr>
              <w:jc w:val="center"/>
              <w:ind w:right="849"/>
              <w:spacing w:after="0"/>
              <w:rPr>
                <w:sz w:val="20"/>
                <w:szCs w:val="20"/>
                <w:color w:val="auto"/>
              </w:rPr>
            </w:pPr>
            <w:r>
              <w:rPr>
                <w:rFonts w:ascii="Arial" w:cs="Arial" w:eastAsia="Arial" w:hAnsi="Arial"/>
                <w:sz w:val="20"/>
                <w:szCs w:val="20"/>
                <w:b w:val="1"/>
                <w:bCs w:val="1"/>
                <w:color w:val="auto"/>
                <w:w w:val="93"/>
              </w:rPr>
              <w:t>California</w:t>
            </w:r>
          </w:p>
        </w:tc>
        <w:tc>
          <w:tcPr>
            <w:tcW w:w="3780" w:type="dxa"/>
            <w:vAlign w:val="bottom"/>
            <w:gridSpan w:val="2"/>
          </w:tcPr>
          <w:p>
            <w:pPr>
              <w:jc w:val="right"/>
              <w:ind w:right="150"/>
              <w:spacing w:after="0"/>
              <w:rPr>
                <w:sz w:val="20"/>
                <w:szCs w:val="20"/>
                <w:color w:val="auto"/>
              </w:rPr>
            </w:pPr>
            <w:r>
              <w:rPr>
                <w:rFonts w:ascii="Arial" w:cs="Arial" w:eastAsia="Arial" w:hAnsi="Arial"/>
                <w:sz w:val="20"/>
                <w:szCs w:val="20"/>
                <w:b w:val="1"/>
                <w:bCs w:val="1"/>
                <w:color w:val="auto"/>
              </w:rPr>
              <w:t>33-0459135</w:t>
            </w:r>
          </w:p>
        </w:tc>
        <w:tc>
          <w:tcPr>
            <w:tcW w:w="660" w:type="dxa"/>
            <w:vAlign w:val="bottom"/>
          </w:tcPr>
          <w:p>
            <w:pPr>
              <w:spacing w:after="0"/>
              <w:rPr>
                <w:sz w:val="20"/>
                <w:szCs w:val="20"/>
                <w:color w:val="auto"/>
              </w:rPr>
            </w:pPr>
          </w:p>
        </w:tc>
      </w:tr>
      <w:tr>
        <w:trPr>
          <w:trHeight w:val="234"/>
        </w:trPr>
        <w:tc>
          <w:tcPr>
            <w:tcW w:w="5740" w:type="dxa"/>
            <w:vAlign w:val="bottom"/>
            <w:gridSpan w:val="2"/>
          </w:tcPr>
          <w:p>
            <w:pPr>
              <w:jc w:val="center"/>
              <w:ind w:left="368"/>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440" w:type="dxa"/>
            <w:vAlign w:val="bottom"/>
          </w:tcPr>
          <w:p>
            <w:pPr>
              <w:spacing w:after="0"/>
              <w:rPr>
                <w:sz w:val="20"/>
                <w:szCs w:val="20"/>
                <w:color w:val="auto"/>
              </w:rPr>
            </w:pPr>
          </w:p>
        </w:tc>
        <w:tc>
          <w:tcPr>
            <w:tcW w:w="400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27"/>
        </w:trPr>
        <w:tc>
          <w:tcPr>
            <w:tcW w:w="5740" w:type="dxa"/>
            <w:vAlign w:val="bottom"/>
            <w:gridSpan w:val="2"/>
          </w:tcPr>
          <w:p>
            <w:pPr>
              <w:jc w:val="center"/>
              <w:ind w:left="348"/>
              <w:spacing w:after="0"/>
              <w:rPr>
                <w:sz w:val="20"/>
                <w:szCs w:val="20"/>
                <w:color w:val="auto"/>
              </w:rPr>
            </w:pPr>
            <w:r>
              <w:rPr>
                <w:rFonts w:ascii="Arial" w:cs="Arial" w:eastAsia="Arial" w:hAnsi="Arial"/>
                <w:sz w:val="20"/>
                <w:szCs w:val="20"/>
                <w:b w:val="1"/>
                <w:bCs w:val="1"/>
                <w:color w:val="auto"/>
                <w:w w:val="89"/>
              </w:rPr>
              <w:t>3800 Howard Hughes Pkwy, Las Vegas, NV</w:t>
            </w:r>
          </w:p>
        </w:tc>
        <w:tc>
          <w:tcPr>
            <w:tcW w:w="3780" w:type="dxa"/>
            <w:vAlign w:val="bottom"/>
            <w:gridSpan w:val="2"/>
          </w:tcPr>
          <w:p>
            <w:pPr>
              <w:jc w:val="right"/>
              <w:ind w:right="390"/>
              <w:spacing w:after="0"/>
              <w:rPr>
                <w:sz w:val="20"/>
                <w:szCs w:val="20"/>
                <w:color w:val="auto"/>
              </w:rPr>
            </w:pPr>
            <w:r>
              <w:rPr>
                <w:rFonts w:ascii="Arial" w:cs="Arial" w:eastAsia="Arial" w:hAnsi="Arial"/>
                <w:sz w:val="20"/>
                <w:szCs w:val="20"/>
                <w:b w:val="1"/>
                <w:bCs w:val="1"/>
                <w:color w:val="auto"/>
              </w:rPr>
              <w:t>89169</w:t>
            </w:r>
          </w:p>
        </w:tc>
        <w:tc>
          <w:tcPr>
            <w:tcW w:w="660" w:type="dxa"/>
            <w:vAlign w:val="bottom"/>
          </w:tcPr>
          <w:p>
            <w:pPr>
              <w:spacing w:after="0"/>
              <w:rPr>
                <w:sz w:val="24"/>
                <w:szCs w:val="24"/>
                <w:color w:val="auto"/>
              </w:rPr>
            </w:pPr>
          </w:p>
        </w:tc>
      </w:tr>
      <w:tr>
        <w:trPr>
          <w:trHeight w:val="234"/>
        </w:trPr>
        <w:tc>
          <w:tcPr>
            <w:tcW w:w="1380" w:type="dxa"/>
            <w:vAlign w:val="bottom"/>
          </w:tcPr>
          <w:p>
            <w:pPr>
              <w:spacing w:after="0"/>
              <w:rPr>
                <w:sz w:val="20"/>
                <w:szCs w:val="20"/>
                <w:color w:val="auto"/>
              </w:rPr>
            </w:pPr>
          </w:p>
        </w:tc>
        <w:tc>
          <w:tcPr>
            <w:tcW w:w="4360" w:type="dxa"/>
            <w:vAlign w:val="bottom"/>
          </w:tcPr>
          <w:p>
            <w:pPr>
              <w:jc w:val="center"/>
              <w:ind w:right="849"/>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40" w:type="dxa"/>
            <w:vAlign w:val="bottom"/>
          </w:tcPr>
          <w:p>
            <w:pPr>
              <w:spacing w:after="0"/>
              <w:rPr>
                <w:sz w:val="20"/>
                <w:szCs w:val="20"/>
                <w:color w:val="auto"/>
              </w:rPr>
            </w:pPr>
          </w:p>
        </w:tc>
        <w:tc>
          <w:tcPr>
            <w:tcW w:w="400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4"/>
              </w:rPr>
              <w:t>(Zip Code)</w:t>
            </w:r>
          </w:p>
        </w:tc>
      </w:tr>
      <w:tr>
        <w:trPr>
          <w:trHeight w:val="432"/>
        </w:trPr>
        <w:tc>
          <w:tcPr>
            <w:tcW w:w="1380" w:type="dxa"/>
            <w:vAlign w:val="bottom"/>
          </w:tcPr>
          <w:p>
            <w:pPr>
              <w:spacing w:after="0"/>
              <w:rPr>
                <w:sz w:val="24"/>
                <w:szCs w:val="24"/>
                <w:color w:val="auto"/>
              </w:rPr>
            </w:pPr>
          </w:p>
        </w:tc>
        <w:tc>
          <w:tcPr>
            <w:tcW w:w="88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Registrant’s telephone number, including area code: (949) 753-6800</w:t>
            </w:r>
          </w:p>
        </w:tc>
      </w:tr>
      <w:tr>
        <w:trPr>
          <w:trHeight w:val="432"/>
        </w:trPr>
        <w:tc>
          <w:tcPr>
            <w:tcW w:w="1380" w:type="dxa"/>
            <w:vAlign w:val="bottom"/>
          </w:tcPr>
          <w:p>
            <w:pPr>
              <w:spacing w:after="0"/>
              <w:rPr>
                <w:sz w:val="24"/>
                <w:szCs w:val="24"/>
                <w:color w:val="auto"/>
              </w:rPr>
            </w:pPr>
          </w:p>
        </w:tc>
        <w:tc>
          <w:tcPr>
            <w:tcW w:w="8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92"/>
        </w:trPr>
        <w:tc>
          <w:tcPr>
            <w:tcW w:w="1380" w:type="dxa"/>
            <w:vAlign w:val="bottom"/>
          </w:tcPr>
          <w:p>
            <w:pPr>
              <w:spacing w:after="0"/>
              <w:rPr>
                <w:sz w:val="20"/>
                <w:szCs w:val="20"/>
                <w:color w:val="auto"/>
              </w:rPr>
            </w:pPr>
            <w:r>
              <w:rPr>
                <w:rFonts w:ascii="Arial" w:cs="Arial" w:eastAsia="Arial" w:hAnsi="Arial"/>
                <w:sz w:val="18"/>
                <w:szCs w:val="18"/>
                <w:color w:val="auto"/>
                <w:w w:val="90"/>
              </w:rPr>
              <w:t>Title of Each Class</w:t>
            </w:r>
          </w:p>
        </w:tc>
        <w:tc>
          <w:tcPr>
            <w:tcW w:w="4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
        </w:trPr>
        <w:tc>
          <w:tcPr>
            <w:tcW w:w="13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37"/>
        </w:trPr>
        <w:tc>
          <w:tcPr>
            <w:tcW w:w="5740" w:type="dxa"/>
            <w:vAlign w:val="bottom"/>
            <w:gridSpan w:val="2"/>
          </w:tcPr>
          <w:p>
            <w:pPr>
              <w:spacing w:after="0"/>
              <w:rPr>
                <w:sz w:val="20"/>
                <w:szCs w:val="20"/>
                <w:color w:val="auto"/>
              </w:rPr>
            </w:pPr>
            <w:r>
              <w:rPr>
                <w:rFonts w:ascii="Arial" w:cs="Arial" w:eastAsia="Arial" w:hAnsi="Arial"/>
                <w:sz w:val="18"/>
                <w:szCs w:val="18"/>
                <w:color w:val="auto"/>
              </w:rPr>
              <w:t>Common Stock, no par value</w:t>
            </w:r>
          </w:p>
        </w:tc>
        <w:tc>
          <w:tcPr>
            <w:tcW w:w="44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The Nasdaq Stock Market LLC (Global Market)</w:t>
            </w:r>
          </w:p>
        </w:tc>
      </w:tr>
      <w:tr>
        <w:trPr>
          <w:trHeight w:val="432"/>
        </w:trPr>
        <w:tc>
          <w:tcPr>
            <w:tcW w:w="1380" w:type="dxa"/>
            <w:vAlign w:val="bottom"/>
          </w:tcPr>
          <w:p>
            <w:pPr>
              <w:spacing w:after="0"/>
              <w:rPr>
                <w:sz w:val="24"/>
                <w:szCs w:val="24"/>
                <w:color w:val="auto"/>
              </w:rPr>
            </w:pPr>
          </w:p>
        </w:tc>
        <w:tc>
          <w:tcPr>
            <w:tcW w:w="8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r>
        <w:trPr>
          <w:trHeight w:val="385"/>
        </w:trPr>
        <w:tc>
          <w:tcPr>
            <w:tcW w:w="10180" w:type="dxa"/>
            <w:vAlign w:val="bottom"/>
            <w:gridSpan w:val="5"/>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r>
      <w:tr>
        <w:trPr>
          <w:trHeight w:val="283"/>
        </w:trPr>
        <w:tc>
          <w:tcPr>
            <w:tcW w:w="1380" w:type="dxa"/>
            <w:vAlign w:val="bottom"/>
          </w:tcPr>
          <w:p>
            <w:pPr>
              <w:spacing w:after="0"/>
              <w:rPr>
                <w:sz w:val="24"/>
                <w:szCs w:val="24"/>
                <w:color w:val="auto"/>
              </w:rPr>
            </w:pPr>
          </w:p>
        </w:tc>
        <w:tc>
          <w:tcPr>
            <w:tcW w:w="4360" w:type="dxa"/>
            <w:vAlign w:val="bottom"/>
          </w:tcPr>
          <w:p>
            <w:pPr>
              <w:ind w:left="3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4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65"/>
        </w:trPr>
        <w:tc>
          <w:tcPr>
            <w:tcW w:w="10180" w:type="dxa"/>
            <w:vAlign w:val="bottom"/>
            <w:gridSpan w:val="5"/>
          </w:tcPr>
          <w:p>
            <w:pPr>
              <w:spacing w:after="0"/>
              <w:rPr>
                <w:sz w:val="20"/>
                <w:szCs w:val="20"/>
                <w:color w:val="auto"/>
              </w:rPr>
            </w:pPr>
            <w:r>
              <w:rPr>
                <w:rFonts w:ascii="Arial" w:cs="Arial" w:eastAsia="Arial" w:hAnsi="Arial"/>
                <w:sz w:val="18"/>
                <w:szCs w:val="18"/>
                <w:color w:val="auto"/>
                <w:w w:val="99"/>
              </w:rPr>
              <w:t>Indicate by check mark if the registrant is not required to file reports pursuant to Section 13 or Section 15(d) of the Exchange Act.</w:t>
            </w:r>
          </w:p>
        </w:tc>
      </w:tr>
      <w:tr>
        <w:trPr>
          <w:trHeight w:val="283"/>
        </w:trPr>
        <w:tc>
          <w:tcPr>
            <w:tcW w:w="1380" w:type="dxa"/>
            <w:vAlign w:val="bottom"/>
          </w:tcPr>
          <w:p>
            <w:pPr>
              <w:spacing w:after="0"/>
              <w:rPr>
                <w:sz w:val="24"/>
                <w:szCs w:val="24"/>
                <w:color w:val="auto"/>
              </w:rPr>
            </w:pPr>
          </w:p>
        </w:tc>
        <w:tc>
          <w:tcPr>
            <w:tcW w:w="4360" w:type="dxa"/>
            <w:vAlign w:val="bottom"/>
          </w:tcPr>
          <w:p>
            <w:pPr>
              <w:ind w:left="3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44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ind w:right="3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w:t>
      </w:r>
    </w:p>
    <w:p>
      <w:pPr>
        <w:jc w:val="center"/>
        <w:ind w:right="-1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jc w:val="center"/>
        <w:ind w:right="-19"/>
        <w:spacing w:after="0" w:line="207" w:lineRule="exact"/>
        <w:tabs>
          <w:tab w:leader="none" w:pos="2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filer”,”accelerated filer" and “smaller reporting company” in Rule 12b-2 of the Exchange Act.</w:t>
      </w:r>
    </w:p>
    <w:p>
      <w:pPr>
        <w:spacing w:after="0" w:line="114" w:lineRule="exact"/>
        <w:rPr>
          <w:sz w:val="24"/>
          <w:szCs w:val="24"/>
          <w:color w:val="auto"/>
        </w:rPr>
      </w:pPr>
    </w:p>
    <w:p>
      <w:pPr>
        <w:ind w:left="1820"/>
        <w:spacing w:after="0" w:line="207" w:lineRule="exact"/>
        <w:tabs>
          <w:tab w:leader="none" w:pos="3820" w:val="left"/>
          <w:tab w:leader="none" w:pos="5460" w:val="left"/>
          <w:tab w:leader="none" w:pos="74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2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The aggregate market value of the 21,024,763 shares of the registrant’s common stock held by non-affiliates as of the date of filing of this report, based upon the closing price of the registrant’s common stock of $6.25 per share reported by Nasdaq as of June 30, 2015, was approximately $131,404,769.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March 4, 2016 was 25,186,261.</w:t>
      </w:r>
    </w:p>
    <w:p>
      <w:pPr>
        <w:spacing w:after="0" w:line="184"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2016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34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83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1.</w:t>
            </w:r>
          </w:p>
        </w:tc>
        <w:tc>
          <w:tcPr>
            <w:tcW w:w="8340" w:type="dxa"/>
            <w:vAlign w:val="bottom"/>
          </w:tcPr>
          <w:p>
            <w:pPr>
              <w:ind w:left="260"/>
              <w:spacing w:after="0"/>
              <w:rPr>
                <w:sz w:val="20"/>
                <w:szCs w:val="20"/>
                <w:color w:val="auto"/>
              </w:rPr>
            </w:pPr>
            <w:r>
              <w:rPr>
                <w:rFonts w:ascii="Arial" w:cs="Arial" w:eastAsia="Arial" w:hAnsi="Arial"/>
                <w:sz w:val="18"/>
                <w:szCs w:val="18"/>
                <w:color w:val="auto"/>
              </w:rPr>
              <w:t>Business</w:t>
            </w: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1A.</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Risk Factors</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1B.</w:t>
            </w:r>
          </w:p>
        </w:tc>
        <w:tc>
          <w:tcPr>
            <w:tcW w:w="8340" w:type="dxa"/>
            <w:vAlign w:val="bottom"/>
          </w:tcPr>
          <w:p>
            <w:pPr>
              <w:ind w:left="260"/>
              <w:spacing w:after="0"/>
              <w:rPr>
                <w:sz w:val="20"/>
                <w:szCs w:val="20"/>
                <w:color w:val="auto"/>
              </w:rPr>
            </w:pPr>
            <w:r>
              <w:rPr>
                <w:rFonts w:ascii="Arial" w:cs="Arial" w:eastAsia="Arial" w:hAnsi="Arial"/>
                <w:sz w:val="18"/>
                <w:szCs w:val="18"/>
                <w:color w:val="auto"/>
              </w:rPr>
              <w:t>Unresolved Staff Comments</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2.</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Properties</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3.</w:t>
            </w:r>
          </w:p>
        </w:tc>
        <w:tc>
          <w:tcPr>
            <w:tcW w:w="8340" w:type="dxa"/>
            <w:vAlign w:val="bottom"/>
          </w:tcPr>
          <w:p>
            <w:pPr>
              <w:ind w:left="260"/>
              <w:spacing w:after="0"/>
              <w:rPr>
                <w:sz w:val="20"/>
                <w:szCs w:val="20"/>
                <w:color w:val="auto"/>
              </w:rPr>
            </w:pPr>
            <w:r>
              <w:rPr>
                <w:rFonts w:ascii="Arial" w:cs="Arial" w:eastAsia="Arial" w:hAnsi="Arial"/>
                <w:sz w:val="18"/>
                <w:szCs w:val="18"/>
                <w:color w:val="auto"/>
              </w:rPr>
              <w:t>Legal Proceedings</w:t>
            </w:r>
          </w:p>
        </w:tc>
        <w:tc>
          <w:tcPr>
            <w:tcW w:w="17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4.</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Mine Safety Disclosures</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Executive Officers of the Registrant</w:t>
            </w:r>
          </w:p>
        </w:tc>
        <w:tc>
          <w:tcPr>
            <w:tcW w:w="17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II</w:t>
            </w:r>
          </w:p>
        </w:tc>
        <w:tc>
          <w:tcPr>
            <w:tcW w:w="83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340" w:type="dxa"/>
            <w:vAlign w:val="bottom"/>
          </w:tcPr>
          <w:p>
            <w:pPr>
              <w:ind w:left="440"/>
              <w:spacing w:after="0" w:line="201" w:lineRule="exact"/>
              <w:rPr>
                <w:sz w:val="20"/>
                <w:szCs w:val="20"/>
                <w:color w:val="auto"/>
              </w:rPr>
            </w:pPr>
            <w:r>
              <w:rPr>
                <w:rFonts w:ascii="Arial" w:cs="Arial" w:eastAsia="Arial" w:hAnsi="Arial"/>
                <w:sz w:val="18"/>
                <w:szCs w:val="18"/>
                <w:color w:val="auto"/>
              </w:rPr>
              <w:t>Item 5.</w:t>
            </w:r>
          </w:p>
        </w:tc>
        <w:tc>
          <w:tcPr>
            <w:tcW w:w="8340" w:type="dxa"/>
            <w:vAlign w:val="bottom"/>
          </w:tcPr>
          <w:p>
            <w:pPr>
              <w:ind w:left="260"/>
              <w:spacing w:after="0" w:line="201" w:lineRule="exact"/>
              <w:rPr>
                <w:sz w:val="20"/>
                <w:szCs w:val="20"/>
                <w:color w:val="auto"/>
              </w:rPr>
            </w:pPr>
            <w:r>
              <w:rPr>
                <w:rFonts w:ascii="Arial" w:cs="Arial" w:eastAsia="Arial" w:hAnsi="Arial"/>
                <w:sz w:val="18"/>
                <w:szCs w:val="18"/>
                <w:color w:val="auto"/>
                <w:w w:val="99"/>
              </w:rPr>
              <w:t>Market for Registrant’s Common Equity, Related Stockholder Matters, and Issuer Purchases of Equity</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340" w:type="dxa"/>
            <w:vAlign w:val="bottom"/>
          </w:tcPr>
          <w:p>
            <w:pPr>
              <w:ind w:left="260"/>
              <w:spacing w:after="0"/>
              <w:rPr>
                <w:sz w:val="20"/>
                <w:szCs w:val="20"/>
                <w:color w:val="auto"/>
              </w:rPr>
            </w:pPr>
            <w:r>
              <w:rPr>
                <w:rFonts w:ascii="Arial" w:cs="Arial" w:eastAsia="Arial" w:hAnsi="Arial"/>
                <w:sz w:val="18"/>
                <w:szCs w:val="18"/>
                <w:color w:val="auto"/>
              </w:rPr>
              <w:t>Securities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6.</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Selected Financial Data</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7.</w:t>
            </w:r>
          </w:p>
        </w:tc>
        <w:tc>
          <w:tcPr>
            <w:tcW w:w="834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7A.</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8.</w:t>
            </w:r>
          </w:p>
        </w:tc>
        <w:tc>
          <w:tcPr>
            <w:tcW w:w="8340" w:type="dxa"/>
            <w:vAlign w:val="bottom"/>
          </w:tcPr>
          <w:p>
            <w:pPr>
              <w:ind w:left="260"/>
              <w:spacing w:after="0"/>
              <w:rPr>
                <w:sz w:val="20"/>
                <w:szCs w:val="20"/>
                <w:color w:val="auto"/>
              </w:rPr>
            </w:pPr>
            <w:r>
              <w:rPr>
                <w:rFonts w:ascii="Arial" w:cs="Arial" w:eastAsia="Arial" w:hAnsi="Arial"/>
                <w:sz w:val="18"/>
                <w:szCs w:val="18"/>
                <w:color w:val="auto"/>
              </w:rPr>
              <w:t>Financial Statements and Supplementary Data</w:t>
            </w:r>
          </w:p>
        </w:tc>
        <w:tc>
          <w:tcPr>
            <w:tcW w:w="17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9.</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9A.</w:t>
            </w:r>
          </w:p>
        </w:tc>
        <w:tc>
          <w:tcPr>
            <w:tcW w:w="8340" w:type="dxa"/>
            <w:vAlign w:val="bottom"/>
          </w:tcPr>
          <w:p>
            <w:pPr>
              <w:ind w:left="260"/>
              <w:spacing w:after="0"/>
              <w:rPr>
                <w:sz w:val="20"/>
                <w:szCs w:val="20"/>
                <w:color w:val="auto"/>
              </w:rPr>
            </w:pPr>
            <w:r>
              <w:rPr>
                <w:rFonts w:ascii="Arial" w:cs="Arial" w:eastAsia="Arial" w:hAnsi="Arial"/>
                <w:sz w:val="18"/>
                <w:szCs w:val="18"/>
                <w:color w:val="auto"/>
              </w:rPr>
              <w:t>Controls and Procedures</w:t>
            </w:r>
          </w:p>
        </w:tc>
        <w:tc>
          <w:tcPr>
            <w:tcW w:w="17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9B.</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Information</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III</w:t>
            </w:r>
          </w:p>
        </w:tc>
        <w:tc>
          <w:tcPr>
            <w:tcW w:w="83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10.</w:t>
            </w:r>
          </w:p>
        </w:tc>
        <w:tc>
          <w:tcPr>
            <w:tcW w:w="8340" w:type="dxa"/>
            <w:vAlign w:val="bottom"/>
          </w:tcPr>
          <w:p>
            <w:pPr>
              <w:ind w:left="260"/>
              <w:spacing w:after="0"/>
              <w:rPr>
                <w:sz w:val="20"/>
                <w:szCs w:val="20"/>
                <w:color w:val="auto"/>
              </w:rPr>
            </w:pPr>
            <w:r>
              <w:rPr>
                <w:rFonts w:ascii="Arial" w:cs="Arial" w:eastAsia="Arial" w:hAnsi="Arial"/>
                <w:sz w:val="18"/>
                <w:szCs w:val="18"/>
                <w:color w:val="auto"/>
              </w:rPr>
              <w:t>Directors, Executive Officers and Corporate Governance</w:t>
            </w: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11.</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Executive Compensation</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12.</w:t>
            </w:r>
          </w:p>
        </w:tc>
        <w:tc>
          <w:tcPr>
            <w:tcW w:w="8340" w:type="dxa"/>
            <w:vAlign w:val="bottom"/>
          </w:tcPr>
          <w:p>
            <w:pPr>
              <w:ind w:left="2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13.</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440"/>
              <w:spacing w:after="0"/>
              <w:rPr>
                <w:sz w:val="20"/>
                <w:szCs w:val="20"/>
                <w:color w:val="auto"/>
              </w:rPr>
            </w:pPr>
            <w:r>
              <w:rPr>
                <w:rFonts w:ascii="Arial" w:cs="Arial" w:eastAsia="Arial" w:hAnsi="Arial"/>
                <w:sz w:val="18"/>
                <w:szCs w:val="18"/>
                <w:color w:val="auto"/>
              </w:rPr>
              <w:t>Item 14.</w:t>
            </w:r>
          </w:p>
        </w:tc>
        <w:tc>
          <w:tcPr>
            <w:tcW w:w="8340" w:type="dxa"/>
            <w:vAlign w:val="bottom"/>
          </w:tcPr>
          <w:p>
            <w:pPr>
              <w:ind w:left="260"/>
              <w:spacing w:after="0"/>
              <w:rPr>
                <w:sz w:val="20"/>
                <w:szCs w:val="20"/>
                <w:color w:val="auto"/>
              </w:rPr>
            </w:pPr>
            <w:r>
              <w:rPr>
                <w:rFonts w:ascii="Arial" w:cs="Arial" w:eastAsia="Arial" w:hAnsi="Arial"/>
                <w:sz w:val="18"/>
                <w:szCs w:val="18"/>
                <w:color w:val="auto"/>
              </w:rPr>
              <w:t>Principal Accountant Fees and Services</w:t>
            </w:r>
          </w:p>
        </w:tc>
        <w:tc>
          <w:tcPr>
            <w:tcW w:w="1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83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8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Item 15.</w:t>
            </w:r>
          </w:p>
        </w:tc>
        <w:tc>
          <w:tcPr>
            <w:tcW w:w="83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Exhibits, Financial Statement Schedules</w:t>
            </w:r>
          </w:p>
        </w:tc>
        <w:tc>
          <w:tcPr>
            <w:tcW w:w="1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080"/>
        </w:trPr>
        <w:tc>
          <w:tcPr>
            <w:tcW w:w="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00" w:firstLine="130"/>
        <w:spacing w:after="0" w:line="271"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acquired installment purchase contracts in four merger and acquisition transactions, and purchased or originated immaterial amounts of loans secured by vehicles. In this report, we refer to all of such contracts and loans as "automobile contracts."</w:t>
      </w:r>
    </w:p>
    <w:p>
      <w:pPr>
        <w:spacing w:after="0" w:line="179" w:lineRule="exact"/>
        <w:rPr>
          <w:sz w:val="20"/>
          <w:szCs w:val="20"/>
          <w:color w:val="auto"/>
        </w:rPr>
      </w:pPr>
    </w:p>
    <w:p>
      <w:pPr>
        <w:ind w:right="40" w:firstLine="130"/>
        <w:spacing w:after="0" w:line="270" w:lineRule="auto"/>
        <w:rPr>
          <w:sz w:val="20"/>
          <w:szCs w:val="20"/>
          <w:color w:val="auto"/>
        </w:rPr>
      </w:pPr>
      <w:r>
        <w:rPr>
          <w:rFonts w:ascii="Arial" w:cs="Arial" w:eastAsia="Arial" w:hAnsi="Arial"/>
          <w:sz w:val="17"/>
          <w:szCs w:val="17"/>
          <w:color w:val="auto"/>
        </w:rPr>
        <w:t>We were incorporated and began our operations in March 1991. We consist of Consumer Portfolio Services, Inc. and subsidiaries (collectively, “we,” “us,” “CPS” or “the Company”). From inception through December 31, 2015, we have purchased a total of approximately $12.4 billion of automobile contracts from dealers.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From 2008 through 2010, our managed portfolio decreased each year due to our strategy of limiting contract purchases to conserve our liquidity during the financial crisis and resulting recession, as discussed further below. However, since October 2009, we have gradually increased contract purchases, which, in turn, has resulted in increases in our managed portfolio. Contract purchase volumes and managed portfolio levels for the five years ended December 31, 2015 are shown in the table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140" w:type="dxa"/>
            <w:vAlign w:val="bottom"/>
            <w:gridSpan w:val="4"/>
          </w:tcPr>
          <w:p>
            <w:pPr>
              <w:ind w:left="14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6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89"/>
              </w:rPr>
              <w:t>Contracts Purchased in</w:t>
            </w:r>
          </w:p>
        </w:tc>
        <w:tc>
          <w:tcPr>
            <w:tcW w:w="1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 Portfolio at</w:t>
            </w:r>
          </w:p>
        </w:tc>
        <w:tc>
          <w:tcPr>
            <w:tcW w:w="120" w:type="dxa"/>
            <w:vAlign w:val="bottom"/>
          </w:tcPr>
          <w:p>
            <w:pPr>
              <w:spacing w:after="0"/>
              <w:rPr>
                <w:sz w:val="16"/>
                <w:szCs w:val="16"/>
                <w:color w:val="auto"/>
              </w:rPr>
            </w:pPr>
          </w:p>
        </w:tc>
      </w:tr>
      <w:tr>
        <w:trPr>
          <w:trHeight w:val="234"/>
        </w:trPr>
        <w:tc>
          <w:tcPr>
            <w:tcW w:w="2700" w:type="dxa"/>
            <w:vAlign w:val="bottom"/>
            <w:gridSpan w:val="2"/>
          </w:tcPr>
          <w:p>
            <w:pPr>
              <w:ind w:left="1000"/>
              <w:spacing w:after="0"/>
              <w:rPr>
                <w:sz w:val="20"/>
                <w:szCs w:val="20"/>
                <w:color w:val="auto"/>
              </w:rPr>
            </w:pPr>
            <w:r>
              <w:rPr>
                <w:rFonts w:ascii="Arial" w:cs="Arial" w:eastAsia="Arial" w:hAnsi="Arial"/>
                <w:sz w:val="18"/>
                <w:szCs w:val="18"/>
                <w:b w:val="1"/>
                <w:bCs w:val="1"/>
                <w:color w:val="auto"/>
              </w:rPr>
              <w:t>Year</w:t>
            </w:r>
          </w:p>
        </w:tc>
        <w:tc>
          <w:tcPr>
            <w:tcW w:w="216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Period</w:t>
            </w:r>
          </w:p>
        </w:tc>
        <w:tc>
          <w:tcPr>
            <w:tcW w:w="1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Period End</w:t>
            </w:r>
          </w:p>
        </w:tc>
      </w:tr>
      <w:tr>
        <w:trPr>
          <w:trHeight w:val="210"/>
        </w:trPr>
        <w:tc>
          <w:tcPr>
            <w:tcW w:w="2380" w:type="dxa"/>
            <w:vAlign w:val="bottom"/>
            <w:tcBorders>
              <w:top w:val="single" w:sz="8" w:color="auto"/>
            </w:tcBorders>
            <w:shd w:val="clear" w:color="auto" w:fill="EEEEEE"/>
          </w:tcPr>
          <w:p>
            <w:pPr>
              <w:jc w:val="right"/>
              <w:ind w:right="870"/>
              <w:spacing w:after="0"/>
              <w:rPr>
                <w:sz w:val="20"/>
                <w:szCs w:val="20"/>
                <w:color w:val="auto"/>
              </w:rPr>
            </w:pPr>
            <w:r>
              <w:rPr>
                <w:rFonts w:ascii="Arial" w:cs="Arial" w:eastAsia="Arial" w:hAnsi="Arial"/>
                <w:sz w:val="18"/>
                <w:szCs w:val="18"/>
                <w:color w:val="333333"/>
              </w:rPr>
              <w:t>2011</w:t>
            </w:r>
          </w:p>
        </w:tc>
        <w:tc>
          <w:tcPr>
            <w:tcW w:w="320" w:type="dxa"/>
            <w:vAlign w:val="bottom"/>
            <w:tcBorders>
              <w:top w:val="single" w:sz="8" w:color="EEEEEE"/>
            </w:tcBorders>
            <w:shd w:val="clear" w:color="auto" w:fill="EEEEEE"/>
          </w:tcPr>
          <w:p>
            <w:pPr>
              <w:spacing w:after="0"/>
              <w:rPr>
                <w:sz w:val="18"/>
                <w:szCs w:val="18"/>
                <w:color w:val="auto"/>
              </w:rPr>
            </w:pPr>
          </w:p>
        </w:tc>
        <w:tc>
          <w:tcPr>
            <w:tcW w:w="1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284,236</w:t>
            </w:r>
          </w:p>
        </w:tc>
        <w:tc>
          <w:tcPr>
            <w:tcW w:w="340" w:type="dxa"/>
            <w:vAlign w:val="bottom"/>
            <w:tcBorders>
              <w:top w:val="single" w:sz="8" w:color="EEEEEE"/>
            </w:tcBorders>
            <w:shd w:val="clear" w:color="auto" w:fill="EEEEEE"/>
          </w:tcPr>
          <w:p>
            <w:pPr>
              <w:spacing w:after="0"/>
              <w:rPr>
                <w:sz w:val="18"/>
                <w:szCs w:val="18"/>
                <w:color w:val="auto"/>
              </w:rPr>
            </w:pPr>
          </w:p>
        </w:tc>
        <w:tc>
          <w:tcPr>
            <w:tcW w:w="18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794,649</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380" w:type="dxa"/>
            <w:vAlign w:val="bottom"/>
          </w:tcPr>
          <w:p>
            <w:pPr>
              <w:jc w:val="right"/>
              <w:ind w:right="870"/>
              <w:spacing w:after="0"/>
              <w:rPr>
                <w:sz w:val="20"/>
                <w:szCs w:val="20"/>
                <w:color w:val="auto"/>
              </w:rPr>
            </w:pPr>
            <w:r>
              <w:rPr>
                <w:rFonts w:ascii="Arial" w:cs="Arial" w:eastAsia="Arial" w:hAnsi="Arial"/>
                <w:sz w:val="18"/>
                <w:szCs w:val="18"/>
                <w:color w:val="333333"/>
              </w:rPr>
              <w:t>2012</w:t>
            </w:r>
          </w:p>
        </w:tc>
        <w:tc>
          <w:tcPr>
            <w:tcW w:w="320" w:type="dxa"/>
            <w:vAlign w:val="bottom"/>
          </w:tcPr>
          <w:p>
            <w:pPr>
              <w:spacing w:after="0"/>
              <w:rPr>
                <w:sz w:val="18"/>
                <w:szCs w:val="18"/>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551,742</w:t>
            </w:r>
          </w:p>
        </w:tc>
        <w:tc>
          <w:tcPr>
            <w:tcW w:w="1860" w:type="dxa"/>
            <w:vAlign w:val="bottom"/>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tcPr>
          <w:p>
            <w:pPr>
              <w:spacing w:after="0"/>
              <w:rPr>
                <w:sz w:val="18"/>
                <w:szCs w:val="18"/>
                <w:color w:val="auto"/>
              </w:rPr>
            </w:pPr>
          </w:p>
        </w:tc>
      </w:tr>
      <w:tr>
        <w:trPr>
          <w:trHeight w:val="216"/>
        </w:trPr>
        <w:tc>
          <w:tcPr>
            <w:tcW w:w="2380" w:type="dxa"/>
            <w:vAlign w:val="bottom"/>
            <w:shd w:val="clear" w:color="auto" w:fill="EEEEEE"/>
          </w:tcPr>
          <w:p>
            <w:pPr>
              <w:jc w:val="right"/>
              <w:ind w:right="870"/>
              <w:spacing w:after="0"/>
              <w:rPr>
                <w:sz w:val="20"/>
                <w:szCs w:val="20"/>
                <w:color w:val="auto"/>
              </w:rPr>
            </w:pPr>
            <w:r>
              <w:rPr>
                <w:rFonts w:ascii="Arial" w:cs="Arial" w:eastAsia="Arial" w:hAnsi="Arial"/>
                <w:sz w:val="18"/>
                <w:szCs w:val="18"/>
                <w:color w:val="333333"/>
              </w:rPr>
              <w:t>2013</w:t>
            </w:r>
          </w:p>
        </w:tc>
        <w:tc>
          <w:tcPr>
            <w:tcW w:w="320" w:type="dxa"/>
            <w:vAlign w:val="bottom"/>
            <w:shd w:val="clear" w:color="auto" w:fill="EEEEEE"/>
          </w:tcPr>
          <w:p>
            <w:pPr>
              <w:spacing w:after="0"/>
              <w:rPr>
                <w:sz w:val="18"/>
                <w:szCs w:val="18"/>
                <w:color w:val="auto"/>
              </w:rPr>
            </w:pPr>
          </w:p>
        </w:tc>
        <w:tc>
          <w:tcPr>
            <w:tcW w:w="21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764,087</w:t>
            </w:r>
          </w:p>
        </w:tc>
        <w:tc>
          <w:tcPr>
            <w:tcW w:w="1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shd w:val="clear" w:color="auto" w:fill="EEEEEE"/>
          </w:tcPr>
          <w:p>
            <w:pPr>
              <w:spacing w:after="0"/>
              <w:rPr>
                <w:sz w:val="18"/>
                <w:szCs w:val="18"/>
                <w:color w:val="auto"/>
              </w:rPr>
            </w:pPr>
          </w:p>
        </w:tc>
      </w:tr>
      <w:tr>
        <w:trPr>
          <w:trHeight w:val="216"/>
        </w:trPr>
        <w:tc>
          <w:tcPr>
            <w:tcW w:w="2380" w:type="dxa"/>
            <w:vAlign w:val="bottom"/>
          </w:tcPr>
          <w:p>
            <w:pPr>
              <w:jc w:val="right"/>
              <w:ind w:right="870"/>
              <w:spacing w:after="0"/>
              <w:rPr>
                <w:sz w:val="20"/>
                <w:szCs w:val="20"/>
                <w:color w:val="auto"/>
              </w:rPr>
            </w:pPr>
            <w:r>
              <w:rPr>
                <w:rFonts w:ascii="Arial" w:cs="Arial" w:eastAsia="Arial" w:hAnsi="Arial"/>
                <w:sz w:val="18"/>
                <w:szCs w:val="18"/>
                <w:color w:val="333333"/>
              </w:rPr>
              <w:t>2014</w:t>
            </w:r>
          </w:p>
        </w:tc>
        <w:tc>
          <w:tcPr>
            <w:tcW w:w="320" w:type="dxa"/>
            <w:vAlign w:val="bottom"/>
          </w:tcPr>
          <w:p>
            <w:pPr>
              <w:spacing w:after="0"/>
              <w:rPr>
                <w:sz w:val="18"/>
                <w:szCs w:val="18"/>
                <w:color w:val="auto"/>
              </w:rPr>
            </w:pPr>
          </w:p>
        </w:tc>
        <w:tc>
          <w:tcPr>
            <w:tcW w:w="2160" w:type="dxa"/>
            <w:vAlign w:val="bottom"/>
            <w:gridSpan w:val="2"/>
          </w:tcPr>
          <w:p>
            <w:pPr>
              <w:jc w:val="right"/>
              <w:ind w:right="340"/>
              <w:spacing w:after="0"/>
              <w:rPr>
                <w:sz w:val="20"/>
                <w:szCs w:val="20"/>
                <w:color w:val="auto"/>
              </w:rPr>
            </w:pPr>
            <w:r>
              <w:rPr>
                <w:rFonts w:ascii="Arial" w:cs="Arial" w:eastAsia="Arial" w:hAnsi="Arial"/>
                <w:sz w:val="18"/>
                <w:szCs w:val="18"/>
                <w:color w:val="auto"/>
              </w:rPr>
              <w:t>944,944</w:t>
            </w:r>
          </w:p>
        </w:tc>
        <w:tc>
          <w:tcPr>
            <w:tcW w:w="1860" w:type="dxa"/>
            <w:vAlign w:val="bottom"/>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tcPr>
          <w:p>
            <w:pPr>
              <w:spacing w:after="0"/>
              <w:rPr>
                <w:sz w:val="18"/>
                <w:szCs w:val="18"/>
                <w:color w:val="auto"/>
              </w:rPr>
            </w:pPr>
          </w:p>
        </w:tc>
      </w:tr>
      <w:tr>
        <w:trPr>
          <w:trHeight w:val="216"/>
        </w:trPr>
        <w:tc>
          <w:tcPr>
            <w:tcW w:w="2380" w:type="dxa"/>
            <w:vAlign w:val="bottom"/>
            <w:shd w:val="clear" w:color="auto" w:fill="EEEEEE"/>
          </w:tcPr>
          <w:p>
            <w:pPr>
              <w:jc w:val="right"/>
              <w:ind w:right="870"/>
              <w:spacing w:after="0"/>
              <w:rPr>
                <w:sz w:val="20"/>
                <w:szCs w:val="20"/>
                <w:color w:val="auto"/>
              </w:rPr>
            </w:pPr>
            <w:r>
              <w:rPr>
                <w:rFonts w:ascii="Arial" w:cs="Arial" w:eastAsia="Arial" w:hAnsi="Arial"/>
                <w:sz w:val="18"/>
                <w:szCs w:val="18"/>
                <w:color w:val="333333"/>
              </w:rPr>
              <w:t>2015</w:t>
            </w:r>
          </w:p>
        </w:tc>
        <w:tc>
          <w:tcPr>
            <w:tcW w:w="320" w:type="dxa"/>
            <w:vAlign w:val="bottom"/>
            <w:shd w:val="clear" w:color="auto" w:fill="EEEEEE"/>
          </w:tcPr>
          <w:p>
            <w:pPr>
              <w:spacing w:after="0"/>
              <w:rPr>
                <w:sz w:val="18"/>
                <w:szCs w:val="18"/>
                <w:color w:val="auto"/>
              </w:rPr>
            </w:pPr>
          </w:p>
        </w:tc>
        <w:tc>
          <w:tcPr>
            <w:tcW w:w="21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1,060,538</w:t>
            </w:r>
          </w:p>
        </w:tc>
        <w:tc>
          <w:tcPr>
            <w:tcW w:w="1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2,031,136</w:t>
            </w:r>
          </w:p>
        </w:tc>
        <w:tc>
          <w:tcPr>
            <w:tcW w:w="12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right="200" w:firstLine="130"/>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ind w:firstLine="130"/>
        <w:spacing w:after="0" w:line="270" w:lineRule="auto"/>
        <w:rPr>
          <w:sz w:val="20"/>
          <w:szCs w:val="20"/>
          <w:color w:val="auto"/>
        </w:rPr>
      </w:pPr>
      <w:r>
        <w:rPr>
          <w:rFonts w:ascii="Arial" w:cs="Arial" w:eastAsia="Arial" w:hAnsi="Arial"/>
          <w:sz w:val="17"/>
          <w:szCs w:val="17"/>
          <w:color w:val="auto"/>
        </w:rPr>
        <w:t>We direct our marketing efforts primarily to dealers, rather than to consumers.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in our Irvine branch, in our Las Vegas branch, or in the field, in which case they work from their homes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2015, we had 109 marketing representatives and in that month we received applications from 7,941 dealers in 47 states. As of December 31, 2015, approximately 67% of our active dealers were franchised new car dealers that sell both new and used vehicles, and the remainder were independent used car dealers. For the year ended December 31, 2015, approximately 78% of the automobile contracts purchased under our programs consisted of financing for used cars and 22% consisted of financing for new cars, as compared to 84% financing for used cars and 16% for new cars in the year ended December 31, 2014.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ind w:right="180" w:firstLine="130"/>
        <w:spacing w:after="0" w:line="255" w:lineRule="auto"/>
        <w:rPr>
          <w:sz w:val="20"/>
          <w:szCs w:val="20"/>
          <w:color w:val="auto"/>
        </w:rPr>
      </w:pPr>
      <w:r>
        <w:rPr>
          <w:rFonts w:ascii="Arial" w:cs="Arial" w:eastAsia="Arial" w:hAnsi="Arial"/>
          <w:sz w:val="18"/>
          <w:szCs w:val="18"/>
          <w:color w:val="auto"/>
        </w:rPr>
        <w:t>We purchase automobile contracts with the intention of financing them on a long-term basis through securitizations. Securitizations are transactions in which we sell a specified pool of contracts to a special purpose subsidiary of ours. The subsidiary in turn issues (or contributes to a trust that issues) asset-backed securities, which are purchased by institutional investors. Since 1994, we have completed 68 term securitizations of approximately $10.2 billion in contracts. We depend upon the availability of short-term warehouse credit facilities as interim financing for our contract purchases prior to the time we pool those contracts for a securitization. From February 2011 through October 2015 we maintained two $100 million revolving warehouse credit facilities. In November 2015 we added a third $100 million facility.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ind w:right="140" w:firstLine="130"/>
        <w:spacing w:after="0" w:line="279" w:lineRule="auto"/>
        <w:rPr>
          <w:sz w:val="20"/>
          <w:szCs w:val="20"/>
          <w:color w:val="auto"/>
        </w:rPr>
      </w:pPr>
      <w:r>
        <w:rPr>
          <w:rFonts w:ascii="Arial" w:cs="Arial" w:eastAsia="Arial" w:hAnsi="Arial"/>
          <w:sz w:val="17"/>
          <w:szCs w:val="17"/>
          <w:color w:val="auto"/>
        </w:rPr>
        <w:t>Automobile financing is the second largest consumer finance market in the United States. The automobile finance industry can be considered a continuum where participants choose to provide financing to consumers in various segments of the spectrum of creditworthiness depending on each participant’s business strategy. We operate in a segment of the spectrum that is frequently referred to as sub-prime since we provide financing to less credit-worthy borrowers at higher rates of interest than more credit-worthy borrowers are likely to obtain.</w:t>
      </w:r>
    </w:p>
    <w:p>
      <w:pPr>
        <w:spacing w:after="0" w:line="171" w:lineRule="exact"/>
        <w:rPr>
          <w:sz w:val="20"/>
          <w:szCs w:val="20"/>
          <w:color w:val="auto"/>
        </w:rPr>
      </w:pPr>
    </w:p>
    <w:p>
      <w:pPr>
        <w:ind w:right="40" w:firstLine="130"/>
        <w:spacing w:after="0" w:line="257" w:lineRule="auto"/>
        <w:rPr>
          <w:sz w:val="20"/>
          <w:szCs w:val="20"/>
          <w:color w:val="auto"/>
        </w:rPr>
      </w:pPr>
      <w:r>
        <w:rPr>
          <w:rFonts w:ascii="Arial" w:cs="Arial" w:eastAsia="Arial" w:hAnsi="Arial"/>
          <w:sz w:val="18"/>
          <w:szCs w:val="18"/>
          <w:color w:val="auto"/>
        </w:rPr>
        <w:t>Traditional automobile finance companies, such as banks, their subsidiaries, credit unions and captive finance subsidiaries of automobile manufacturers, generally lend to the most creditworthy, or so-called prime, borrowers, although some traditional lenders are significant participants in the sub-prime segment in which we operate. Historically, independent companies specializing in sub-prime automobile financing and subsidiaries of larger financial services companies have competed in the sub-prime segment which we believe remains highly fragmented, with no single company having a dominant position in the market.</w:t>
      </w:r>
    </w:p>
    <w:p>
      <w:pPr>
        <w:spacing w:after="0" w:line="188" w:lineRule="exact"/>
        <w:rPr>
          <w:sz w:val="20"/>
          <w:szCs w:val="20"/>
          <w:color w:val="auto"/>
        </w:rPr>
      </w:pPr>
    </w:p>
    <w:p>
      <w:pPr>
        <w:ind w:right="180" w:firstLine="130"/>
        <w:spacing w:after="0" w:line="270" w:lineRule="auto"/>
        <w:rPr>
          <w:sz w:val="20"/>
          <w:szCs w:val="20"/>
          <w:color w:val="auto"/>
        </w:rPr>
      </w:pPr>
      <w:r>
        <w:rPr>
          <w:rFonts w:ascii="Arial" w:cs="Arial" w:eastAsia="Arial" w:hAnsi="Arial"/>
          <w:sz w:val="17"/>
          <w:szCs w:val="17"/>
          <w:color w:val="auto"/>
        </w:rPr>
        <w:t>Economic conditions of uncertainty have from time to time negatively affected our industry. Notably, and most recently, throughout 2008 and 2009 there was reduced demand for asset-backed securities secured by consumer finance receivables, including sub-prime automobile receivables. Over roughly that same period, lenders who previously provided short-term warehouse financing for sub-prime automobile finance companies such as ours were reluctant to provide such short-term financing due to the uncertainty regarding the prospects of obtaining long-term financing through the issuance of asset-backed securities. In addition, many capital market participants such as investment banks, financial guaranty providers and institutional investors who previously played a role in the sub-prime auto finance industry withdrew from the industry, or in some cases, ceased to do business. Finally, broad economic weakness and high levels of unemployment during 2008, 2009 and thereafter caused many of the obligors under our receivables to be less willing or able to pay, resulting in higher delinquencies, charge-offs and losses. Each of these factors adversely affected our results of operations in the period 2008 through 2011. Since October 2009, however, improvements in the capital markets have allowed us to obtain new short-term credit facilities, and to regularly access long-term funding through the issuance of asset-backed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w:t>
      </w:r>
    </w:p>
    <w:p>
      <w:pPr>
        <w:spacing w:after="0" w:line="225" w:lineRule="exact"/>
        <w:rPr>
          <w:sz w:val="20"/>
          <w:szCs w:val="20"/>
          <w:color w:val="auto"/>
        </w:rPr>
      </w:pPr>
    </w:p>
    <w:p>
      <w:pPr>
        <w:ind w:right="20" w:firstLine="130"/>
        <w:spacing w:after="0" w:line="286" w:lineRule="auto"/>
        <w:rPr>
          <w:sz w:val="20"/>
          <w:szCs w:val="20"/>
          <w:color w:val="auto"/>
        </w:rPr>
      </w:pPr>
      <w:r>
        <w:rPr>
          <w:rFonts w:ascii="Arial" w:cs="Arial" w:eastAsia="Arial" w:hAnsi="Arial"/>
          <w:sz w:val="17"/>
          <w:szCs w:val="17"/>
          <w:color w:val="auto"/>
        </w:rPr>
        <w:t>Our automobile financing programs are designed to serve sub-prime customers, who generally have limited credit histories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Originations</w:t>
      </w:r>
    </w:p>
    <w:p>
      <w:pPr>
        <w:spacing w:after="0" w:line="225" w:lineRule="exact"/>
        <w:rPr>
          <w:sz w:val="20"/>
          <w:szCs w:val="20"/>
          <w:color w:val="auto"/>
        </w:rPr>
      </w:pPr>
    </w:p>
    <w:p>
      <w:pPr>
        <w:ind w:firstLine="130"/>
        <w:spacing w:after="0" w:line="271"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interest rate and monthly payment made available to the dealer's customer; (ii) any fees to be charged to (or paid to) the dealer by the financing source;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two third-party application aggregators. For the year ended December 31, 2015, we received approximately 78% of all applications through DealerTrack (the industry leading dealership application aggregator), 3% via our website and 19% via another aggregator, Route One. Our automated application decisioning system produced our initial decision within seconds on approximately 98% of those applications.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 w:name="page5"/>
    <w:bookmarkEnd w:id="4"/>
    <w:p>
      <w:pPr>
        <w:ind w:right="200" w:firstLine="130"/>
        <w:spacing w:after="0" w:line="302" w:lineRule="auto"/>
        <w:rPr>
          <w:sz w:val="20"/>
          <w:szCs w:val="20"/>
          <w:color w:val="auto"/>
        </w:rPr>
      </w:pPr>
      <w:r>
        <w:rPr>
          <w:rFonts w:ascii="Arial" w:cs="Arial" w:eastAsia="Arial" w:hAnsi="Arial"/>
          <w:sz w:val="16"/>
          <w:szCs w:val="16"/>
          <w:color w:val="auto"/>
        </w:rPr>
        <w:t>Upon receipt of information from a dealer, we immediately order two credit reports to document the buyer's credit history. If, upon review by our proprietary automated decisioning system, or in some cases, one of our credit analysts, we determine that the automobile contract meets our underwriting criteria, we advise the dealer of our decision to approve the contract and the terms under which we will purchase it. In some cases where we don’t grant an approval, we may suggest alternatives from the terms proposed by the dealer or request and review further information from the dealer.</w:t>
      </w:r>
    </w:p>
    <w:p>
      <w:pPr>
        <w:spacing w:after="0" w:line="154" w:lineRule="exact"/>
        <w:rPr>
          <w:sz w:val="20"/>
          <w:szCs w:val="20"/>
          <w:color w:val="auto"/>
        </w:rPr>
      </w:pPr>
    </w:p>
    <w:p>
      <w:pPr>
        <w:ind w:right="240" w:firstLine="130"/>
        <w:spacing w:after="0" w:line="259"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2015, no dealer accounted for more than 0.75% of the total number of automobile contracts we purchased. The following table sets forth the geographical sources of the automobile contracts we purchased (based on the addresses of the customers as stated on our records) during the years ended December 31, 2015 and 2014.</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w w:val="93"/>
              </w:rPr>
              <w:t>Contracts Purchased During the Year Ended</w:t>
            </w:r>
          </w:p>
        </w:tc>
        <w:tc>
          <w:tcPr>
            <w:tcW w:w="1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360" w:type="dxa"/>
            <w:vAlign w:val="bottom"/>
            <w:gridSpan w:val="4"/>
          </w:tcPr>
          <w:p>
            <w:pPr>
              <w:ind w:left="780"/>
              <w:spacing w:after="0"/>
              <w:rPr>
                <w:sz w:val="20"/>
                <w:szCs w:val="20"/>
                <w:color w:val="auto"/>
              </w:rPr>
            </w:pPr>
            <w:r>
              <w:rPr>
                <w:rFonts w:ascii="Arial" w:cs="Arial" w:eastAsia="Arial" w:hAnsi="Arial"/>
                <w:sz w:val="18"/>
                <w:szCs w:val="18"/>
                <w:b w:val="1"/>
                <w:bCs w:val="1"/>
                <w:color w:val="auto"/>
              </w:rPr>
              <w:t>December 31, 2015</w:t>
            </w:r>
          </w:p>
        </w:tc>
        <w:tc>
          <w:tcPr>
            <w:tcW w:w="31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3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Percent (1)</w:t>
            </w:r>
          </w:p>
        </w:tc>
        <w:tc>
          <w:tcPr>
            <w:tcW w:w="320" w:type="dxa"/>
            <w:vAlign w:val="bottom"/>
          </w:tcPr>
          <w:p>
            <w:pPr>
              <w:spacing w:after="0"/>
              <w:rPr>
                <w:sz w:val="19"/>
                <w:szCs w:val="19"/>
                <w:color w:val="auto"/>
              </w:rPr>
            </w:pPr>
          </w:p>
        </w:tc>
        <w:tc>
          <w:tcPr>
            <w:tcW w:w="172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rPr>
              <w:t>Number</w:t>
            </w: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333333"/>
              </w:rPr>
              <w:t>California</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5,775</w:t>
            </w:r>
          </w:p>
        </w:tc>
        <w:tc>
          <w:tcPr>
            <w:tcW w:w="32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5,163</w:t>
            </w:r>
          </w:p>
        </w:tc>
        <w:tc>
          <w:tcPr>
            <w:tcW w:w="340" w:type="dxa"/>
            <w:vAlign w:val="bottom"/>
            <w:tcBorders>
              <w:top w:val="single" w:sz="8" w:color="EEEEEE"/>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333333"/>
              </w:rPr>
              <w:t>Texas</w:t>
            </w:r>
          </w:p>
        </w:tc>
        <w:tc>
          <w:tcPr>
            <w:tcW w:w="1360" w:type="dxa"/>
            <w:vAlign w:val="bottom"/>
          </w:tcPr>
          <w:p>
            <w:pPr>
              <w:jc w:val="right"/>
              <w:spacing w:after="0"/>
              <w:rPr>
                <w:sz w:val="20"/>
                <w:szCs w:val="20"/>
                <w:color w:val="auto"/>
              </w:rPr>
            </w:pPr>
            <w:r>
              <w:rPr>
                <w:rFonts w:ascii="Arial" w:cs="Arial" w:eastAsia="Arial" w:hAnsi="Arial"/>
                <w:sz w:val="18"/>
                <w:szCs w:val="18"/>
                <w:color w:val="auto"/>
              </w:rPr>
              <w:t>5,077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5,926</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333333"/>
              </w:rPr>
              <w:t>Ohio</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4,227</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3,379</w:t>
            </w: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333333"/>
              </w:rPr>
              <w:t>Florida</w:t>
            </w:r>
          </w:p>
        </w:tc>
        <w:tc>
          <w:tcPr>
            <w:tcW w:w="1360" w:type="dxa"/>
            <w:vAlign w:val="bottom"/>
          </w:tcPr>
          <w:p>
            <w:pPr>
              <w:jc w:val="right"/>
              <w:spacing w:after="0"/>
              <w:rPr>
                <w:sz w:val="20"/>
                <w:szCs w:val="20"/>
                <w:color w:val="auto"/>
              </w:rPr>
            </w:pPr>
            <w:r>
              <w:rPr>
                <w:rFonts w:ascii="Arial" w:cs="Arial" w:eastAsia="Arial" w:hAnsi="Arial"/>
                <w:sz w:val="18"/>
                <w:szCs w:val="18"/>
                <w:color w:val="auto"/>
              </w:rPr>
              <w:t>3,397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2,951</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333333"/>
              </w:rPr>
              <w:t>Georgia</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3,361</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2,611</w:t>
            </w:r>
          </w:p>
        </w:tc>
        <w:tc>
          <w:tcPr>
            <w:tcW w:w="340" w:type="dxa"/>
            <w:vAlign w:val="bottom"/>
            <w:shd w:val="clear" w:color="auto" w:fill="EEEEEE"/>
          </w:tcPr>
          <w:p>
            <w:pPr>
              <w:spacing w:after="0"/>
              <w:rPr>
                <w:sz w:val="18"/>
                <w:szCs w:val="18"/>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333333"/>
              </w:rPr>
              <w:t>North Carolina</w:t>
            </w:r>
          </w:p>
        </w:tc>
        <w:tc>
          <w:tcPr>
            <w:tcW w:w="1360" w:type="dxa"/>
            <w:vAlign w:val="bottom"/>
          </w:tcPr>
          <w:p>
            <w:pPr>
              <w:jc w:val="right"/>
              <w:spacing w:after="0"/>
              <w:rPr>
                <w:sz w:val="20"/>
                <w:szCs w:val="20"/>
                <w:color w:val="auto"/>
              </w:rPr>
            </w:pPr>
            <w:r>
              <w:rPr>
                <w:rFonts w:ascii="Arial" w:cs="Arial" w:eastAsia="Arial" w:hAnsi="Arial"/>
                <w:sz w:val="18"/>
                <w:szCs w:val="18"/>
                <w:color w:val="auto"/>
              </w:rPr>
              <w:t>3,167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2,263</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333333"/>
              </w:rPr>
              <w:t>Other States</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39,553</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61.3%</w:t>
            </w:r>
          </w:p>
        </w:tc>
        <w:tc>
          <w:tcPr>
            <w:tcW w:w="320" w:type="dxa"/>
            <w:vAlign w:val="bottom"/>
            <w:shd w:val="clear" w:color="auto" w:fill="EEEEEE"/>
          </w:tcPr>
          <w:p>
            <w:pPr>
              <w:spacing w:after="0"/>
              <w:rPr>
                <w:sz w:val="19"/>
                <w:szCs w:val="19"/>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36,983</w:t>
            </w:r>
          </w:p>
        </w:tc>
        <w:tc>
          <w:tcPr>
            <w:tcW w:w="340" w:type="dxa"/>
            <w:vAlign w:val="bottom"/>
            <w:shd w:val="clear" w:color="auto" w:fill="EEEEEE"/>
          </w:tcPr>
          <w:p>
            <w:pPr>
              <w:spacing w:after="0"/>
              <w:rPr>
                <w:sz w:val="19"/>
                <w:szCs w:val="19"/>
                <w:color w:val="auto"/>
              </w:rPr>
            </w:pP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EEEEEE"/>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380"/>
              <w:spacing w:after="0"/>
              <w:rPr>
                <w:sz w:val="20"/>
                <w:szCs w:val="20"/>
                <w:color w:val="auto"/>
              </w:rPr>
            </w:pPr>
            <w:r>
              <w:rPr>
                <w:rFonts w:ascii="Arial" w:cs="Arial" w:eastAsia="Arial" w:hAnsi="Arial"/>
                <w:sz w:val="18"/>
                <w:szCs w:val="18"/>
                <w:color w:val="333333"/>
              </w:rPr>
              <w:t>Total</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64,557</w:t>
            </w:r>
          </w:p>
        </w:tc>
        <w:tc>
          <w:tcPr>
            <w:tcW w:w="3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333333"/>
              </w:rPr>
              <w:t>59,276</w:t>
            </w:r>
          </w:p>
        </w:tc>
        <w:tc>
          <w:tcPr>
            <w:tcW w:w="34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0</wp:posOffset>
            </wp:positionV>
            <wp:extent cx="41249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333333"/>
        </w:rPr>
        <w:t>(1) Percentages may not total to 100.0%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-130175</wp:posOffset>
            </wp:positionV>
            <wp:extent cx="4124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sets forth the geographic concentrations of our outstanding managed portfolio as of December 31, 2015 and 2014.</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3"/>
          </w:tcPr>
          <w:p>
            <w:pPr>
              <w:ind w:left="580"/>
              <w:spacing w:after="0"/>
              <w:rPr>
                <w:sz w:val="20"/>
                <w:szCs w:val="20"/>
                <w:color w:val="auto"/>
              </w:rPr>
            </w:pPr>
            <w:r>
              <w:rPr>
                <w:rFonts w:ascii="Arial" w:cs="Arial" w:eastAsia="Arial" w:hAnsi="Arial"/>
                <w:sz w:val="18"/>
                <w:szCs w:val="18"/>
                <w:b w:val="1"/>
                <w:bCs w:val="1"/>
                <w:color w:val="auto"/>
                <w:w w:val="96"/>
              </w:rPr>
              <w:t>December 31, 2015</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4"/>
          </w:tcPr>
          <w:p>
            <w:pPr>
              <w:ind w:left="58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23"/>
        </w:trPr>
        <w:tc>
          <w:tcPr>
            <w:tcW w:w="3140" w:type="dxa"/>
            <w:vAlign w:val="bottom"/>
            <w:vMerge w:val="restart"/>
          </w:tcPr>
          <w:p>
            <w:pPr>
              <w:spacing w:after="0"/>
              <w:rPr>
                <w:sz w:val="20"/>
                <w:szCs w:val="20"/>
                <w:color w:val="auto"/>
              </w:rPr>
            </w:pPr>
            <w:r>
              <w:rPr>
                <w:rFonts w:ascii="Arial" w:cs="Arial" w:eastAsia="Arial" w:hAnsi="Arial"/>
                <w:sz w:val="18"/>
                <w:szCs w:val="18"/>
                <w:b w:val="1"/>
                <w:bCs w:val="1"/>
                <w:color w:val="auto"/>
              </w:rPr>
              <w:t>State based on obligor's residence</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3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Percent (1)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20" w:type="dxa"/>
            <w:vAlign w:val="bottom"/>
            <w:gridSpan w:val="5"/>
          </w:tcPr>
          <w:p>
            <w:pPr>
              <w:ind w:left="320"/>
              <w:spacing w:after="0"/>
              <w:rPr>
                <w:sz w:val="20"/>
                <w:szCs w:val="20"/>
                <w:color w:val="auto"/>
              </w:rPr>
            </w:pPr>
            <w:r>
              <w:rPr>
                <w:rFonts w:ascii="Arial" w:cs="Arial" w:eastAsia="Arial" w:hAnsi="Arial"/>
                <w:sz w:val="18"/>
                <w:szCs w:val="18"/>
                <w:b w:val="1"/>
                <w:bCs w:val="1"/>
                <w:color w:val="auto"/>
              </w:rPr>
              <w:t>($ in millions)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California</w:t>
            </w:r>
          </w:p>
        </w:tc>
        <w:tc>
          <w:tcPr>
            <w:tcW w:w="76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201.7</w:t>
            </w: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w:t>
            </w:r>
          </w:p>
        </w:tc>
        <w:tc>
          <w:tcPr>
            <w:tcW w:w="560" w:type="dxa"/>
            <w:vAlign w:val="bottom"/>
            <w:gridSpan w:val="2"/>
            <w:shd w:val="clear" w:color="auto" w:fill="EEEEEE"/>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178.8</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Texas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182.0</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166.8</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Ohio</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w:t>
            </w: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81.8</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Georgia</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108.8</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EEEEEE"/>
          </w:tcPr>
          <w:p>
            <w:pPr>
              <w:spacing w:after="0"/>
              <w:rPr>
                <w:sz w:val="20"/>
                <w:szCs w:val="20"/>
                <w:color w:val="auto"/>
              </w:rPr>
            </w:pPr>
            <w:r>
              <w:rPr>
                <w:rFonts w:ascii="Arial" w:cs="Arial" w:eastAsia="Arial" w:hAnsi="Arial"/>
                <w:sz w:val="18"/>
                <w:szCs w:val="18"/>
                <w:color w:val="auto"/>
              </w:rPr>
              <w:t>Florida</w:t>
            </w:r>
          </w:p>
        </w:tc>
        <w:tc>
          <w:tcPr>
            <w:tcW w:w="5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98.9</w:t>
            </w:r>
          </w:p>
        </w:tc>
        <w:tc>
          <w:tcPr>
            <w:tcW w:w="3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78.3</w:t>
            </w: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All others</w:t>
            </w:r>
          </w:p>
        </w:tc>
        <w:tc>
          <w:tcPr>
            <w:tcW w:w="5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w:t>
            </w:r>
          </w:p>
        </w:tc>
        <w:tc>
          <w:tcPr>
            <w:tcW w:w="320" w:type="dxa"/>
            <w:vAlign w:val="bottom"/>
            <w:tcBorders>
              <w:bottom w:val="single" w:sz="8" w:color="EEEEEE"/>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340" w:type="dxa"/>
            <w:vAlign w:val="bottom"/>
            <w:tcBorders>
              <w:bottom w:val="single" w:sz="8" w:color="EEEEE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w:t>
            </w:r>
          </w:p>
        </w:tc>
        <w:tc>
          <w:tcPr>
            <w:tcW w:w="340" w:type="dxa"/>
            <w:vAlign w:val="bottom"/>
            <w:tcBorders>
              <w:bottom w:val="single" w:sz="8" w:color="EEEEEE"/>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40" w:type="dxa"/>
            <w:vAlign w:val="bottom"/>
            <w:tcBorders>
              <w:bottom w:val="single" w:sz="8" w:color="EEEEEE"/>
            </w:tcBorders>
            <w:shd w:val="clear" w:color="auto" w:fill="EEEEEE"/>
          </w:tcPr>
          <w:p>
            <w:pPr>
              <w:ind w:left="400"/>
              <w:spacing w:after="0"/>
              <w:rPr>
                <w:sz w:val="20"/>
                <w:szCs w:val="20"/>
                <w:color w:val="auto"/>
              </w:rPr>
            </w:pPr>
            <w:r>
              <w:rPr>
                <w:rFonts w:ascii="Arial" w:cs="Arial" w:eastAsia="Arial" w:hAnsi="Arial"/>
                <w:sz w:val="18"/>
                <w:szCs w:val="18"/>
                <w:color w:val="333333"/>
              </w:rPr>
              <w:t>Total</w:t>
            </w:r>
          </w:p>
        </w:tc>
        <w:tc>
          <w:tcPr>
            <w:tcW w:w="5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2,031.1</w:t>
            </w:r>
          </w:p>
        </w:tc>
        <w:tc>
          <w:tcPr>
            <w:tcW w:w="320" w:type="dxa"/>
            <w:vAlign w:val="bottom"/>
            <w:tcBorders>
              <w:bottom w:val="single" w:sz="8" w:color="EEEEEE"/>
            </w:tcBorders>
            <w:shd w:val="clear" w:color="auto" w:fill="EEEEEE"/>
          </w:tcPr>
          <w:p>
            <w:pPr>
              <w:spacing w:after="0"/>
              <w:rPr>
                <w:sz w:val="19"/>
                <w:szCs w:val="19"/>
                <w:color w:val="auto"/>
              </w:rPr>
            </w:pPr>
          </w:p>
        </w:tc>
        <w:tc>
          <w:tcPr>
            <w:tcW w:w="700" w:type="dxa"/>
            <w:vAlign w:val="bottom"/>
            <w:tcBorders>
              <w:bottom w:val="single" w:sz="8" w:color="auto"/>
            </w:tcBorders>
            <w:shd w:val="clear" w:color="auto" w:fill="EEEEEE"/>
          </w:tcPr>
          <w:p>
            <w:pPr>
              <w:spacing w:after="0"/>
              <w:rPr>
                <w:sz w:val="19"/>
                <w:szCs w:val="19"/>
                <w:color w:val="auto"/>
              </w:rPr>
            </w:pP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1,643.9</w:t>
            </w:r>
          </w:p>
        </w:tc>
        <w:tc>
          <w:tcPr>
            <w:tcW w:w="340" w:type="dxa"/>
            <w:vAlign w:val="bottom"/>
            <w:tcBorders>
              <w:bottom w:val="single" w:sz="8" w:color="EEEEEE"/>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11" w:lineRule="exact"/>
        <w:rPr>
          <w:sz w:val="20"/>
          <w:szCs w:val="20"/>
          <w:color w:val="auto"/>
        </w:rPr>
      </w:pPr>
    </w:p>
    <w:p>
      <w:pPr>
        <w:ind w:firstLine="130"/>
        <w:spacing w:after="0" w:line="257" w:lineRule="auto"/>
        <w:rPr>
          <w:sz w:val="20"/>
          <w:szCs w:val="20"/>
          <w:color w:val="auto"/>
        </w:rPr>
      </w:pPr>
      <w:r>
        <w:rPr>
          <w:rFonts w:ascii="Arial" w:cs="Arial" w:eastAsia="Arial" w:hAnsi="Arial"/>
          <w:sz w:val="18"/>
          <w:szCs w:val="18"/>
          <w:color w:val="auto"/>
        </w:rPr>
        <w:t>We purchase automobile contracts from dealers at a price generally computed as the total amount financed under the automobile contracts, adjusted for an acquisition fee,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our purchased contracts for the periods shown:</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92"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38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Average net acquisition fee amount</w:t>
            </w:r>
          </w:p>
        </w:tc>
        <w:tc>
          <w:tcPr>
            <w:tcW w:w="680" w:type="dxa"/>
            <w:vAlign w:val="bottom"/>
            <w:shd w:val="clear" w:color="auto" w:fill="EEEEEE"/>
          </w:tcPr>
          <w:p>
            <w:pPr>
              <w:jc w:val="right"/>
              <w:ind w:right="51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56</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418</w:t>
            </w:r>
          </w:p>
        </w:tc>
        <w:tc>
          <w:tcPr>
            <w:tcW w:w="680" w:type="dxa"/>
            <w:vAlign w:val="bottom"/>
            <w:shd w:val="clear" w:color="auto" w:fill="EEEEEE"/>
          </w:tcPr>
          <w:p>
            <w:pPr>
              <w:jc w:val="right"/>
              <w:ind w:right="517"/>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w w:val="99"/>
              </w:rPr>
              <w:t>836</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Average net acquisition fee as % of amount financed</w:t>
            </w:r>
          </w:p>
        </w:tc>
        <w:tc>
          <w:tcPr>
            <w:tcW w:w="6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annual percentage interest rate</w:t>
            </w:r>
          </w:p>
        </w:tc>
        <w:tc>
          <w:tcPr>
            <w:tcW w:w="68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6"/>
              </w:rPr>
              <w:t>19.3%</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20.1%</w:t>
            </w:r>
          </w:p>
        </w:tc>
        <w:tc>
          <w:tcPr>
            <w:tcW w:w="6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0"/>
              </w:rPr>
              <w:t>20.3%</w:t>
            </w: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130"/>
        <w:spacing w:after="0" w:line="277" w:lineRule="auto"/>
        <w:rPr>
          <w:sz w:val="20"/>
          <w:szCs w:val="20"/>
          <w:color w:val="auto"/>
        </w:rPr>
      </w:pPr>
      <w:r>
        <w:rPr>
          <w:rFonts w:ascii="Arial" w:cs="Arial" w:eastAsia="Arial" w:hAnsi="Arial"/>
          <w:sz w:val="18"/>
          <w:szCs w:val="18"/>
          <w:color w:val="auto"/>
        </w:rPr>
        <w:t>We believe that levels of acquisition fees are determined partially by competition in the marketplace, which has increased over the periods presented, and also by our pricing strategy. Our pricing strategy is driven by our objectives for new contract purchase quantities and yield.</w:t>
      </w:r>
    </w:p>
    <w:p>
      <w:pPr>
        <w:spacing w:after="0" w:line="170" w:lineRule="exact"/>
        <w:rPr>
          <w:sz w:val="20"/>
          <w:szCs w:val="20"/>
          <w:color w:val="auto"/>
        </w:rPr>
      </w:pPr>
    </w:p>
    <w:p>
      <w:pPr>
        <w:ind w:right="100" w:firstLine="130"/>
        <w:spacing w:after="0" w:line="277" w:lineRule="auto"/>
        <w:rPr>
          <w:sz w:val="20"/>
          <w:szCs w:val="20"/>
          <w:color w:val="auto"/>
        </w:rPr>
      </w:pPr>
      <w:r>
        <w:rPr>
          <w:rFonts w:ascii="Arial" w:cs="Arial" w:eastAsia="Arial" w:hAnsi="Arial"/>
          <w:sz w:val="18"/>
          <w:szCs w:val="18"/>
          <w:color w:val="auto"/>
        </w:rPr>
        <w:t>We offer eight different financing programs to our dealership customers, and price each program according to the relative credit risk. Our programs cover a wide band of the credit spectrum and are labeled as follows:</w:t>
      </w:r>
    </w:p>
    <w:p>
      <w:pPr>
        <w:spacing w:after="0" w:line="170" w:lineRule="exact"/>
        <w:rPr>
          <w:sz w:val="20"/>
          <w:szCs w:val="20"/>
          <w:color w:val="auto"/>
        </w:rPr>
      </w:pPr>
    </w:p>
    <w:p>
      <w:pPr>
        <w:ind w:left="140" w:right="200" w:firstLine="259"/>
        <w:spacing w:after="0" w:line="259" w:lineRule="auto"/>
        <w:rPr>
          <w:sz w:val="20"/>
          <w:szCs w:val="20"/>
          <w:color w:val="auto"/>
        </w:rPr>
      </w:pPr>
      <w:r>
        <w:rPr>
          <w:rFonts w:ascii="Arial" w:cs="Arial" w:eastAsia="Arial" w:hAnsi="Arial"/>
          <w:sz w:val="18"/>
          <w:szCs w:val="18"/>
          <w:u w:val="single" w:color="auto"/>
          <w:color w:val="auto"/>
        </w:rPr>
        <w:t>Bravo</w:t>
      </w:r>
      <w:r>
        <w:rPr>
          <w:rFonts w:ascii="Arial" w:cs="Arial" w:eastAsia="Arial" w:hAnsi="Arial"/>
          <w:sz w:val="18"/>
          <w:szCs w:val="18"/>
          <w:color w:val="auto"/>
        </w:rPr>
        <w:t xml:space="preserve"> - this program accommodates an applicant with significant past non-performing credit including recent derogatory credit. Advance rates are lowest of all of our programs to offset the greater risk. To offset the low up-front advance to the dealer, we agree to pay the dealer a portion of future payments we receive from the obligor, depending on loan performance. The Bravo program was introduced in November of 2015 and as of December 31, 2015, only a few such contracts have been acquired.</w:t>
      </w:r>
    </w:p>
    <w:p>
      <w:pPr>
        <w:spacing w:after="0" w:line="187" w:lineRule="exact"/>
        <w:rPr>
          <w:sz w:val="20"/>
          <w:szCs w:val="20"/>
          <w:color w:val="auto"/>
        </w:rPr>
      </w:pPr>
    </w:p>
    <w:p>
      <w:pPr>
        <w:ind w:left="140" w:right="280" w:firstLine="259"/>
        <w:spacing w:after="0" w:line="286" w:lineRule="auto"/>
        <w:rPr>
          <w:sz w:val="20"/>
          <w:szCs w:val="20"/>
          <w:color w:val="auto"/>
        </w:rPr>
      </w:pPr>
      <w:r>
        <w:rPr>
          <w:rFonts w:ascii="Arial" w:cs="Arial" w:eastAsia="Arial" w:hAnsi="Arial"/>
          <w:sz w:val="17"/>
          <w:szCs w:val="17"/>
          <w:u w:val="single" w:color="auto"/>
          <w:color w:val="auto"/>
        </w:rPr>
        <w:t>First Time Buyer</w:t>
      </w:r>
      <w:r>
        <w:rPr>
          <w:rFonts w:ascii="Arial" w:cs="Arial" w:eastAsia="Arial" w:hAnsi="Arial"/>
          <w:sz w:val="17"/>
          <w:szCs w:val="17"/>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66" w:lineRule="exact"/>
        <w:rPr>
          <w:sz w:val="20"/>
          <w:szCs w:val="20"/>
          <w:color w:val="auto"/>
        </w:rPr>
      </w:pPr>
    </w:p>
    <w:p>
      <w:pPr>
        <w:jc w:val="both"/>
        <w:ind w:left="140" w:right="480" w:firstLine="259"/>
        <w:spacing w:after="0" w:line="264" w:lineRule="auto"/>
        <w:rPr>
          <w:sz w:val="20"/>
          <w:szCs w:val="20"/>
          <w:color w:val="auto"/>
        </w:rPr>
      </w:pPr>
      <w:r>
        <w:rPr>
          <w:rFonts w:ascii="Arial" w:cs="Arial" w:eastAsia="Arial" w:hAnsi="Arial"/>
          <w:sz w:val="18"/>
          <w:szCs w:val="18"/>
          <w:u w:val="single" w:color="auto"/>
          <w:color w:val="auto"/>
        </w:rPr>
        <w:t>Mercury / Delta</w:t>
      </w:r>
      <w:r>
        <w:rPr>
          <w:rFonts w:ascii="Arial" w:cs="Arial" w:eastAsia="Arial" w:hAnsi="Arial"/>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81" w:lineRule="exact"/>
        <w:rPr>
          <w:sz w:val="20"/>
          <w:szCs w:val="20"/>
          <w:color w:val="auto"/>
        </w:rPr>
      </w:pPr>
    </w:p>
    <w:p>
      <w:pPr>
        <w:ind w:left="140" w:right="40" w:firstLine="259"/>
        <w:spacing w:after="0" w:line="264"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and loan-to-value ratio requirements are somewhat less restrictive.</w:t>
      </w:r>
    </w:p>
    <w:p>
      <w:pPr>
        <w:spacing w:after="0" w:line="181" w:lineRule="exact"/>
        <w:rPr>
          <w:sz w:val="20"/>
          <w:szCs w:val="20"/>
          <w:color w:val="auto"/>
        </w:rPr>
      </w:pPr>
    </w:p>
    <w:p>
      <w:pPr>
        <w:jc w:val="both"/>
        <w:ind w:left="140" w:right="60" w:firstLine="259"/>
        <w:spacing w:after="0" w:line="312" w:lineRule="auto"/>
        <w:rPr>
          <w:sz w:val="20"/>
          <w:szCs w:val="20"/>
          <w:color w:val="auto"/>
        </w:rPr>
      </w:pPr>
      <w:r>
        <w:rPr>
          <w:rFonts w:ascii="Arial" w:cs="Arial" w:eastAsia="Arial" w:hAnsi="Arial"/>
          <w:sz w:val="16"/>
          <w:szCs w:val="16"/>
          <w:u w:val="single" w:color="auto"/>
          <w:color w:val="auto"/>
        </w:rPr>
        <w:t>Alpha</w:t>
      </w:r>
      <w:r>
        <w:rPr>
          <w:rFonts w:ascii="Arial" w:cs="Arial" w:eastAsia="Arial" w:hAnsi="Arial"/>
          <w:sz w:val="16"/>
          <w:szCs w:val="16"/>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47" w:lineRule="exact"/>
        <w:rPr>
          <w:sz w:val="20"/>
          <w:szCs w:val="20"/>
          <w:color w:val="auto"/>
        </w:rPr>
      </w:pPr>
    </w:p>
    <w:p>
      <w:pPr>
        <w:ind w:left="140" w:right="260" w:firstLine="259"/>
        <w:spacing w:after="0" w:line="264"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such as auto or mortgage related credit, and higher incomes than the Alpha program. Contract interest rates and dealer acquisition fees are lower than the Alpha program.</w:t>
      </w:r>
    </w:p>
    <w:p>
      <w:pPr>
        <w:spacing w:after="0" w:line="181" w:lineRule="exact"/>
        <w:rPr>
          <w:sz w:val="20"/>
          <w:szCs w:val="20"/>
          <w:color w:val="auto"/>
        </w:rPr>
      </w:pPr>
    </w:p>
    <w:p>
      <w:pPr>
        <w:ind w:left="140" w:right="340" w:firstLine="259"/>
        <w:spacing w:after="0" w:line="264" w:lineRule="auto"/>
        <w:rPr>
          <w:sz w:val="20"/>
          <w:szCs w:val="20"/>
          <w:color w:val="auto"/>
        </w:rPr>
      </w:pPr>
      <w:r>
        <w:rPr>
          <w:rFonts w:ascii="Arial" w:cs="Arial" w:eastAsia="Arial" w:hAnsi="Arial"/>
          <w:sz w:val="18"/>
          <w:szCs w:val="18"/>
          <w:u w:val="single" w:color="auto"/>
          <w:color w:val="auto"/>
        </w:rPr>
        <w:t>Super Alpha</w:t>
      </w:r>
      <w:r>
        <w:rPr>
          <w:rFonts w:ascii="Arial" w:cs="Arial" w:eastAsia="Arial" w:hAnsi="Arial"/>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81" w:lineRule="exact"/>
        <w:rPr>
          <w:sz w:val="20"/>
          <w:szCs w:val="20"/>
          <w:color w:val="auto"/>
        </w:rPr>
      </w:pPr>
    </w:p>
    <w:p>
      <w:pPr>
        <w:ind w:left="140" w:right="180" w:firstLine="259"/>
        <w:spacing w:after="0" w:line="264" w:lineRule="auto"/>
        <w:rPr>
          <w:sz w:val="20"/>
          <w:szCs w:val="20"/>
          <w:color w:val="auto"/>
        </w:rPr>
      </w:pP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 This program accommodates applicants with past non-performing credit, but who demonstrate a somewhat stronger history of recent performing credit than the Super Alpha program. Contract interest rates and dealer acquisition fees are lower, and the maximum loan amount is somewhat higher than the Super Alpha program.</w:t>
      </w:r>
    </w:p>
    <w:p>
      <w:pPr>
        <w:spacing w:after="0" w:line="181" w:lineRule="exact"/>
        <w:rPr>
          <w:sz w:val="20"/>
          <w:szCs w:val="20"/>
          <w:color w:val="auto"/>
        </w:rPr>
      </w:pPr>
    </w:p>
    <w:p>
      <w:pPr>
        <w:ind w:right="600" w:firstLine="130"/>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77% of our new contract originations in 2015, 74% in 2014 and 74% in 2013, measured by aggregate amount financed.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ind w:right="260" w:firstLine="130"/>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purchased automobile contracts during the years ended December 31, 2015, 2014, and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4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w w:val="90"/>
              </w:rPr>
              <w:t>Contracts Purchased During the Year Ended (1)</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3"/>
          </w:tcPr>
          <w:p>
            <w:pPr>
              <w:ind w:left="480"/>
              <w:spacing w:after="0"/>
              <w:rPr>
                <w:sz w:val="20"/>
                <w:szCs w:val="20"/>
                <w:color w:val="auto"/>
              </w:rPr>
            </w:pPr>
            <w:r>
              <w:rPr>
                <w:rFonts w:ascii="Arial" w:cs="Arial" w:eastAsia="Arial" w:hAnsi="Arial"/>
                <w:sz w:val="18"/>
                <w:szCs w:val="18"/>
                <w:b w:val="1"/>
                <w:bCs w:val="1"/>
                <w:color w:val="auto"/>
                <w:w w:val="92"/>
              </w:rPr>
              <w:t>December 31, 2015</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Pr>
          <w:p>
            <w:pPr>
              <w:spacing w:after="0"/>
              <w:rPr>
                <w:sz w:val="20"/>
                <w:szCs w:val="20"/>
                <w:color w:val="auto"/>
              </w:rPr>
            </w:pPr>
          </w:p>
        </w:tc>
        <w:tc>
          <w:tcPr>
            <w:tcW w:w="2560" w:type="dxa"/>
            <w:vAlign w:val="bottom"/>
            <w:gridSpan w:val="4"/>
          </w:tcPr>
          <w:p>
            <w:pPr>
              <w:ind w:left="380"/>
              <w:spacing w:after="0"/>
              <w:rPr>
                <w:sz w:val="20"/>
                <w:szCs w:val="20"/>
                <w:color w:val="auto"/>
              </w:rPr>
            </w:pPr>
            <w:r>
              <w:rPr>
                <w:rFonts w:ascii="Arial" w:cs="Arial" w:eastAsia="Arial" w:hAnsi="Arial"/>
                <w:sz w:val="18"/>
                <w:szCs w:val="18"/>
                <w:b w:val="1"/>
                <w:bCs w:val="1"/>
                <w:color w:val="auto"/>
              </w:rPr>
              <w:t>December 31, 2013</w:t>
            </w:r>
          </w:p>
        </w:tc>
      </w:tr>
      <w:tr>
        <w:trPr>
          <w:trHeight w:val="191"/>
        </w:trPr>
        <w:tc>
          <w:tcPr>
            <w:tcW w:w="26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4"/>
          </w:tcPr>
          <w:p>
            <w:pPr>
              <w:jc w:val="center"/>
              <w:ind w:right="52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Amount</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Amount</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Financed</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Percent (1)</w:t>
            </w:r>
          </w:p>
        </w:tc>
        <w:tc>
          <w:tcPr>
            <w:tcW w:w="20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Financed</w:t>
            </w: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 (1)</w:t>
            </w:r>
          </w:p>
        </w:tc>
        <w:tc>
          <w:tcPr>
            <w:tcW w:w="24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Financed</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 (1)</w:t>
            </w:r>
          </w:p>
        </w:tc>
      </w:tr>
      <w:tr>
        <w:trPr>
          <w:trHeight w:val="210"/>
        </w:trPr>
        <w:tc>
          <w:tcPr>
            <w:tcW w:w="2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Preferred</w:t>
            </w: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44,881</w:t>
            </w:r>
          </w:p>
        </w:tc>
        <w:tc>
          <w:tcPr>
            <w:tcW w:w="24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40,534</w:t>
            </w:r>
          </w:p>
        </w:tc>
        <w:tc>
          <w:tcPr>
            <w:tcW w:w="2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25,135</w:t>
            </w:r>
          </w:p>
        </w:tc>
        <w:tc>
          <w:tcPr>
            <w:tcW w:w="20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Super Alpha</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119,705</w:t>
            </w:r>
          </w:p>
        </w:tc>
        <w:tc>
          <w:tcPr>
            <w:tcW w:w="6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127,994</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116,551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Alpha Plus</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169,470</w:t>
            </w:r>
          </w:p>
        </w:tc>
        <w:tc>
          <w:tcPr>
            <w:tcW w:w="6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137,337</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101,907</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Alpha</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483,050</w:t>
            </w:r>
          </w:p>
        </w:tc>
        <w:tc>
          <w:tcPr>
            <w:tcW w:w="6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395,858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320,558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Standard</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111,956</w:t>
            </w:r>
          </w:p>
        </w:tc>
        <w:tc>
          <w:tcPr>
            <w:tcW w:w="6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90,412</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9.6%</w:t>
            </w:r>
          </w:p>
        </w:tc>
        <w:tc>
          <w:tcPr>
            <w:tcW w:w="2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78,320</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Mercury / Delta</w:t>
            </w:r>
          </w:p>
        </w:tc>
        <w:tc>
          <w:tcPr>
            <w:tcW w:w="1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91,101</w:t>
            </w:r>
          </w:p>
        </w:tc>
        <w:tc>
          <w:tcPr>
            <w:tcW w:w="6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89,075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66,656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2640" w:type="dxa"/>
            <w:vAlign w:val="bottom"/>
            <w:shd w:val="clear" w:color="auto" w:fill="EEEEEE"/>
          </w:tcPr>
          <w:p>
            <w:pPr>
              <w:spacing w:after="0"/>
              <w:rPr>
                <w:sz w:val="20"/>
                <w:szCs w:val="20"/>
                <w:color w:val="auto"/>
              </w:rPr>
            </w:pPr>
            <w:r>
              <w:rPr>
                <w:rFonts w:ascii="Arial" w:cs="Arial" w:eastAsia="Arial" w:hAnsi="Arial"/>
                <w:sz w:val="18"/>
                <w:szCs w:val="18"/>
                <w:color w:val="auto"/>
              </w:rPr>
              <w:t>First Time Buyer</w:t>
            </w:r>
          </w:p>
        </w:tc>
        <w:tc>
          <w:tcPr>
            <w:tcW w:w="18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40,335</w:t>
            </w:r>
          </w:p>
        </w:tc>
        <w:tc>
          <w:tcPr>
            <w:tcW w:w="66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63,734</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54,960</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Bravo</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6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1,060,538</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660" w:type="dxa"/>
            <w:vAlign w:val="bottom"/>
            <w:tcBorders>
              <w:top w:val="single" w:sz="8" w:color="auto"/>
              <w:bottom w:val="single" w:sz="8" w:color="auto"/>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100.0%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944,944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764,087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25" w:lineRule="exact"/>
        <w:rPr>
          <w:sz w:val="20"/>
          <w:szCs w:val="20"/>
          <w:color w:val="auto"/>
        </w:rPr>
      </w:pPr>
    </w:p>
    <w:p>
      <w:pPr>
        <w:ind w:right="60" w:firstLine="130"/>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purchase, by establishing and maintaining professional business relationships with dealers, and by including certain representations and warranties by the dealer in the dealer agreement. Pursuant to the dealer agreement, we may require the dealer to repurchase any automobile contract in the event that the dealer breaches its representations or warranties. There can be no assurance, however, that any dealer will have the willingness or the financial resources to satisfy its repurchase obligations to us.</w:t>
      </w:r>
    </w:p>
    <w:p>
      <w:pPr>
        <w:spacing w:after="0" w:line="188" w:lineRule="exact"/>
        <w:rPr>
          <w:sz w:val="20"/>
          <w:szCs w:val="20"/>
          <w:color w:val="auto"/>
        </w:rPr>
      </w:pPr>
    </w:p>
    <w:p>
      <w:pPr>
        <w:ind w:right="60" w:firstLine="130"/>
        <w:spacing w:after="0" w:line="255" w:lineRule="auto"/>
        <w:rPr>
          <w:sz w:val="20"/>
          <w:szCs w:val="20"/>
          <w:color w:val="auto"/>
        </w:rPr>
      </w:pPr>
      <w:r>
        <w:rPr>
          <w:rFonts w:ascii="Arial" w:cs="Arial" w:eastAsia="Arial" w:hAnsi="Arial"/>
          <w:sz w:val="18"/>
          <w:szCs w:val="18"/>
          <w:color w:val="auto"/>
        </w:rPr>
        <w:t>In addition to our purchases of installment contracts from dealers, we purchased from 2006 through 2008 an immaterial number of vehicle purchase money loans, evidenced by promissory notes and security agreements. A non-affiliated lender originated all such loans directly to vehicle purchasers, and sold the loans to us. We began financing vehicle purchases by lending money directly to consumers in January 2008, on terms similar to those that we offered through dealers, though without a down payment requirement and with more restrictive loan-to-value and credit score requirements. In October 2008 we suspended purchases of loans from other lenders and direct lending to consumers. In April of 2015, we re-established our platform for direct lending to consumers and originated $1.5 million of such loans during 2015.</w:t>
      </w:r>
    </w:p>
    <w:p>
      <w:pPr>
        <w:spacing w:after="0" w:line="193" w:lineRule="exact"/>
        <w:rPr>
          <w:sz w:val="20"/>
          <w:szCs w:val="20"/>
          <w:color w:val="auto"/>
        </w:rPr>
      </w:pPr>
    </w:p>
    <w:p>
      <w:pPr>
        <w:ind w:right="120" w:firstLine="130"/>
        <w:spacing w:after="0" w:line="277" w:lineRule="auto"/>
        <w:rPr>
          <w:sz w:val="20"/>
          <w:szCs w:val="20"/>
          <w:color w:val="auto"/>
        </w:rPr>
      </w:pPr>
      <w:r>
        <w:rPr>
          <w:rFonts w:ascii="Arial" w:cs="Arial" w:eastAsia="Arial" w:hAnsi="Arial"/>
          <w:sz w:val="18"/>
          <w:szCs w:val="18"/>
          <w:color w:val="auto"/>
        </w:rPr>
        <w:t>In 2012, we initiated a program to make direct loans secured by automobiles to consumers who own their vehicles. As of December 31, 2015 our managed portfolio includes $1.6 million of such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ind w:right="20" w:firstLine="130"/>
        <w:spacing w:after="0" w:line="276" w:lineRule="auto"/>
        <w:rPr>
          <w:sz w:val="20"/>
          <w:szCs w:val="20"/>
          <w:color w:val="auto"/>
        </w:rPr>
      </w:pPr>
      <w:r>
        <w:rPr>
          <w:rFonts w:ascii="Arial" w:cs="Arial" w:eastAsia="Arial" w:hAnsi="Arial"/>
          <w:sz w:val="17"/>
          <w:szCs w:val="17"/>
          <w:color w:val="auto"/>
        </w:rPr>
        <w:t>To be eligible for purchase, we require that the automobile contract be originated by a dealer that has entered into a dealer agreement with us. The automobile contract must be secured by a first priority lien on a new or used automobile, light truck or passenger van and must meet our underwriting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73" w:lineRule="exact"/>
        <w:rPr>
          <w:sz w:val="20"/>
          <w:szCs w:val="20"/>
          <w:color w:val="auto"/>
        </w:rPr>
      </w:pPr>
    </w:p>
    <w:p>
      <w:pPr>
        <w:ind w:right="20" w:firstLine="130"/>
        <w:spacing w:after="0" w:line="268" w:lineRule="auto"/>
        <w:rPr>
          <w:sz w:val="20"/>
          <w:szCs w:val="20"/>
          <w:color w:val="auto"/>
        </w:rPr>
      </w:pPr>
      <w:r>
        <w:rPr>
          <w:rFonts w:ascii="Arial" w:cs="Arial" w:eastAsia="Arial" w:hAnsi="Arial"/>
          <w:sz w:val="17"/>
          <w:szCs w:val="17"/>
          <w:color w:val="auto"/>
        </w:rPr>
        <w:t>We believe that our underwriting criteria enable us to evaluate effectively the creditworthiness of sub-prime customers and the adequacy of the financed vehicle as security for an automobile contract. The underwriting criteria include standards for price, term, amount of down payment, installment payment and interest rate; mileage, age and type of vehicle; principal amount of the automobile contract in relation to the value of the vehicle; customer income level, employment and residence stability, credit history and debt service ability, as well as other factors. Specifically, our underwriting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policy to supplement the customer’s casualty policy in the event of a total loss of the related vehicle. We generally do not finance vehicles that are more than 11 model years old or have in excess of 150,000 miles. The maximum term of a purchased contract is 72 months, although we consider the loan to value and mileage as significant factors in determining the maximum term of a contract. Automobile contract purchase criteria are subject to change from time to time as circumstances may warrant. Prior to purchasing an automobile contract, our underwriters verify the customer's employment, income, residency, insurance coverage,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 ended questions about his application and the contract, which may uncover potential misrepresentations.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ind w:firstLine="130"/>
        <w:spacing w:after="0" w:line="254" w:lineRule="auto"/>
        <w:rPr>
          <w:sz w:val="20"/>
          <w:szCs w:val="20"/>
          <w:color w:val="auto"/>
        </w:rPr>
      </w:pPr>
      <w:r>
        <w:rPr>
          <w:rFonts w:ascii="Arial" w:cs="Arial" w:eastAsia="Arial" w:hAnsi="Arial"/>
          <w:sz w:val="18"/>
          <w:szCs w:val="18"/>
          <w:i w:val="1"/>
          <w:iCs w:val="1"/>
          <w:color w:val="auto"/>
        </w:rPr>
        <w:t>Credit Scoring</w:t>
      </w:r>
      <w:r>
        <w:rPr>
          <w:rFonts w:ascii="Arial" w:cs="Arial" w:eastAsia="Arial" w:hAnsi="Arial"/>
          <w:sz w:val="18"/>
          <w:szCs w:val="18"/>
          <w:color w:val="auto"/>
        </w:rPr>
        <w:t>. We use proprietary scoring models to assign each automobile contract several "credit scores" at the time the application is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dealer and the customer's credit information is retrieved from the credit reporting agencies. These proprietary scores are used to help determine whether or not we want to approve the application and, if so, the program and pricing we will offer to the dealer. The credit scores are based on a variety of parameters including the customer's credit history, residence stability and total income. Once a vehicle is selected by the customer and a proposed deal structure is provided to us by the dealer, our scores will then consider various deal structure parameters such as down payment amount and the make and mileage of the vehicle. We have developed the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192" w:lineRule="exact"/>
        <w:rPr>
          <w:sz w:val="20"/>
          <w:szCs w:val="20"/>
          <w:color w:val="auto"/>
        </w:rPr>
      </w:pPr>
    </w:p>
    <w:p>
      <w:pPr>
        <w:ind w:right="80" w:firstLine="130"/>
        <w:spacing w:after="0" w:line="255"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of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average original principal amount financed under the CPS programs in 2015 was $16,447, with an average original term of 65 months and an average down payment amount of 11.3%. Based on information contained in customer applications for this 12-month period, the retail purchase price of the related automobiles averaged $16,377 (which excludes tax, license fees and any additional costs such as a service contract) and the average age of the vehicle at the time the automobile contract was purchased was five years. The average age of our customers is approximately 43, with approximately $54,000 in average annual household income and an average of six years tenure with his or her current employer.</w:t>
      </w:r>
    </w:p>
    <w:p>
      <w:pPr>
        <w:spacing w:after="0" w:line="189" w:lineRule="exact"/>
        <w:rPr>
          <w:sz w:val="20"/>
          <w:szCs w:val="20"/>
          <w:color w:val="auto"/>
        </w:rPr>
      </w:pPr>
    </w:p>
    <w:p>
      <w:pPr>
        <w:ind w:right="60" w:firstLine="130"/>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in an attempt to rectify the situation. If these efforts are unsuccessful, we generally will require the dealer to repurchase the automobile contract.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and Collection</w:t>
      </w:r>
    </w:p>
    <w:p>
      <w:pPr>
        <w:spacing w:after="0" w:line="225" w:lineRule="exact"/>
        <w:rPr>
          <w:sz w:val="20"/>
          <w:szCs w:val="20"/>
          <w:color w:val="auto"/>
        </w:rPr>
      </w:pPr>
    </w:p>
    <w:p>
      <w:pPr>
        <w:ind w:right="20" w:firstLine="130"/>
        <w:spacing w:after="0" w:line="271" w:lineRule="auto"/>
        <w:rPr>
          <w:sz w:val="20"/>
          <w:szCs w:val="20"/>
          <w:color w:val="auto"/>
        </w:rPr>
      </w:pPr>
      <w:r>
        <w:rPr>
          <w:rFonts w:ascii="Arial" w:cs="Arial" w:eastAsia="Arial" w:hAnsi="Arial"/>
          <w:sz w:val="17"/>
          <w:szCs w:val="17"/>
          <w:color w:val="auto"/>
        </w:rPr>
        <w:t>We currently service all automobile contracts that we own as well as those automobile contracts that are included in portfolios that we have sold in securitizations or service for third parties. We organize our servicing activities based on the tasks performed by our personnel. Our servicing activities consist of mailing monthly billing statements; collecting, accounting for and posting of all payments received; responding to customer inquiries; taking all necessary action to maintain the security interest granted in the financed vehicle or other collateral; investigating delinquencies; communicating with the customer to obtain timely payments; repossessing and liquidating the collateral when necessary; collecting deficiency balances; and generally monitoring each automobile contract and the related collateral. We are typically entitled to receive a base monthly servicing fee equal to 2.5% per annum computed as a percentage of the declining outstanding principal balance of the non-charged-off automobile contracts in the securitization pools</w:t>
      </w:r>
      <w:r>
        <w:rPr>
          <w:rFonts w:ascii="Arial" w:cs="Arial" w:eastAsia="Arial" w:hAnsi="Arial"/>
          <w:sz w:val="17"/>
          <w:szCs w:val="17"/>
          <w:b w:val="1"/>
          <w:bCs w:val="1"/>
          <w:color w:val="auto"/>
        </w:rPr>
        <w:t>.</w:t>
      </w:r>
      <w:r>
        <w:rPr>
          <w:rFonts w:ascii="Arial" w:cs="Arial" w:eastAsia="Arial" w:hAnsi="Arial"/>
          <w:sz w:val="17"/>
          <w:szCs w:val="17"/>
          <w:color w:val="auto"/>
        </w:rPr>
        <w:t xml:space="preserve"> The servicing fee is included in interest income for those securitization transactions that are treated as financings.</w:t>
      </w:r>
    </w:p>
    <w:p>
      <w:pPr>
        <w:spacing w:after="0" w:line="179" w:lineRule="exact"/>
        <w:rPr>
          <w:sz w:val="20"/>
          <w:szCs w:val="20"/>
          <w:color w:val="auto"/>
        </w:rPr>
      </w:pPr>
    </w:p>
    <w:p>
      <w:pPr>
        <w:ind w:right="100" w:firstLine="130"/>
        <w:spacing w:after="0" w:line="291" w:lineRule="auto"/>
        <w:rPr>
          <w:sz w:val="20"/>
          <w:szCs w:val="20"/>
          <w:color w:val="auto"/>
        </w:rPr>
      </w:pPr>
      <w:r>
        <w:rPr>
          <w:rFonts w:ascii="Arial" w:cs="Arial" w:eastAsia="Arial" w:hAnsi="Arial"/>
          <w:sz w:val="16"/>
          <w:szCs w:val="16"/>
          <w:i w:val="1"/>
          <w:iCs w:val="1"/>
          <w:color w:val="auto"/>
        </w:rPr>
        <w:t xml:space="preserve">Collection Procedures. </w:t>
      </w:r>
      <w:r>
        <w:rPr>
          <w:rFonts w:ascii="Arial" w:cs="Arial" w:eastAsia="Arial" w:hAnsi="Arial"/>
          <w:sz w:val="16"/>
          <w:szCs w:val="16"/>
          <w:color w:val="auto"/>
        </w:rPr>
        <w:t>We believe that our ability to monitor performance and collect payments owed from sub-prime customers is primarily a function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 and similar consumer obligations.</w:t>
      </w:r>
    </w:p>
    <w:p>
      <w:pPr>
        <w:spacing w:after="0" w:line="167" w:lineRule="exact"/>
        <w:rPr>
          <w:sz w:val="20"/>
          <w:szCs w:val="20"/>
          <w:color w:val="auto"/>
        </w:rPr>
      </w:pPr>
    </w:p>
    <w:p>
      <w:pPr>
        <w:ind w:right="20" w:firstLine="130"/>
        <w:spacing w:after="0" w:line="271" w:lineRule="auto"/>
        <w:rPr>
          <w:sz w:val="20"/>
          <w:szCs w:val="20"/>
          <w:color w:val="auto"/>
        </w:rPr>
      </w:pPr>
      <w:r>
        <w:rPr>
          <w:rFonts w:ascii="Arial" w:cs="Arial" w:eastAsia="Arial" w:hAnsi="Arial"/>
          <w:sz w:val="17"/>
          <w:szCs w:val="17"/>
          <w:color w:val="auto"/>
        </w:rPr>
        <w:t>We attempt to make telephonic contact with delinquent customers from one to 15 days after their monthly payment due date, depending on our proprietary behavioral scorecards which assess the customer’s likelihood of payment during early stages of delinquency. Our contact priorities may be based on the customers' physical location, stage of delinquency, size of balance or other parameters. Our collectors inquire of the customer the reason for the delinquency and when we can expect to receive the payment. The collector will attempt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the queue for subsequent contacts.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ind w:right="20" w:firstLine="130"/>
        <w:spacing w:after="0" w:line="297" w:lineRule="auto"/>
        <w:rPr>
          <w:sz w:val="20"/>
          <w:szCs w:val="20"/>
          <w:color w:val="auto"/>
        </w:rPr>
      </w:pPr>
      <w:r>
        <w:rPr>
          <w:rFonts w:ascii="Arial" w:cs="Arial" w:eastAsia="Arial" w:hAnsi="Arial"/>
          <w:sz w:val="16"/>
          <w:szCs w:val="16"/>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At the time the vehicle is repossessed we will stop accruing interest on this automobile contract, and reclassify the remaining automobile contract balance to other assets. In addition we will apply a specific reserve to this automobile contract so that the net balance represents the estimated fair value less costs to sell.</w:t>
      </w:r>
    </w:p>
    <w:p>
      <w:pPr>
        <w:spacing w:after="0" w:line="158" w:lineRule="exact"/>
        <w:rPr>
          <w:sz w:val="20"/>
          <w:szCs w:val="20"/>
          <w:color w:val="auto"/>
        </w:rPr>
      </w:pPr>
    </w:p>
    <w:p>
      <w:pPr>
        <w:ind w:right="20" w:firstLine="130"/>
        <w:spacing w:after="0" w:line="293" w:lineRule="auto"/>
        <w:rPr>
          <w:sz w:val="20"/>
          <w:szCs w:val="20"/>
          <w:color w:val="auto"/>
        </w:rPr>
      </w:pPr>
      <w:r>
        <w:rPr>
          <w:rFonts w:ascii="Arial" w:cs="Arial" w:eastAsia="Arial" w:hAnsi="Arial"/>
          <w:sz w:val="16"/>
          <w:szCs w:val="16"/>
          <w:color w:val="auto"/>
        </w:rPr>
        <w:t>If we elect to repossess the vehicle, we assign the task to an independent local repossession service. Such services are licensed and/or bonded as required by law. When the vehicle is recovered, the repossession service delivers it to a wholesale automobile auction, where it is kept until sold.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 From time to time, we sell certain charged off accounts to unaffiliated purchasers who specialize in collecting such accounts.</w:t>
      </w:r>
    </w:p>
    <w:p>
      <w:pPr>
        <w:spacing w:after="0" w:line="165" w:lineRule="exact"/>
        <w:rPr>
          <w:sz w:val="20"/>
          <w:szCs w:val="20"/>
          <w:color w:val="auto"/>
        </w:rPr>
      </w:pPr>
    </w:p>
    <w:p>
      <w:pPr>
        <w:ind w:right="180" w:firstLine="130"/>
        <w:spacing w:after="0" w:line="264" w:lineRule="auto"/>
        <w:rPr>
          <w:sz w:val="20"/>
          <w:szCs w:val="20"/>
          <w:color w:val="auto"/>
        </w:rPr>
      </w:pPr>
      <w:r>
        <w:rPr>
          <w:rFonts w:ascii="Arial" w:cs="Arial" w:eastAsia="Arial" w:hAnsi="Arial"/>
          <w:sz w:val="18"/>
          <w:szCs w:val="18"/>
          <w:color w:val="auto"/>
        </w:rPr>
        <w:t>Once an automobile contract becomes greater than 90 days delinquent, we do not recognize additional interest income until the borrower makes sufficient payments to be less than 90 days delinquent. Any payments received by a borrower that are greater than 90 days delinquent are first applied to accrued interest and then to principal reduction.</w:t>
      </w:r>
    </w:p>
    <w:p>
      <w:pPr>
        <w:spacing w:after="0" w:line="181" w:lineRule="exact"/>
        <w:rPr>
          <w:sz w:val="20"/>
          <w:szCs w:val="20"/>
          <w:color w:val="auto"/>
        </w:rPr>
      </w:pPr>
    </w:p>
    <w:p>
      <w:pPr>
        <w:ind w:firstLine="130"/>
        <w:spacing w:after="0" w:line="279" w:lineRule="auto"/>
        <w:rPr>
          <w:sz w:val="20"/>
          <w:szCs w:val="20"/>
          <w:color w:val="auto"/>
        </w:rPr>
      </w:pPr>
      <w:r>
        <w:rPr>
          <w:rFonts w:ascii="Arial" w:cs="Arial" w:eastAsia="Arial" w:hAnsi="Arial"/>
          <w:sz w:val="17"/>
          <w:szCs w:val="17"/>
          <w:color w:val="auto"/>
        </w:rPr>
        <w:t>We generally charge off the balance of any contract by the earlier of the end of the month in which the automobile contract becomes five scheduled installments past due or, in the case of repossessions, the month that after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ind w:firstLine="130"/>
        <w:spacing w:after="0" w:line="288" w:lineRule="auto"/>
        <w:rPr>
          <w:sz w:val="20"/>
          <w:szCs w:val="20"/>
          <w:color w:val="auto"/>
        </w:rPr>
      </w:pPr>
      <w:r>
        <w:rPr>
          <w:rFonts w:ascii="Arial" w:cs="Arial" w:eastAsia="Arial" w:hAnsi="Arial"/>
          <w:sz w:val="16"/>
          <w:szCs w:val="16"/>
          <w:color w:val="auto"/>
        </w:rPr>
        <w:t>Our primary method of monitoring ongoing credit quality of our portfolio is to closely review monthly delinquency, default and net charge off activity and the related trends.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weighted average seasoning of our total owned portfolio, represented in the tables below, was 16 months, 14 months and 14 months as of December 31, 2015, December 31, 2014, and December 31, 2013, respectively. 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became subject to a consent decree that required that we implement procedural changes in our servicing practices, which changes may have contributed to somewhat higher delinquencies, extensions and net losses compared to prior periods. The tables below document the delinquency, repossession and net credit loss experience of all such automobile contracts that we were servicing as of the respective dates shown. The tables do not include the experience of third party servicing portfolios.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560" w:type="dxa"/>
            <w:vAlign w:val="bottom"/>
            <w:gridSpan w:val="12"/>
          </w:tcPr>
          <w:p>
            <w:pPr>
              <w:jc w:val="center"/>
              <w:ind w:right="480"/>
              <w:spacing w:after="0"/>
              <w:rPr>
                <w:sz w:val="20"/>
                <w:szCs w:val="20"/>
                <w:color w:val="auto"/>
              </w:rPr>
            </w:pPr>
            <w:r>
              <w:rPr>
                <w:rFonts w:ascii="Arial" w:cs="Arial" w:eastAsia="Arial" w:hAnsi="Arial"/>
                <w:sz w:val="18"/>
                <w:szCs w:val="18"/>
                <w:b w:val="1"/>
                <w:bCs w:val="1"/>
                <w:color w:val="auto"/>
                <w:w w:val="87"/>
              </w:rPr>
              <w:t>Delinquency, Repossession and Extension Experience</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160" w:type="dxa"/>
            <w:vAlign w:val="bottom"/>
            <w:gridSpan w:val="8"/>
          </w:tcPr>
          <w:p>
            <w:pPr>
              <w:jc w:val="center"/>
              <w:ind w:left="810"/>
              <w:spacing w:after="0"/>
              <w:rPr>
                <w:sz w:val="20"/>
                <w:szCs w:val="20"/>
                <w:color w:val="auto"/>
              </w:rPr>
            </w:pPr>
            <w:r>
              <w:rPr>
                <w:rFonts w:ascii="Arial" w:cs="Arial" w:eastAsia="Arial" w:hAnsi="Arial"/>
                <w:sz w:val="18"/>
                <w:szCs w:val="18"/>
                <w:b w:val="1"/>
                <w:bCs w:val="1"/>
                <w:color w:val="auto"/>
                <w:w w:val="89"/>
              </w:rPr>
              <w:t>Delinquency and Extension Experience (1)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4"/>
          </w:tcPr>
          <w:p>
            <w:pPr>
              <w:jc w:val="center"/>
              <w:ind w:right="640"/>
              <w:spacing w:after="0"/>
              <w:rPr>
                <w:sz w:val="20"/>
                <w:szCs w:val="20"/>
                <w:color w:val="auto"/>
              </w:rPr>
            </w:pPr>
            <w:r>
              <w:rPr>
                <w:rFonts w:ascii="Arial" w:cs="Arial" w:eastAsia="Arial" w:hAnsi="Arial"/>
                <w:sz w:val="18"/>
                <w:szCs w:val="18"/>
                <w:b w:val="1"/>
                <w:bCs w:val="1"/>
                <w:color w:val="auto"/>
                <w:w w:val="91"/>
              </w:rPr>
              <w:t>Total Owned Portfolio</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7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 2015</w:t>
            </w:r>
          </w:p>
        </w:tc>
        <w:tc>
          <w:tcPr>
            <w:tcW w:w="27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December 31, 2014</w:t>
            </w:r>
          </w:p>
        </w:tc>
        <w:tc>
          <w:tcPr>
            <w:tcW w:w="26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Number of</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Number of</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Contracts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9"/>
              </w:rPr>
              <w:t>Amount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Contracts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(Dollars in thousands)</w:t>
            </w: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149,138</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2,031,099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123,944</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1,643,471</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99,099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31-60 days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70,041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3,684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43,085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3,018</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color w:val="auto"/>
              </w:rPr>
              <w:t>61-90 days</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3,140</w:t>
            </w: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41,142</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1,866</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23,407</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2,149</w:t>
            </w:r>
          </w:p>
        </w:tc>
        <w:tc>
          <w:tcPr>
            <w:tcW w:w="1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91+ days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43,484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23,301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11,879</w:t>
            </w:r>
          </w:p>
        </w:tc>
        <w:tc>
          <w:tcPr>
            <w:tcW w:w="2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154,667</w:t>
            </w:r>
          </w:p>
        </w:tc>
        <w:tc>
          <w:tcPr>
            <w:tcW w:w="2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7,485</w:t>
            </w:r>
          </w:p>
        </w:tc>
        <w:tc>
          <w:tcPr>
            <w:tcW w:w="2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89,793</w:t>
            </w:r>
          </w:p>
        </w:tc>
        <w:tc>
          <w:tcPr>
            <w:tcW w:w="260" w:type="dxa"/>
            <w:vAlign w:val="bottom"/>
            <w:tcBorders>
              <w:top w:val="single" w:sz="8" w:color="EEEEEE"/>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6,437</w:t>
            </w:r>
          </w:p>
        </w:tc>
        <w:tc>
          <w:tcPr>
            <w:tcW w:w="2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59,226</w:t>
            </w:r>
          </w:p>
        </w:tc>
        <w:tc>
          <w:tcPr>
            <w:tcW w:w="16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38,939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2,665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28,250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2,991</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6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12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12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120" w:type="dxa"/>
            <w:vAlign w:val="bottom"/>
            <w:tcBorders>
              <w:top w:val="single" w:sz="8" w:color="auto"/>
            </w:tcBorders>
            <w:shd w:val="clear" w:color="auto" w:fill="EEEEEE"/>
          </w:tcPr>
          <w:p>
            <w:pPr>
              <w:spacing w:after="0"/>
              <w:rPr>
                <w:sz w:val="15"/>
                <w:szCs w:val="15"/>
                <w:color w:val="auto"/>
              </w:rPr>
            </w:pPr>
          </w:p>
        </w:tc>
        <w:tc>
          <w:tcPr>
            <w:tcW w:w="28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160" w:type="dxa"/>
            <w:vAlign w:val="bottom"/>
            <w:tcBorders>
              <w:top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shd w:val="clear" w:color="auto" w:fill="EEEEEE"/>
          </w:tcPr>
          <w:p>
            <w:pPr>
              <w:ind w:left="80"/>
              <w:spacing w:after="0"/>
              <w:rPr>
                <w:sz w:val="20"/>
                <w:szCs w:val="20"/>
                <w:color w:val="auto"/>
              </w:rPr>
            </w:pPr>
            <w:r>
              <w:rPr>
                <w:rFonts w:ascii="Arial" w:cs="Arial" w:eastAsia="Arial" w:hAnsi="Arial"/>
                <w:sz w:val="18"/>
                <w:szCs w:val="18"/>
                <w:color w:val="auto"/>
              </w:rPr>
              <w:t>repossession (2)</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15,017</w:t>
            </w:r>
          </w:p>
        </w:tc>
        <w:tc>
          <w:tcPr>
            <w:tcW w:w="2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193,606</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10,150</w:t>
            </w:r>
          </w:p>
        </w:tc>
        <w:tc>
          <w:tcPr>
            <w:tcW w:w="18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118,043</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9,428</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84,356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EEEEEE"/>
              <w:bottom w:val="single" w:sz="8" w:color="EEEEEE"/>
            </w:tcBorders>
            <w:vMerge w:val="restart"/>
          </w:tcPr>
          <w:p>
            <w:pPr>
              <w:spacing w:after="0" w:line="195" w:lineRule="exact"/>
              <w:rPr>
                <w:sz w:val="20"/>
                <w:szCs w:val="20"/>
                <w:color w:val="auto"/>
              </w:rPr>
            </w:pPr>
            <w:r>
              <w:rPr>
                <w:rFonts w:ascii="Arial" w:cs="Arial" w:eastAsia="Arial" w:hAnsi="Arial"/>
                <w:sz w:val="18"/>
                <w:szCs w:val="18"/>
                <w:color w:val="auto"/>
                <w:w w:val="99"/>
              </w:rPr>
              <w:t>Delinquencies as a percentage of gross</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Pr>
          <w:p>
            <w:pPr>
              <w:ind w:left="80"/>
              <w:spacing w:after="0"/>
              <w:rPr>
                <w:sz w:val="20"/>
                <w:szCs w:val="20"/>
                <w:color w:val="auto"/>
              </w:rPr>
            </w:pPr>
            <w:r>
              <w:rPr>
                <w:rFonts w:ascii="Arial" w:cs="Arial" w:eastAsia="Arial" w:hAnsi="Arial"/>
                <w:sz w:val="18"/>
                <w:szCs w:val="18"/>
                <w:color w:val="auto"/>
              </w:rPr>
              <w:t>servicing portfolio</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EEEEEE"/>
          </w:tcPr>
          <w:p>
            <w:pPr>
              <w:ind w:left="80"/>
              <w:spacing w:after="0"/>
              <w:rPr>
                <w:sz w:val="20"/>
                <w:szCs w:val="20"/>
                <w:color w:val="auto"/>
              </w:rPr>
            </w:pPr>
            <w:r>
              <w:rPr>
                <w:rFonts w:ascii="Arial" w:cs="Arial" w:eastAsia="Arial" w:hAnsi="Arial"/>
                <w:sz w:val="18"/>
                <w:szCs w:val="18"/>
                <w:color w:val="auto"/>
                <w:w w:val="98"/>
              </w:rPr>
              <w:t>repossession as a percentage of gross</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shd w:val="clear" w:color="auto" w:fill="EEEEEE"/>
          </w:tcPr>
          <w:p>
            <w:pPr>
              <w:ind w:left="80"/>
              <w:spacing w:after="0"/>
              <w:rPr>
                <w:sz w:val="20"/>
                <w:szCs w:val="20"/>
                <w:color w:val="auto"/>
              </w:rPr>
            </w:pPr>
            <w:r>
              <w:rPr>
                <w:rFonts w:ascii="Arial" w:cs="Arial" w:eastAsia="Arial" w:hAnsi="Arial"/>
                <w:sz w:val="18"/>
                <w:szCs w:val="18"/>
                <w:color w:val="auto"/>
              </w:rPr>
              <w:t>servicing portfolio</w:t>
            </w:r>
          </w:p>
        </w:tc>
        <w:tc>
          <w:tcPr>
            <w:tcW w:w="13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w:t>
            </w:r>
          </w:p>
        </w:tc>
        <w:tc>
          <w:tcPr>
            <w:tcW w:w="2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7.2%</w:t>
            </w: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9.5%</w:t>
            </w:r>
          </w:p>
        </w:tc>
        <w:tc>
          <w:tcPr>
            <w:tcW w:w="16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w w:val="93"/>
              </w:rPr>
              <w:t>Contracts with one extension, accruing (4)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26,682</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361,338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18,377</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238,643</w:t>
            </w:r>
          </w:p>
        </w:tc>
        <w:tc>
          <w:tcPr>
            <w:tcW w:w="2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14,957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180,181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shd w:val="clear" w:color="auto" w:fill="EEEEEE"/>
          </w:tcPr>
          <w:p>
            <w:pPr>
              <w:ind w:left="80"/>
              <w:spacing w:after="0"/>
              <w:rPr>
                <w:sz w:val="20"/>
                <w:szCs w:val="20"/>
                <w:color w:val="auto"/>
              </w:rPr>
            </w:pPr>
            <w:r>
              <w:rPr>
                <w:rFonts w:ascii="Arial" w:cs="Arial" w:eastAsia="Arial" w:hAnsi="Arial"/>
                <w:sz w:val="18"/>
                <w:szCs w:val="18"/>
                <w:color w:val="auto"/>
              </w:rPr>
              <w:t>accruing (4)</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16,638</w:t>
            </w:r>
          </w:p>
        </w:tc>
        <w:tc>
          <w:tcPr>
            <w:tcW w:w="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219,175</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7,840</w:t>
            </w:r>
          </w:p>
        </w:tc>
        <w:tc>
          <w:tcPr>
            <w:tcW w:w="2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94,035</w:t>
            </w: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6,134</w:t>
            </w:r>
          </w:p>
        </w:tc>
        <w:tc>
          <w:tcPr>
            <w:tcW w:w="1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46,793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580,513</w:t>
            </w:r>
          </w:p>
        </w:tc>
        <w:tc>
          <w:tcPr>
            <w:tcW w:w="2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26,217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332,678</w:t>
            </w:r>
          </w:p>
        </w:tc>
        <w:tc>
          <w:tcPr>
            <w:tcW w:w="26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21,091</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60" w:type="dxa"/>
            <w:vAlign w:val="bottom"/>
          </w:tcPr>
          <w:p>
            <w:pPr>
              <w:spacing w:after="0" w:line="201" w:lineRule="exact"/>
              <w:rPr>
                <w:sz w:val="20"/>
                <w:szCs w:val="20"/>
                <w:color w:val="auto"/>
              </w:rPr>
            </w:pPr>
            <w:r>
              <w:rPr>
                <w:rFonts w:ascii="Arial" w:cs="Arial" w:eastAsia="Arial" w:hAnsi="Arial"/>
                <w:sz w:val="18"/>
                <w:szCs w:val="18"/>
                <w:color w:val="auto"/>
                <w:w w:val="93"/>
              </w:rPr>
              <w:t>Contracts with one extension, non-accrual</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0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1,784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22,725</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14,723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shd w:val="clear" w:color="auto" w:fill="EEEEEE"/>
          </w:tcPr>
          <w:p>
            <w:pPr>
              <w:ind w:left="80"/>
              <w:spacing w:after="0"/>
              <w:rPr>
                <w:sz w:val="20"/>
                <w:szCs w:val="20"/>
                <w:color w:val="auto"/>
              </w:rPr>
            </w:pPr>
            <w:r>
              <w:rPr>
                <w:rFonts w:ascii="Arial" w:cs="Arial" w:eastAsia="Arial" w:hAnsi="Arial"/>
                <w:sz w:val="18"/>
                <w:szCs w:val="18"/>
                <w:color w:val="auto"/>
              </w:rPr>
              <w:t>non-accrual (4)</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1,444</w:t>
            </w:r>
          </w:p>
        </w:tc>
        <w:tc>
          <w:tcPr>
            <w:tcW w:w="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18,527</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612</w:t>
            </w:r>
          </w:p>
        </w:tc>
        <w:tc>
          <w:tcPr>
            <w:tcW w:w="2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6,499</w:t>
            </w:r>
          </w:p>
        </w:tc>
        <w:tc>
          <w:tcPr>
            <w:tcW w:w="26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EEEEEE"/>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3,228</w:t>
            </w:r>
          </w:p>
        </w:tc>
        <w:tc>
          <w:tcPr>
            <w:tcW w:w="220" w:type="dxa"/>
            <w:vAlign w:val="bottom"/>
            <w:tcBorders>
              <w:bottom w:val="single" w:sz="8" w:color="EEEEEE"/>
            </w:tcBorders>
          </w:tcPr>
          <w:p>
            <w:pPr>
              <w:spacing w:after="0"/>
              <w:rPr>
                <w:sz w:val="18"/>
                <w:szCs w:val="18"/>
                <w:color w:val="auto"/>
              </w:rPr>
            </w:pPr>
          </w:p>
        </w:tc>
        <w:tc>
          <w:tcPr>
            <w:tcW w:w="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41,252</w:t>
            </w:r>
          </w:p>
        </w:tc>
        <w:tc>
          <w:tcPr>
            <w:tcW w:w="260" w:type="dxa"/>
            <w:vAlign w:val="bottom"/>
            <w:tcBorders>
              <w:bottom w:val="single" w:sz="8" w:color="EEEEEE"/>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2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21,222</w:t>
            </w:r>
          </w:p>
        </w:tc>
        <w:tc>
          <w:tcPr>
            <w:tcW w:w="260" w:type="dxa"/>
            <w:vAlign w:val="bottom"/>
            <w:tcBorders>
              <w:bottom w:val="single" w:sz="8" w:color="EEEEEE"/>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28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12,888</w:t>
            </w:r>
          </w:p>
        </w:tc>
        <w:tc>
          <w:tcPr>
            <w:tcW w:w="16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46,548</w:t>
            </w:r>
          </w:p>
        </w:tc>
        <w:tc>
          <w:tcPr>
            <w:tcW w:w="220" w:type="dxa"/>
            <w:vAlign w:val="bottom"/>
            <w:tcBorders>
              <w:bottom w:val="single" w:sz="8" w:color="EEEEEE"/>
            </w:tcBorders>
            <w:shd w:val="clear" w:color="auto" w:fill="EEEEEE"/>
          </w:tcPr>
          <w:p>
            <w:pPr>
              <w:spacing w:after="0"/>
              <w:rPr>
                <w:sz w:val="19"/>
                <w:szCs w:val="19"/>
                <w:color w:val="auto"/>
              </w:rPr>
            </w:pPr>
          </w:p>
        </w:tc>
        <w:tc>
          <w:tcPr>
            <w:tcW w:w="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621,765</w:t>
            </w:r>
          </w:p>
        </w:tc>
        <w:tc>
          <w:tcPr>
            <w:tcW w:w="26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28,114</w:t>
            </w:r>
          </w:p>
        </w:tc>
        <w:tc>
          <w:tcPr>
            <w:tcW w:w="260" w:type="dxa"/>
            <w:vAlign w:val="bottom"/>
            <w:tcBorders>
              <w:bottom w:val="single" w:sz="8" w:color="EEEEEE"/>
            </w:tcBorders>
            <w:shd w:val="clear" w:color="auto" w:fill="EEEEEE"/>
          </w:tcPr>
          <w:p>
            <w:pPr>
              <w:spacing w:after="0"/>
              <w:rPr>
                <w:sz w:val="19"/>
                <w:szCs w:val="19"/>
                <w:color w:val="auto"/>
              </w:rPr>
            </w:pPr>
          </w:p>
        </w:tc>
        <w:tc>
          <w:tcPr>
            <w:tcW w:w="2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353,900</w:t>
            </w:r>
          </w:p>
        </w:tc>
        <w:tc>
          <w:tcPr>
            <w:tcW w:w="260" w:type="dxa"/>
            <w:vAlign w:val="bottom"/>
            <w:tcBorders>
              <w:bottom w:val="single" w:sz="8" w:color="EEEEEE"/>
            </w:tcBorders>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28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239,862</w:t>
            </w:r>
          </w:p>
        </w:tc>
        <w:tc>
          <w:tcPr>
            <w:tcW w:w="16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80" w:right="180" w:hanging="318"/>
        <w:spacing w:after="0" w:line="254" w:lineRule="auto"/>
        <w:tabs>
          <w:tab w:leader="none" w:pos="3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third-parties on which we earn servicing fees only, and have no credit risk.</w:t>
      </w:r>
    </w:p>
    <w:p>
      <w:pPr>
        <w:spacing w:after="0" w:line="2" w:lineRule="exact"/>
        <w:rPr>
          <w:rFonts w:ascii="Arial" w:cs="Arial" w:eastAsia="Arial" w:hAnsi="Arial"/>
          <w:sz w:val="18"/>
          <w:szCs w:val="18"/>
          <w:i w:val="1"/>
          <w:iCs w:val="1"/>
          <w:color w:val="auto"/>
        </w:rPr>
      </w:pPr>
    </w:p>
    <w:p>
      <w:pPr>
        <w:ind w:left="380" w:hanging="318"/>
        <w:spacing w:after="0" w:line="250" w:lineRule="auto"/>
        <w:tabs>
          <w:tab w:leader="none" w:pos="380" w:val="left"/>
        </w:tabs>
        <w:numPr>
          <w:ilvl w:val="1"/>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the contract balance on financed vehicles that have been repossessed but not yet liquidated.</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0"/>
              </w:rPr>
              <w:t>Year Ended December 31,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r>
      <w:tr>
        <w:trPr>
          <w:trHeight w:val="210"/>
        </w:trPr>
        <w:tc>
          <w:tcPr>
            <w:tcW w:w="5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(Dollars in thousands)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1,847,764</w:t>
            </w:r>
          </w:p>
        </w:tc>
        <w:tc>
          <w:tcPr>
            <w:tcW w:w="50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rPr>
              <w:t>1,421,587</w:t>
            </w:r>
          </w:p>
        </w:tc>
        <w:tc>
          <w:tcPr>
            <w:tcW w:w="32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1,075,979</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charge-offs as a percentage of average servicing portfolio (2)</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187" w:lineRule="exact"/>
        <w:rPr>
          <w:sz w:val="20"/>
          <w:szCs w:val="20"/>
          <w:color w:val="auto"/>
        </w:rPr>
      </w:pPr>
    </w:p>
    <w:p>
      <w:pPr>
        <w:ind w:left="340" w:right="20" w:hanging="332"/>
        <w:spacing w:after="0" w:line="256"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contracts. The information in the table represents all automobile contracts we service, excluding certain contracts we have serviced for third-parties on which we earn servicing fees only, and have no credit risk.</w:t>
      </w:r>
    </w:p>
    <w:p>
      <w:pPr>
        <w:ind w:left="340" w:right="20" w:hanging="332"/>
        <w:spacing w:after="0" w:line="255"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ind w:right="120" w:firstLine="130"/>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ind w:firstLine="130"/>
        <w:spacing w:after="0" w:line="271" w:lineRule="auto"/>
        <w:rPr>
          <w:sz w:val="20"/>
          <w:szCs w:val="20"/>
          <w:color w:val="auto"/>
        </w:rPr>
      </w:pPr>
      <w:r>
        <w:rPr>
          <w:rFonts w:ascii="Arial" w:cs="Arial" w:eastAsia="Arial" w:hAnsi="Arial"/>
          <w:sz w:val="17"/>
          <w:szCs w:val="17"/>
          <w:color w:val="auto"/>
        </w:rPr>
        <w:t>The basic question in deciding to grant an extension is whether or not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 Fees collected in conjunction with an extension are credited to obligors’ outstanding accrued interest.</w:t>
      </w:r>
    </w:p>
    <w:p>
      <w:pPr>
        <w:spacing w:after="0" w:line="179" w:lineRule="exact"/>
        <w:rPr>
          <w:sz w:val="20"/>
          <w:szCs w:val="20"/>
          <w:color w:val="auto"/>
        </w:rPr>
      </w:pPr>
    </w:p>
    <w:p>
      <w:pPr>
        <w:ind w:right="240" w:firstLine="130"/>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ind w:right="200" w:firstLine="8"/>
        <w:spacing w:after="0" w:line="292"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ind w:right="160" w:firstLine="130"/>
        <w:spacing w:after="0" w:line="308" w:lineRule="auto"/>
        <w:rPr>
          <w:sz w:val="20"/>
          <w:szCs w:val="20"/>
          <w:color w:val="auto"/>
        </w:rPr>
      </w:pPr>
      <w:r>
        <w:rPr>
          <w:rFonts w:ascii="Arial" w:cs="Arial" w:eastAsia="Arial" w:hAnsi="Arial"/>
          <w:sz w:val="17"/>
          <w:szCs w:val="17"/>
          <w:color w:val="auto"/>
        </w:rPr>
        <w:t>We believe that a prudent extension program is an integral component to mitigating losses in our portfolio of sub-prime automobile receivables. The table below summarizes the status, as of December 31, 2015, for accounts that received extensions from 2008 through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 Charged</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Avg</w:t>
            </w: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Active or Paid</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 Active or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Charged Off</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rPr>
              <w:t>Off ≤ 6</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Months</w:t>
            </w: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Off at</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Paid Off at</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Charged Off &gt;</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 Charged Off</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 6 Months</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Months</w:t>
            </w:r>
          </w:p>
        </w:tc>
        <w:tc>
          <w:tcPr>
            <w:tcW w:w="7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to Charge</w:t>
            </w:r>
          </w:p>
        </w:tc>
      </w:tr>
      <w:tr>
        <w:trPr>
          <w:trHeight w:val="216"/>
        </w:trPr>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Period of</w:t>
            </w: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 Extensions</w:t>
            </w: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December 31,</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6 Months After</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&gt; 6 Months</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After</w:t>
            </w: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After</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Off Post</w:t>
            </w:r>
          </w:p>
        </w:tc>
      </w:tr>
      <w:tr>
        <w:trPr>
          <w:trHeight w:val="230"/>
        </w:trPr>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Extension</w:t>
            </w: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Granted</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Extension</w:t>
            </w: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After Extension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Extension</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Extension</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35,588</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10,728</w:t>
            </w: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20,038</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4,819</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2009</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32,226</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10,291</w:t>
            </w: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16,152</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5,783</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26,167</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12,190</w:t>
            </w: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11,978</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45.8%</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2011</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18,786</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11,042</w:t>
            </w: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58.8%</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6,812</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36.3%</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2012</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18,783</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11,787</w:t>
            </w: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6,200</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23,398</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14,635</w:t>
            </w: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7,787</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25,773</w:t>
            </w:r>
          </w:p>
        </w:tc>
        <w:tc>
          <w:tcPr>
            <w:tcW w:w="2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19,195</w:t>
            </w:r>
          </w:p>
        </w:tc>
        <w:tc>
          <w:tcPr>
            <w:tcW w:w="24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74.5%</w:t>
            </w:r>
          </w:p>
        </w:tc>
        <w:tc>
          <w:tcPr>
            <w:tcW w:w="260" w:type="dxa"/>
            <w:vAlign w:val="bottom"/>
            <w:shd w:val="clear" w:color="auto" w:fill="EEEEEE"/>
          </w:tcPr>
          <w:p>
            <w:pPr>
              <w:spacing w:after="0"/>
              <w:rPr>
                <w:sz w:val="18"/>
                <w:szCs w:val="18"/>
                <w:color w:val="auto"/>
              </w:rPr>
            </w:pPr>
          </w:p>
        </w:tc>
        <w:tc>
          <w:tcPr>
            <w:tcW w:w="11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5,752</w:t>
            </w:r>
          </w:p>
        </w:tc>
        <w:tc>
          <w:tcPr>
            <w:tcW w:w="2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both"/>
        <w:ind w:right="240" w:firstLine="130"/>
        <w:spacing w:after="0" w:line="286" w:lineRule="auto"/>
        <w:rPr>
          <w:sz w:val="20"/>
          <w:szCs w:val="20"/>
          <w:color w:val="auto"/>
        </w:rPr>
      </w:pPr>
      <w:r>
        <w:rPr>
          <w:rFonts w:ascii="Arial" w:cs="Arial" w:eastAsia="Arial" w:hAnsi="Arial"/>
          <w:sz w:val="17"/>
          <w:szCs w:val="17"/>
          <w:color w:val="auto"/>
        </w:rPr>
        <w:t>We view these results as a confirmation of the effectiveness of our extension program. We consider accounts that have had extensions and were active or paid off at December 31, 2015 to be successful. Successful extensions result in continued payments of interest and principal (including payment in full in many cases). Without the extension, however, we would have likely incurred a substantial loss and no additional interest revenue.</w:t>
      </w:r>
    </w:p>
    <w:p>
      <w:pPr>
        <w:spacing w:after="0" w:line="166" w:lineRule="exact"/>
        <w:rPr>
          <w:sz w:val="20"/>
          <w:szCs w:val="20"/>
          <w:color w:val="auto"/>
        </w:rPr>
      </w:pPr>
    </w:p>
    <w:p>
      <w:pPr>
        <w:ind w:right="180" w:firstLine="130"/>
        <w:spacing w:after="0" w:line="342" w:lineRule="auto"/>
        <w:rPr>
          <w:sz w:val="20"/>
          <w:szCs w:val="20"/>
          <w:color w:val="auto"/>
        </w:rPr>
      </w:pPr>
      <w:r>
        <w:rPr>
          <w:rFonts w:ascii="Arial" w:cs="Arial" w:eastAsia="Arial" w:hAnsi="Arial"/>
          <w:sz w:val="16"/>
          <w:szCs w:val="16"/>
          <w:color w:val="auto"/>
        </w:rPr>
        <w:t>For extension accounts that ultimately charged off, we consider accounts that charged off more than six months after the extension to be at least partially successful. In such cases, in spite of the ultimate loss, we received additional payments of principal and interest that otherwise we would not have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12" w:name="page13"/>
    <w:bookmarkEnd w:id="12"/>
    <w:p>
      <w:pPr>
        <w:ind w:left="140"/>
        <w:spacing w:after="0"/>
        <w:rPr>
          <w:sz w:val="20"/>
          <w:szCs w:val="20"/>
          <w:color w:val="auto"/>
        </w:rPr>
      </w:pPr>
      <w:r>
        <w:rPr>
          <w:rFonts w:ascii="Arial" w:cs="Arial" w:eastAsia="Arial" w:hAnsi="Arial"/>
          <w:sz w:val="16"/>
          <w:szCs w:val="16"/>
          <w:color w:val="auto"/>
        </w:rPr>
        <w:t>Additional information about our extensions is provided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Average number of extensions granted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Average number of outstanding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extensions as % of average outstandings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Year Ended</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Year Ended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Year Ended</w:t>
            </w:r>
          </w:p>
        </w:tc>
      </w:tr>
      <w:tr>
        <w:trPr>
          <w:trHeight w:val="230"/>
        </w:trPr>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December 31,</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December 31,</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December 31,</w:t>
            </w:r>
          </w:p>
        </w:tc>
      </w:tr>
      <w:tr>
        <w:trPr>
          <w:trHeight w:val="230"/>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38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8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140" w:type="dxa"/>
            <w:vAlign w:val="bottom"/>
          </w:tcPr>
          <w:p>
            <w:pPr>
              <w:spacing w:after="0"/>
              <w:rPr>
                <w:sz w:val="20"/>
                <w:szCs w:val="20"/>
                <w:color w:val="auto"/>
              </w:rPr>
            </w:pPr>
          </w:p>
        </w:tc>
      </w:tr>
      <w:tr>
        <w:trPr>
          <w:trHeight w:val="439"/>
        </w:trPr>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4,443</w:t>
            </w:r>
          </w:p>
        </w:tc>
        <w:tc>
          <w:tcPr>
            <w:tcW w:w="1340" w:type="dxa"/>
            <w:vAlign w:val="bottom"/>
          </w:tcPr>
          <w:p>
            <w:pPr>
              <w:jc w:val="right"/>
              <w:spacing w:after="0"/>
              <w:rPr>
                <w:sz w:val="20"/>
                <w:szCs w:val="20"/>
                <w:color w:val="auto"/>
              </w:rPr>
            </w:pPr>
            <w:r>
              <w:rPr>
                <w:rFonts w:ascii="Arial" w:cs="Arial" w:eastAsia="Arial" w:hAnsi="Arial"/>
                <w:sz w:val="18"/>
                <w:szCs w:val="18"/>
                <w:color w:val="auto"/>
              </w:rPr>
              <w:t>2,148</w:t>
            </w:r>
          </w:p>
        </w:tc>
        <w:tc>
          <w:tcPr>
            <w:tcW w:w="38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1,950</w:t>
            </w:r>
          </w:p>
        </w:tc>
      </w:tr>
      <w:tr>
        <w:trPr>
          <w:trHeight w:val="446"/>
        </w:trPr>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137,306</w:t>
            </w:r>
          </w:p>
        </w:tc>
        <w:tc>
          <w:tcPr>
            <w:tcW w:w="1720" w:type="dxa"/>
            <w:vAlign w:val="bottom"/>
            <w:gridSpan w:val="2"/>
          </w:tcPr>
          <w:p>
            <w:pPr>
              <w:jc w:val="right"/>
              <w:ind w:right="380"/>
              <w:spacing w:after="0"/>
              <w:rPr>
                <w:sz w:val="20"/>
                <w:szCs w:val="20"/>
                <w:color w:val="auto"/>
              </w:rPr>
            </w:pPr>
            <w:r>
              <w:rPr>
                <w:rFonts w:ascii="Arial" w:cs="Arial" w:eastAsia="Arial" w:hAnsi="Arial"/>
                <w:sz w:val="18"/>
                <w:szCs w:val="18"/>
                <w:color w:val="auto"/>
              </w:rPr>
              <w:t>110,356</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93,247</w:t>
            </w:r>
          </w:p>
        </w:tc>
      </w:tr>
      <w:tr>
        <w:trPr>
          <w:trHeight w:val="446"/>
        </w:trPr>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w:t>
            </w:r>
          </w:p>
        </w:tc>
      </w:tr>
    </w:tbl>
    <w:p>
      <w:pPr>
        <w:spacing w:after="0" w:line="635" w:lineRule="exact"/>
        <w:rPr>
          <w:sz w:val="20"/>
          <w:szCs w:val="20"/>
          <w:color w:val="auto"/>
        </w:rPr>
      </w:pPr>
    </w:p>
    <w:p>
      <w:pPr>
        <w:sectPr>
          <w:pgSz w:w="11900" w:h="16838" w:orient="portrait"/>
          <w:cols w:equalWidth="0" w:num="2">
            <w:col w:w="5740" w:space="720"/>
            <w:col w:w="4940"/>
          </w:cols>
          <w:pgMar w:left="240" w:top="69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Contracts with one extension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Contracts with two extensions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three extensions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Contracts with four extensions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Contracts with five extensions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Contracts with six extensions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Gross servicing portfolio</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780" w:type="dxa"/>
            <w:vAlign w:val="bottom"/>
            <w:gridSpan w:val="6"/>
          </w:tcPr>
          <w:p>
            <w:pPr>
              <w:ind w:left="560"/>
              <w:spacing w:after="0"/>
              <w:rPr>
                <w:sz w:val="20"/>
                <w:szCs w:val="20"/>
                <w:color w:val="auto"/>
              </w:rPr>
            </w:pPr>
            <w:r>
              <w:rPr>
                <w:rFonts w:ascii="Arial" w:cs="Arial" w:eastAsia="Arial" w:hAnsi="Arial"/>
                <w:sz w:val="18"/>
                <w:szCs w:val="18"/>
                <w:color w:val="auto"/>
              </w:rPr>
              <w:t>December 31, 2015</w:t>
            </w:r>
          </w:p>
        </w:tc>
        <w:tc>
          <w:tcPr>
            <w:tcW w:w="2700" w:type="dxa"/>
            <w:vAlign w:val="bottom"/>
            <w:gridSpan w:val="6"/>
          </w:tcPr>
          <w:p>
            <w:pPr>
              <w:ind w:left="540"/>
              <w:spacing w:after="0"/>
              <w:rPr>
                <w:sz w:val="20"/>
                <w:szCs w:val="20"/>
                <w:color w:val="auto"/>
              </w:rPr>
            </w:pPr>
            <w:r>
              <w:rPr>
                <w:rFonts w:ascii="Arial" w:cs="Arial" w:eastAsia="Arial" w:hAnsi="Arial"/>
                <w:sz w:val="18"/>
                <w:szCs w:val="18"/>
                <w:color w:val="auto"/>
              </w:rPr>
              <w:t>December 31, 2014</w:t>
            </w:r>
          </w:p>
        </w:tc>
        <w:tc>
          <w:tcPr>
            <w:tcW w:w="2500" w:type="dxa"/>
            <w:vAlign w:val="bottom"/>
            <w:gridSpan w:val="5"/>
          </w:tcPr>
          <w:p>
            <w:pPr>
              <w:jc w:val="right"/>
              <w:ind w:right="450"/>
              <w:spacing w:after="0"/>
              <w:rPr>
                <w:sz w:val="20"/>
                <w:szCs w:val="20"/>
                <w:color w:val="auto"/>
              </w:rPr>
            </w:pPr>
            <w:r>
              <w:rPr>
                <w:rFonts w:ascii="Arial" w:cs="Arial" w:eastAsia="Arial" w:hAnsi="Arial"/>
                <w:sz w:val="18"/>
                <w:szCs w:val="18"/>
                <w:color w:val="auto"/>
              </w:rPr>
              <w:t>December 31, 2013</w:t>
            </w:r>
          </w:p>
        </w:tc>
      </w:tr>
      <w:tr>
        <w:trPr>
          <w:trHeight w:val="195"/>
        </w:trPr>
        <w:tc>
          <w:tcPr>
            <w:tcW w:w="1280" w:type="dxa"/>
            <w:vAlign w:val="bottom"/>
            <w:tcBorders>
              <w:top w:val="single" w:sz="8" w:color="auto"/>
            </w:tcBorders>
            <w:gridSpan w:val="2"/>
          </w:tcPr>
          <w:p>
            <w:pPr>
              <w:jc w:val="center"/>
              <w:ind w:right="140"/>
              <w:spacing w:after="0" w:line="195" w:lineRule="exact"/>
              <w:rPr>
                <w:sz w:val="20"/>
                <w:szCs w:val="20"/>
                <w:color w:val="auto"/>
              </w:rPr>
            </w:pPr>
            <w:r>
              <w:rPr>
                <w:rFonts w:ascii="Arial" w:cs="Arial" w:eastAsia="Arial" w:hAnsi="Arial"/>
                <w:sz w:val="18"/>
                <w:szCs w:val="18"/>
                <w:color w:val="auto"/>
                <w:w w:val="92"/>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30"/>
        </w:trPr>
        <w:tc>
          <w:tcPr>
            <w:tcW w:w="12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0"/>
              </w:rPr>
              <w:t>Contracts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Amount</w:t>
            </w: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Contracts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Amount</w:t>
            </w: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Contracts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r>
      <w:tr>
        <w:trPr>
          <w:trHeight w:val="224"/>
        </w:trPr>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00" w:type="dxa"/>
            <w:vAlign w:val="bottom"/>
            <w:gridSpan w:val="6"/>
          </w:tcPr>
          <w:p>
            <w:pPr>
              <w:ind w:left="400"/>
              <w:spacing w:after="0"/>
              <w:rPr>
                <w:sz w:val="20"/>
                <w:szCs w:val="20"/>
                <w:color w:val="auto"/>
              </w:rPr>
            </w:pPr>
            <w:r>
              <w:rPr>
                <w:rFonts w:ascii="Arial" w:cs="Arial" w:eastAsia="Arial" w:hAnsi="Arial"/>
                <w:sz w:val="18"/>
                <w:szCs w:val="18"/>
                <w:color w:val="auto"/>
              </w:rPr>
              <w:t>(Dollars in thousands)</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31"/>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28,466</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384,064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19,662</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253,366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16,047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189,684</w:t>
            </w:r>
          </w:p>
        </w:tc>
      </w:tr>
      <w:tr>
        <w:trPr>
          <w:trHeight w:val="230"/>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156,840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79,774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38,499</w:t>
            </w:r>
          </w:p>
        </w:tc>
      </w:tr>
      <w:tr>
        <w:trPr>
          <w:trHeight w:val="230"/>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59,255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17,452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7,790</w:t>
            </w:r>
          </w:p>
        </w:tc>
      </w:tr>
      <w:tr>
        <w:trPr>
          <w:trHeight w:val="230"/>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30"/>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30"/>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4"/>
        </w:trPr>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621,765</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353,900</w:t>
            </w:r>
          </w:p>
        </w:tc>
        <w:tc>
          <w:tcPr>
            <w:tcW w:w="2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239,860</w:t>
            </w:r>
          </w:p>
        </w:tc>
      </w:tr>
      <w:tr>
        <w:trPr>
          <w:trHeight w:val="431"/>
        </w:trPr>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149,138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2,031,099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123,944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1,643,471</w:t>
            </w:r>
          </w:p>
        </w:tc>
        <w:tc>
          <w:tcPr>
            <w:tcW w:w="20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99,099</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1,228,579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-1303020</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-1011555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-719455</wp:posOffset>
            </wp:positionV>
            <wp:extent cx="72466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-427990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-145415</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8060"/>
          </w:cols>
          <w:pgMar w:left="240" w:top="692" w:right="25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ind w:firstLine="130"/>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contract becomes greater than 90 days past due, it is more likely than not that the delinquency will not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ind w:right="20" w:firstLine="130"/>
        <w:spacing w:after="0" w:line="255" w:lineRule="auto"/>
        <w:rPr>
          <w:sz w:val="20"/>
          <w:szCs w:val="20"/>
          <w:color w:val="auto"/>
        </w:rPr>
      </w:pPr>
      <w:r>
        <w:rPr>
          <w:rFonts w:ascii="Arial" w:cs="Arial" w:eastAsia="Arial" w:hAnsi="Arial"/>
          <w:sz w:val="18"/>
          <w:szCs w:val="18"/>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ind w:right="60" w:firstLine="130"/>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ind w:right="120" w:firstLine="162"/>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ind w:right="20" w:firstLine="130"/>
        <w:spacing w:after="0" w:line="271" w:lineRule="auto"/>
        <w:rPr>
          <w:sz w:val="20"/>
          <w:szCs w:val="20"/>
          <w:color w:val="auto"/>
        </w:rPr>
      </w:pPr>
      <w:r>
        <w:rPr>
          <w:rFonts w:ascii="Arial" w:cs="Arial" w:eastAsia="Arial" w:hAnsi="Arial"/>
          <w:sz w:val="17"/>
          <w:szCs w:val="17"/>
          <w:color w:val="auto"/>
        </w:rPr>
        <w:t>Since 1994 we have conducted 68 term securitizations of automobile contracts that we purchased from dealers under our regular programs. As of December 31, 2015, 18 of those securitizations are active and all but one are structured as secured financings. The exception is our September 2010 transaction, which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In recent years, we have found that the securitizations we conducted in December of those years, had a tendency toward less investor demand in the related bonds than the securitizations we conducted in other times of the year. As a result, in 2015, we elected to defer what would have been our December securitization in favor of a securitization in January 2016.</w:t>
      </w:r>
    </w:p>
    <w:p>
      <w:pPr>
        <w:spacing w:after="0" w:line="17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520" w:type="dxa"/>
            <w:vAlign w:val="bottom"/>
            <w:gridSpan w:val="5"/>
          </w:tcPr>
          <w:p>
            <w:pPr>
              <w:spacing w:after="0"/>
              <w:rPr>
                <w:sz w:val="20"/>
                <w:szCs w:val="20"/>
                <w:color w:val="auto"/>
              </w:rPr>
            </w:pPr>
            <w:r>
              <w:rPr>
                <w:rFonts w:ascii="Arial" w:cs="Arial" w:eastAsia="Arial" w:hAnsi="Arial"/>
                <w:sz w:val="18"/>
                <w:szCs w:val="18"/>
                <w:color w:val="auto"/>
                <w:w w:val="94"/>
              </w:rPr>
              <w:t>Our history of term securitizations, over the most recent ten years, is summarized in the table below:</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360" w:type="dxa"/>
            <w:vAlign w:val="bottom"/>
            <w:gridSpan w:val="4"/>
          </w:tcPr>
          <w:p>
            <w:pPr>
              <w:ind w:left="1780"/>
              <w:spacing w:after="0"/>
              <w:rPr>
                <w:sz w:val="20"/>
                <w:szCs w:val="20"/>
                <w:color w:val="auto"/>
              </w:rPr>
            </w:pPr>
            <w:r>
              <w:rPr>
                <w:rFonts w:ascii="Arial" w:cs="Arial" w:eastAsia="Arial" w:hAnsi="Arial"/>
                <w:sz w:val="18"/>
                <w:szCs w:val="18"/>
                <w:b w:val="1"/>
                <w:bCs w:val="1"/>
                <w:color w:val="auto"/>
                <w:w w:val="97"/>
              </w:rPr>
              <w:t>Recent Asset-Backed Term Securitizations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2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4"/>
          </w:tcPr>
          <w:p>
            <w:pPr>
              <w:ind w:left="11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Number of Term</w:t>
            </w:r>
          </w:p>
        </w:tc>
        <w:tc>
          <w:tcPr>
            <w:tcW w:w="136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Amount of</w:t>
            </w:r>
          </w:p>
        </w:tc>
        <w:tc>
          <w:tcPr>
            <w:tcW w:w="120" w:type="dxa"/>
            <w:vAlign w:val="bottom"/>
          </w:tcPr>
          <w:p>
            <w:pPr>
              <w:spacing w:after="0"/>
              <w:rPr>
                <w:sz w:val="16"/>
                <w:szCs w:val="16"/>
                <w:color w:val="auto"/>
              </w:rPr>
            </w:pPr>
          </w:p>
        </w:tc>
      </w:tr>
      <w:tr>
        <w:trPr>
          <w:trHeight w:val="234"/>
        </w:trPr>
        <w:tc>
          <w:tcPr>
            <w:tcW w:w="2160" w:type="dxa"/>
            <w:vAlign w:val="bottom"/>
          </w:tcPr>
          <w:p>
            <w:pPr>
              <w:spacing w:after="0"/>
              <w:rPr>
                <w:sz w:val="20"/>
                <w:szCs w:val="20"/>
                <w:color w:val="auto"/>
              </w:rPr>
            </w:pP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19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Securitizations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Receivables</w:t>
            </w:r>
          </w:p>
        </w:tc>
      </w:tr>
      <w:tr>
        <w:trPr>
          <w:trHeight w:val="210"/>
        </w:trPr>
        <w:tc>
          <w:tcPr>
            <w:tcW w:w="2160" w:type="dxa"/>
            <w:vAlign w:val="bottom"/>
          </w:tcPr>
          <w:p>
            <w:pPr>
              <w:spacing w:after="0"/>
              <w:rPr>
                <w:sz w:val="18"/>
                <w:szCs w:val="18"/>
                <w:color w:val="auto"/>
              </w:rPr>
            </w:pPr>
          </w:p>
        </w:tc>
        <w:tc>
          <w:tcPr>
            <w:tcW w:w="32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ind w:left="1520"/>
              <w:spacing w:after="0"/>
              <w:rPr>
                <w:sz w:val="20"/>
                <w:szCs w:val="20"/>
                <w:color w:val="auto"/>
              </w:rPr>
            </w:pPr>
            <w:r>
              <w:rPr>
                <w:rFonts w:ascii="Arial" w:cs="Arial" w:eastAsia="Arial" w:hAnsi="Arial"/>
                <w:sz w:val="15"/>
                <w:szCs w:val="15"/>
                <w:color w:val="auto"/>
                <w:w w:val="71"/>
              </w:rPr>
              <w:t>4</w:t>
            </w:r>
          </w:p>
        </w:tc>
        <w:tc>
          <w:tcPr>
            <w:tcW w:w="3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18"/>
                <w:szCs w:val="18"/>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1,118,097</w:t>
            </w:r>
          </w:p>
        </w:tc>
      </w:tr>
      <w:tr>
        <w:trPr>
          <w:trHeight w:val="216"/>
        </w:trPr>
        <w:tc>
          <w:tcPr>
            <w:tcW w:w="2160" w:type="dxa"/>
            <w:vAlign w:val="bottom"/>
          </w:tcPr>
          <w:p>
            <w:pPr>
              <w:spacing w:after="0"/>
              <w:rPr>
                <w:sz w:val="18"/>
                <w:szCs w:val="18"/>
                <w:color w:val="auto"/>
              </w:rPr>
            </w:pPr>
          </w:p>
        </w:tc>
        <w:tc>
          <w:tcPr>
            <w:tcW w:w="32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2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ind w:left="152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509,022</w:t>
            </w:r>
          </w:p>
        </w:tc>
      </w:tr>
      <w:tr>
        <w:trPr>
          <w:trHeight w:val="216"/>
        </w:trPr>
        <w:tc>
          <w:tcPr>
            <w:tcW w:w="21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200" w:type="dxa"/>
            <w:vAlign w:val="bottom"/>
          </w:tcPr>
          <w:p>
            <w:pPr>
              <w:spacing w:after="0"/>
              <w:rPr>
                <w:sz w:val="18"/>
                <w:szCs w:val="18"/>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spacing w:after="0"/>
              <w:rPr>
                <w:sz w:val="18"/>
                <w:szCs w:val="18"/>
                <w:color w:val="auto"/>
              </w:rPr>
            </w:pPr>
          </w:p>
        </w:tc>
        <w:tc>
          <w:tcPr>
            <w:tcW w:w="32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2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ind w:left="152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103,772</w:t>
            </w:r>
          </w:p>
        </w:tc>
      </w:tr>
      <w:tr>
        <w:trPr>
          <w:trHeight w:val="216"/>
        </w:trPr>
        <w:tc>
          <w:tcPr>
            <w:tcW w:w="21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333333"/>
                <w:w w:val="89"/>
              </w:rPr>
              <w:t>2011</w:t>
            </w:r>
          </w:p>
        </w:tc>
        <w:tc>
          <w:tcPr>
            <w:tcW w:w="200" w:type="dxa"/>
            <w:vAlign w:val="bottom"/>
          </w:tcPr>
          <w:p>
            <w:pPr>
              <w:spacing w:after="0"/>
              <w:rPr>
                <w:sz w:val="18"/>
                <w:szCs w:val="18"/>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335,593</w:t>
            </w:r>
          </w:p>
        </w:tc>
      </w:tr>
      <w:tr>
        <w:trPr>
          <w:trHeight w:val="216"/>
        </w:trPr>
        <w:tc>
          <w:tcPr>
            <w:tcW w:w="2160" w:type="dxa"/>
            <w:vAlign w:val="bottom"/>
          </w:tcPr>
          <w:p>
            <w:pPr>
              <w:spacing w:after="0"/>
              <w:rPr>
                <w:sz w:val="18"/>
                <w:szCs w:val="18"/>
                <w:color w:val="auto"/>
              </w:rPr>
            </w:pPr>
          </w:p>
        </w:tc>
        <w:tc>
          <w:tcPr>
            <w:tcW w:w="32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2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ind w:left="152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603,500</w:t>
            </w:r>
          </w:p>
        </w:tc>
      </w:tr>
      <w:tr>
        <w:trPr>
          <w:trHeight w:val="216"/>
        </w:trPr>
        <w:tc>
          <w:tcPr>
            <w:tcW w:w="21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200" w:type="dxa"/>
            <w:vAlign w:val="bottom"/>
          </w:tcPr>
          <w:p>
            <w:pPr>
              <w:spacing w:after="0"/>
              <w:rPr>
                <w:sz w:val="18"/>
                <w:szCs w:val="18"/>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778,000</w:t>
            </w:r>
          </w:p>
        </w:tc>
      </w:tr>
      <w:tr>
        <w:trPr>
          <w:trHeight w:val="216"/>
        </w:trPr>
        <w:tc>
          <w:tcPr>
            <w:tcW w:w="2160" w:type="dxa"/>
            <w:vAlign w:val="bottom"/>
          </w:tcPr>
          <w:p>
            <w:pPr>
              <w:spacing w:after="0"/>
              <w:rPr>
                <w:sz w:val="18"/>
                <w:szCs w:val="18"/>
                <w:color w:val="auto"/>
              </w:rPr>
            </w:pPr>
          </w:p>
        </w:tc>
        <w:tc>
          <w:tcPr>
            <w:tcW w:w="3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ind w:left="152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923,000</w:t>
            </w:r>
          </w:p>
        </w:tc>
      </w:tr>
      <w:tr>
        <w:trPr>
          <w:trHeight w:val="230"/>
        </w:trPr>
        <w:tc>
          <w:tcPr>
            <w:tcW w:w="216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0"/>
                <w:szCs w:val="20"/>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795,000</w:t>
            </w:r>
          </w:p>
        </w:tc>
      </w:tr>
    </w:tbl>
    <w:p>
      <w:pPr>
        <w:spacing w:after="0" w:line="187" w:lineRule="exact"/>
        <w:rPr>
          <w:sz w:val="20"/>
          <w:szCs w:val="20"/>
          <w:color w:val="auto"/>
        </w:rPr>
      </w:pPr>
    </w:p>
    <w:p>
      <w:pPr>
        <w:ind w:right="80" w:firstLine="130"/>
        <w:spacing w:after="0" w:line="277"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As of December 31, 2015 we have one such residual interest financing outstanding.</w:t>
      </w:r>
    </w:p>
    <w:p>
      <w:pPr>
        <w:spacing w:after="0" w:line="170" w:lineRule="exact"/>
        <w:rPr>
          <w:sz w:val="20"/>
          <w:szCs w:val="20"/>
          <w:color w:val="auto"/>
        </w:rPr>
      </w:pPr>
    </w:p>
    <w:p>
      <w:pPr>
        <w:ind w:firstLine="130"/>
        <w:spacing w:after="0" w:line="297"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securitization trust were not delivered until after the initial closing. As a result, our restricted cash balance at December 31, 2014 included $85.3 million from the proceeds of the sale of the asset-backed notes that were held by a trustee pending delivery of the remaining receivables. In January 2015, the requisite additional receivables were delivered to the securitization trust and we received the related restricted cash, most of which was used to repay amounts owed under our warehouse credit facilities. Since we did not do a securitization in December of 2015, there was no related amount of restricted cash representing the pre-funding proceeds.</w:t>
      </w:r>
    </w:p>
    <w:p>
      <w:pPr>
        <w:spacing w:after="0" w:line="158"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2014, extending the revolving period to August 2016, and adding an amortization period through August 2017. In April 2015, we entered into a new $100 million facility with a revolving period extending to April 2017 followed by an amortization period to April 2019. In November 2015, we entered into a third $100 million facility, which has a revolving period extending to November 2017, followed by an amortization period to November 2019.</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4" w:name="page15"/>
    <w:bookmarkEnd w:id="14"/>
    <w:p>
      <w:pPr>
        <w:ind w:right="120" w:firstLine="13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may be required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right="20" w:firstLine="130"/>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8" w:lineRule="exact"/>
        <w:rPr>
          <w:sz w:val="20"/>
          <w:szCs w:val="20"/>
          <w:color w:val="auto"/>
        </w:rPr>
      </w:pPr>
    </w:p>
    <w:p>
      <w:pPr>
        <w:jc w:val="both"/>
        <w:ind w:right="140" w:firstLine="13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2015 we were in compliance with all such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firstLine="130"/>
        <w:spacing w:after="0" w:line="270" w:lineRule="auto"/>
        <w:rPr>
          <w:sz w:val="20"/>
          <w:szCs w:val="20"/>
          <w:color w:val="auto"/>
        </w:rPr>
      </w:pPr>
      <w:r>
        <w:rPr>
          <w:rFonts w:ascii="Arial" w:cs="Arial" w:eastAsia="Arial" w:hAnsi="Arial"/>
          <w:sz w:val="17"/>
          <w:szCs w:val="17"/>
          <w:color w:val="auto"/>
        </w:rPr>
        <w:t>The automobile financing business is highly competitive. We compete with a number of national, regional and local finance companies with operations similar to ours. In addition, competitors or potential competitors include other types of financial services companies, such as banks, leasing companies, credit unions providing retail loan financing and lease financing for new and used vehicles, and captive finance companies affiliated with major automobile manufacturers. Many of our competitors and potential competitors possess substantially greater financial, marketing,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82" w:lineRule="exact"/>
        <w:rPr>
          <w:sz w:val="20"/>
          <w:szCs w:val="20"/>
          <w:color w:val="auto"/>
        </w:rPr>
      </w:pPr>
    </w:p>
    <w:p>
      <w:pPr>
        <w:ind w:right="40" w:firstLine="130"/>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ind w:right="20" w:firstLine="130"/>
        <w:spacing w:after="0" w:line="287" w:lineRule="auto"/>
        <w:rPr>
          <w:sz w:val="20"/>
          <w:szCs w:val="20"/>
          <w:color w:val="auto"/>
        </w:rPr>
      </w:pPr>
      <w:r>
        <w:rPr>
          <w:rFonts w:ascii="Arial" w:cs="Arial" w:eastAsia="Arial" w:hAnsi="Arial"/>
          <w:sz w:val="16"/>
          <w:szCs w:val="16"/>
          <w:color w:val="auto"/>
        </w:rPr>
        <w:t>Numerous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most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ind w:firstLine="130"/>
        <w:spacing w:after="0" w:line="270" w:lineRule="auto"/>
        <w:rPr>
          <w:sz w:val="20"/>
          <w:szCs w:val="20"/>
          <w:color w:val="auto"/>
        </w:rPr>
      </w:pPr>
      <w:r>
        <w:rPr>
          <w:rFonts w:ascii="Arial" w:cs="Arial" w:eastAsia="Arial" w:hAnsi="Arial"/>
          <w:sz w:val="17"/>
          <w:szCs w:val="17"/>
          <w:color w:val="auto"/>
        </w:rPr>
        <w:t>The Dodd-Frank Wall Street Reform and Consumer Protection Act (the “Dodd-Frank Act”) was enacted in July 2010, and many of its provisions became effective in July 2011. The Dodd-Frank Act restructured the regulation and supervision of the financial services industry and created the Consumer Financial Protection Bureau (the “CFPB”). The CFPB has rulemaking, supervisory and enforcement authority over “non-banks,” including us. The CFPB is specifically authorized, among other things, to take actions to prevent companies from engaging in “unfair, deceptive or abusive” acts or practices in connection with consumer financial products and services, and to issue rules requiring enhanced disclosures for consumer financial products or services. Under the Dodd-Frank Act, the CFPB also may restrict the use of pre-dispute mandatory arbitration clauses in contracts for a consumer financial product or service. The CFPB also has authority to interpret, enforce and issue regulations implementing enumerated consumer laws, including certain laws that apply to us. Further, the CFPB has general supervisory and examination authority over non-depository “larger participants” in the market for automotive finance companies. We are subject to such supervision and examination.</w:t>
      </w:r>
    </w:p>
    <w:p>
      <w:pPr>
        <w:spacing w:after="0" w:line="182" w:lineRule="exact"/>
        <w:rPr>
          <w:sz w:val="20"/>
          <w:szCs w:val="20"/>
          <w:color w:val="auto"/>
        </w:rPr>
      </w:pPr>
    </w:p>
    <w:p>
      <w:pPr>
        <w:ind w:right="20" w:firstLine="130"/>
        <w:spacing w:after="0" w:line="255" w:lineRule="auto"/>
        <w:rPr>
          <w:sz w:val="20"/>
          <w:szCs w:val="20"/>
          <w:color w:val="auto"/>
        </w:rPr>
      </w:pPr>
      <w:r>
        <w:rPr>
          <w:rFonts w:ascii="Arial" w:cs="Arial" w:eastAsia="Arial" w:hAnsi="Arial"/>
          <w:sz w:val="18"/>
          <w:szCs w:val="18"/>
          <w:color w:val="auto"/>
        </w:rPr>
        <w:t>The Dodd-Frank Act and related regulations are likely to affect our cost of doing business, may limit or expand our permissible activities, may affect the competitive balance within our industry and market areas and could have a material adverse effect on us. For example, in March 2013, the CFPB stated its view that policies of indirect auto lenders that allow auto dealers to mark up lender-established buy rates and that compensate dealers for those markups could present a risk of impermissible pricing disparities on the basis of race and national origin, and potentially other prohibited bases. We continue to assess the Dodd-Frank Act’s probable effect on our business, financial condition and results of operations, and to monitor developments involving the entities charged with promulgating regulations. However, the ultimate effect of the Dodd-Frank Act on the financial services industry in general, and on us in particular, is uncertain at this time.</w:t>
      </w:r>
    </w:p>
    <w:p>
      <w:pPr>
        <w:spacing w:after="0" w:line="189" w:lineRule="exact"/>
        <w:rPr>
          <w:sz w:val="20"/>
          <w:szCs w:val="20"/>
          <w:color w:val="auto"/>
        </w:rPr>
      </w:pPr>
    </w:p>
    <w:p>
      <w:pPr>
        <w:ind w:right="20" w:firstLine="130"/>
        <w:spacing w:after="0" w:line="259"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us. In addition, the Federal Trade Commission has jurisdiction to investigate aspects of our business. We expect that regulatory investigation by both state and federal agencies will continue, and there can be no assurance that the results of such investigations will not have a material adverse effect on us.</w:t>
      </w:r>
    </w:p>
    <w:p>
      <w:pPr>
        <w:spacing w:after="0" w:line="187" w:lineRule="exact"/>
        <w:rPr>
          <w:sz w:val="20"/>
          <w:szCs w:val="20"/>
          <w:color w:val="auto"/>
        </w:rPr>
      </w:pPr>
    </w:p>
    <w:p>
      <w:pPr>
        <w:ind w:right="20" w:firstLine="130"/>
        <w:spacing w:after="0" w:line="290" w:lineRule="auto"/>
        <w:rPr>
          <w:sz w:val="20"/>
          <w:szCs w:val="20"/>
          <w:color w:val="auto"/>
        </w:rPr>
      </w:pPr>
      <w:r>
        <w:rPr>
          <w:rFonts w:ascii="Arial" w:cs="Arial" w:eastAsia="Arial" w:hAnsi="Arial"/>
          <w:sz w:val="16"/>
          <w:szCs w:val="16"/>
          <w:color w:val="auto"/>
        </w:rPr>
        <w:t>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120" w:firstLine="130"/>
        <w:spacing w:after="0" w:line="259" w:lineRule="auto"/>
        <w:rPr>
          <w:sz w:val="20"/>
          <w:szCs w:val="20"/>
          <w:color w:val="auto"/>
        </w:rPr>
      </w:pPr>
      <w:r>
        <w:rPr>
          <w:rFonts w:ascii="Arial" w:cs="Arial" w:eastAsia="Arial" w:hAnsi="Arial"/>
          <w:sz w:val="18"/>
          <w:szCs w:val="18"/>
          <w:color w:val="auto"/>
        </w:rPr>
        <w:t>As of December 31, 2015, we had 935 employees. The breakdown of the employees is as follows: 10 were senior management personnel; 487 were servicing personnel; 243 were automobile contract origination personnel; 140 were marketing personnel (109 of whom were marketing representatives); 26 were operations and systems personnel; and 29 were administrative personnel. We believe that our relations with our employees are good. We are not a party to any collective bargaining agreement.</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40" w:firstLine="130"/>
        <w:spacing w:after="0" w:line="302" w:lineRule="auto"/>
        <w:rPr>
          <w:sz w:val="20"/>
          <w:szCs w:val="20"/>
          <w:color w:val="auto"/>
        </w:rPr>
      </w:pPr>
      <w:r>
        <w:rPr>
          <w:rFonts w:ascii="Arial" w:cs="Arial" w:eastAsia="Arial" w:hAnsi="Arial"/>
          <w:sz w:val="16"/>
          <w:szCs w:val="16"/>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ind w:right="60" w:firstLine="130"/>
        <w:spacing w:after="0" w:line="264"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1"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11" w:lineRule="exact"/>
        <w:rPr>
          <w:sz w:val="20"/>
          <w:szCs w:val="20"/>
          <w:color w:val="auto"/>
        </w:rPr>
      </w:pPr>
    </w:p>
    <w:p>
      <w:pPr>
        <w:ind w:right="100" w:firstLine="130"/>
        <w:spacing w:after="0" w:line="276"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ind w:firstLine="130"/>
        <w:spacing w:after="0" w:line="255" w:lineRule="auto"/>
        <w:rPr>
          <w:sz w:val="20"/>
          <w:szCs w:val="20"/>
          <w:color w:val="auto"/>
        </w:rPr>
      </w:pPr>
      <w:r>
        <w:rPr>
          <w:rFonts w:ascii="Arial" w:cs="Arial" w:eastAsia="Arial" w:hAnsi="Arial"/>
          <w:sz w:val="18"/>
          <w:szCs w:val="18"/>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While our access to such funding has improved since then, our results of operations, financial condition and cash flows have been and may continue to be materially and adversely affected. We require a substantial amount of cash liquidity to operate our business. Among other things, we use such cash liquidity to:</w:t>
      </w:r>
    </w:p>
    <w:p>
      <w:pPr>
        <w:spacing w:after="0" w:line="193"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of Significant Losses.</w:t>
      </w:r>
    </w:p>
    <w:p>
      <w:pPr>
        <w:spacing w:after="0" w:line="229" w:lineRule="exact"/>
        <w:rPr>
          <w:sz w:val="20"/>
          <w:szCs w:val="20"/>
          <w:color w:val="auto"/>
        </w:rPr>
      </w:pPr>
    </w:p>
    <w:p>
      <w:pPr>
        <w:ind w:right="60" w:firstLine="130"/>
        <w:spacing w:after="0" w:line="276" w:lineRule="auto"/>
        <w:rPr>
          <w:sz w:val="20"/>
          <w:szCs w:val="20"/>
          <w:color w:val="auto"/>
        </w:rPr>
      </w:pPr>
      <w:r>
        <w:rPr>
          <w:rFonts w:ascii="Arial" w:cs="Arial" w:eastAsia="Arial" w:hAnsi="Arial"/>
          <w:sz w:val="17"/>
          <w:szCs w:val="17"/>
          <w:color w:val="auto"/>
        </w:rPr>
        <w:t>From time to time throughout our history we have incurred net losses, most recently over the period beginning with the quarter ended September 30, 2008 and ending with the quarter ended September 30, 2011. We were adversely affected by the economic recession affecting the United States as a whole, for a time by increased financing costs and decreased availability of capital to fund our purchases of automobile contracts, and by a decrease in the overall level of sales of automobiles and light trucks. Similar periods of losses began in the quarter ended March 31, 1999 through the quarter ended December 31, 2000 and also from the quarter ended September 30, 2003 through the quarter ended March 31, 2005.</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17" w:name="page18"/>
    <w:bookmarkEnd w:id="17"/>
    <w:p>
      <w:pPr>
        <w:ind w:right="120" w:firstLine="130"/>
        <w:spacing w:after="0" w:line="302" w:lineRule="auto"/>
        <w:rPr>
          <w:sz w:val="20"/>
          <w:szCs w:val="20"/>
          <w:color w:val="auto"/>
        </w:rPr>
      </w:pPr>
      <w:r>
        <w:rPr>
          <w:rFonts w:ascii="Arial" w:cs="Arial" w:eastAsia="Arial" w:hAnsi="Arial"/>
          <w:sz w:val="16"/>
          <w:szCs w:val="16"/>
          <w:color w:val="auto"/>
        </w:rPr>
        <w:t>We expect to earn quarterly profits during 2016;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 One reason for our expectation is that we have had positive net income throughout the four years ended December 31, 2015.</w:t>
      </w:r>
    </w:p>
    <w:p>
      <w:pPr>
        <w:spacing w:after="0" w:line="154" w:lineRule="exact"/>
        <w:rPr>
          <w:sz w:val="20"/>
          <w:szCs w:val="20"/>
          <w:color w:val="auto"/>
        </w:rPr>
      </w:pPr>
    </w:p>
    <w:p>
      <w:pPr>
        <w:ind w:firstLine="130"/>
        <w:spacing w:after="0" w:line="255" w:lineRule="auto"/>
        <w:rPr>
          <w:sz w:val="20"/>
          <w:szCs w:val="20"/>
          <w:color w:val="auto"/>
        </w:rPr>
      </w:pPr>
      <w:r>
        <w:rPr>
          <w:rFonts w:ascii="Arial" w:cs="Arial" w:eastAsia="Arial" w:hAnsi="Arial"/>
          <w:sz w:val="18"/>
          <w:szCs w:val="18"/>
          <w:color w:val="auto"/>
        </w:rPr>
        <w:t>For the year ended December 31, 2015, our pretax income was $61.4 million, compared to pretax income of $52.2 million, $37.2 million and $9.2 million for the years 2014, 2013 and 2012, respectively, and a pretax loss of $14.5 million for the year 2011. Our net income for 2015 was $34.7 million, or $1.10 per diluted share, compared to net income of $29.5 million, or $0.92 per diluted share, $21.0 million, or $0.67 per diluted share and $69.4 million, or $2.72 per diluted share for the years 2014, 2013 and 2012 respectively, and a net loss of $14.5 million, or $0.76 per diluted share, for 2011. Net income for 2012 includes an income tax benefit of $60.2 million, or $2.36 per diluted share, related to reversal of a valuation allowance against our deferred tax asset. Such tax benefit cannot be expected to recur.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business strategy requires that warehouse credit facilities be available in order to purchase significant volumes of receivables.</w:t>
      </w:r>
    </w:p>
    <w:p>
      <w:pPr>
        <w:spacing w:after="0" w:line="225" w:lineRule="exact"/>
        <w:rPr>
          <w:sz w:val="20"/>
          <w:szCs w:val="20"/>
          <w:color w:val="auto"/>
        </w:rPr>
      </w:pPr>
    </w:p>
    <w:p>
      <w:pPr>
        <w:ind w:firstLine="130"/>
        <w:spacing w:after="0" w:line="290" w:lineRule="auto"/>
        <w:rPr>
          <w:sz w:val="20"/>
          <w:szCs w:val="20"/>
          <w:color w:val="auto"/>
        </w:rPr>
      </w:pPr>
      <w:r>
        <w:rPr>
          <w:rFonts w:ascii="Arial" w:cs="Arial" w:eastAsia="Arial" w:hAnsi="Arial"/>
          <w:sz w:val="16"/>
          <w:szCs w:val="16"/>
          <w:color w:val="auto"/>
        </w:rPr>
        <w:t>Historically, our primary sources of day-to-day liquidity have been our warehouse credit facilities, in which we sell and contribute automobile contracts, as often as twice a week, to special-purpose subsidiaries, where they are "warehoused" until they are financed on a long-term basis through the issuance of asset-backed notes. Upon issuance of the notes, funds advanced under one or more warehouse credit facilities are repaid from the proceeds. Our current short-term funding capacity is $300 million, comprising three credit facilities. The first $100 million credit facility was established in May 2012. This facility was renewed in August 2014, extending the revolving period to August 2016, and adding an amortization period through August 2017. In April 2015, we entered into a new $100 million facility with a revolving period extending to April 2017 followed by an amortization period to April 2019. In November 2015, we entered into a third $100 million facility with a revolving period extending to November 2017, followed by an amortization period to November 2019. See “Management’s Discussion and Analysis of Financial Condition and Results of Operations – Liquidity and Capital Resources – Liquidity”.</w:t>
      </w:r>
    </w:p>
    <w:p>
      <w:pPr>
        <w:spacing w:after="0" w:line="166" w:lineRule="exact"/>
        <w:rPr>
          <w:sz w:val="20"/>
          <w:szCs w:val="20"/>
          <w:color w:val="auto"/>
        </w:rPr>
      </w:pPr>
    </w:p>
    <w:p>
      <w:pPr>
        <w:ind w:right="220" w:firstLine="130"/>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ind w:right="40" w:firstLine="130"/>
        <w:spacing w:after="0" w:line="255" w:lineRule="auto"/>
        <w:rPr>
          <w:sz w:val="20"/>
          <w:szCs w:val="20"/>
          <w:color w:val="auto"/>
        </w:rPr>
      </w:pPr>
      <w:r>
        <w:rPr>
          <w:rFonts w:ascii="Arial" w:cs="Arial" w:eastAsia="Arial" w:hAnsi="Arial"/>
          <w:sz w:val="18"/>
          <w:szCs w:val="18"/>
          <w:color w:val="auto"/>
        </w:rPr>
        <w:t>We depend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11" w:lineRule="exact"/>
        <w:rPr>
          <w:sz w:val="20"/>
          <w:szCs w:val="20"/>
          <w:color w:val="auto"/>
        </w:rPr>
      </w:pPr>
    </w:p>
    <w:p>
      <w:pPr>
        <w:ind w:right="80" w:firstLine="130"/>
        <w:spacing w:after="0" w:line="297" w:lineRule="auto"/>
        <w:rPr>
          <w:sz w:val="20"/>
          <w:szCs w:val="20"/>
          <w:color w:val="auto"/>
        </w:rPr>
      </w:pPr>
      <w:r>
        <w:rPr>
          <w:rFonts w:ascii="Arial" w:cs="Arial" w:eastAsia="Arial" w:hAnsi="Arial"/>
          <w:sz w:val="16"/>
          <w:szCs w:val="16"/>
          <w:color w:val="auto"/>
        </w:rPr>
        <w:t>As stated elsewhere in this report, 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Although we have seen improvements in the capital markets from 2010 and thereafter, as compared to 2008 and 2009, if the market conditions for asset-backed securitizations should reverse, we could expect a material adverse effect on our results of operations.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18" w:name="page19"/>
    <w:bookmarkEnd w:id="18"/>
    <w:p>
      <w:pPr>
        <w:ind w:right="42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ind w:firstLine="130"/>
        <w:spacing w:after="0" w:line="297" w:lineRule="auto"/>
        <w:rPr>
          <w:sz w:val="20"/>
          <w:szCs w:val="20"/>
          <w:color w:val="auto"/>
        </w:rPr>
      </w:pPr>
      <w:r>
        <w:rPr>
          <w:rFonts w:ascii="Arial" w:cs="Arial" w:eastAsia="Arial" w:hAnsi="Arial"/>
          <w:sz w:val="16"/>
          <w:szCs w:val="16"/>
          <w:color w:val="auto"/>
        </w:rPr>
        <w:t>When we finance our automobile contracts through securitizations and warehouse credit facilities, we receive cash and retain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58" w:lineRule="exact"/>
        <w:rPr>
          <w:sz w:val="20"/>
          <w:szCs w:val="20"/>
          <w:color w:val="auto"/>
        </w:rPr>
      </w:pPr>
    </w:p>
    <w:p>
      <w:pPr>
        <w:ind w:right="120" w:firstLine="130"/>
        <w:spacing w:after="0" w:line="264" w:lineRule="auto"/>
        <w:rPr>
          <w:sz w:val="20"/>
          <w:szCs w:val="20"/>
          <w:color w:val="auto"/>
        </w:rPr>
      </w:pPr>
      <w:r>
        <w:rPr>
          <w:rFonts w:ascii="Arial" w:cs="Arial" w:eastAsia="Arial" w:hAnsi="Arial"/>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81" w:lineRule="exact"/>
        <w:rPr>
          <w:sz w:val="20"/>
          <w:szCs w:val="20"/>
          <w:color w:val="auto"/>
        </w:rPr>
      </w:pPr>
    </w:p>
    <w:p>
      <w:pPr>
        <w:ind w:right="120" w:firstLine="130"/>
        <w:spacing w:after="0" w:line="279" w:lineRule="auto"/>
        <w:rPr>
          <w:sz w:val="20"/>
          <w:szCs w:val="20"/>
          <w:color w:val="auto"/>
        </w:rPr>
      </w:pPr>
      <w:r>
        <w:rPr>
          <w:rFonts w:ascii="Arial" w:cs="Arial" w:eastAsia="Arial" w:hAnsi="Arial"/>
          <w:sz w:val="17"/>
          <w:szCs w:val="17"/>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71" w:lineRule="exact"/>
        <w:rPr>
          <w:sz w:val="20"/>
          <w:szCs w:val="20"/>
          <w:color w:val="auto"/>
        </w:rPr>
      </w:pPr>
    </w:p>
    <w:p>
      <w:pPr>
        <w:ind w:left="1160" w:right="720" w:hanging="571"/>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70" w:lineRule="exact"/>
        <w:rPr>
          <w:rFonts w:ascii="Arial" w:cs="Arial" w:eastAsia="Arial" w:hAnsi="Arial"/>
          <w:sz w:val="18"/>
          <w:szCs w:val="18"/>
          <w:color w:val="auto"/>
        </w:rPr>
      </w:pPr>
    </w:p>
    <w:p>
      <w:pPr>
        <w:ind w:left="1160" w:right="480" w:hanging="571"/>
        <w:spacing w:after="0" w:line="277"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70" w:lineRule="exact"/>
        <w:rPr>
          <w:sz w:val="20"/>
          <w:szCs w:val="20"/>
          <w:color w:val="auto"/>
        </w:rPr>
      </w:pPr>
    </w:p>
    <w:p>
      <w:pPr>
        <w:ind w:right="200" w:firstLine="130"/>
        <w:spacing w:after="0" w:line="272" w:lineRule="auto"/>
        <w:rPr>
          <w:sz w:val="20"/>
          <w:szCs w:val="20"/>
          <w:color w:val="auto"/>
        </w:rPr>
      </w:pPr>
      <w:r>
        <w:rPr>
          <w:rFonts w:ascii="Arial" w:cs="Arial" w:eastAsia="Arial" w:hAnsi="Arial"/>
          <w:sz w:val="17"/>
          <w:szCs w:val="17"/>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higher than expected losses occurred in 2008 through 2010, which had an adverse effect on our operations, financial condition and cash flows. Should significant increases in losses reoccur, such recurrence might have material adverse effects on our future results of operations, financial condition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Obtain Credit Enhancement for Our Securitizations Upon Favorable Terms, Our Results of Operations Would Be Impaired.</w:t>
      </w:r>
    </w:p>
    <w:p>
      <w:pPr>
        <w:spacing w:after="0" w:line="252" w:lineRule="exact"/>
        <w:rPr>
          <w:sz w:val="20"/>
          <w:szCs w:val="20"/>
          <w:color w:val="auto"/>
        </w:rPr>
      </w:pPr>
    </w:p>
    <w:p>
      <w:pPr>
        <w:ind w:right="20" w:firstLine="130"/>
        <w:spacing w:after="0" w:line="271" w:lineRule="auto"/>
        <w:rPr>
          <w:sz w:val="20"/>
          <w:szCs w:val="20"/>
          <w:color w:val="auto"/>
        </w:rPr>
      </w:pPr>
      <w:r>
        <w:rPr>
          <w:rFonts w:ascii="Arial" w:cs="Arial" w:eastAsia="Arial" w:hAnsi="Arial"/>
          <w:sz w:val="17"/>
          <w:szCs w:val="17"/>
          <w:color w:val="auto"/>
        </w:rPr>
        <w:t>In our securitizations from 1994 through 2008, we utilized credit enhancement in the form of one or more financial guaranty insurance policies issued by financial guaranty insurance companies. Each of these policies unconditionally and irrevocably guaranteed timely interest and ultimate principal payments on the senior classes of the securities issued in those securitizations. These guarantees enabled those securities to achieve the highest credit rating available. This form of credit enhancement reduced the costs of our securitizations relative to alternative forms of credit enhancement available to us at the time. Due to significantly reduced investor demand for securities carrying such a financial guaranty, this form of credit enhancement may not be economical for us in the future. The 19 securitization transactions we executed from 2010 through 2015 did not utilize financial guaranty insurance policies. Prior to the second quarter of 2014, none of the securities issued in those transactions received the highest possible credit rating from any rating agency. As we pursue future securitizations, we may not be able to obtain:</w:t>
      </w:r>
    </w:p>
    <w:p>
      <w:pPr>
        <w:spacing w:after="0" w:line="179"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credit enhancement in any form on terms acceptable to us, or at all; or</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similar highest available credit ratings for senior classes of securities to be issued in future securitizations.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19" w:name="page20"/>
    <w:bookmarkEnd w:id="19"/>
    <w:p>
      <w:pPr>
        <w:jc w:val="both"/>
        <w:ind w:right="200" w:firstLine="130"/>
        <w:spacing w:after="0" w:line="259" w:lineRule="auto"/>
        <w:rPr>
          <w:sz w:val="20"/>
          <w:szCs w:val="20"/>
          <w:color w:val="auto"/>
        </w:rPr>
      </w:pPr>
      <w:r>
        <w:rPr>
          <w:rFonts w:ascii="Arial" w:cs="Arial" w:eastAsia="Arial" w:hAnsi="Arial"/>
          <w:sz w:val="18"/>
          <w:szCs w:val="18"/>
          <w:color w:val="auto"/>
        </w:rPr>
        <w:t>We have observed an adverse trend in the greater credit spread between the interest rate payable on our securitization trust debt and risk-free investments. As of the date of this report, interest rates on risk-free debt are close to historical lows, which have offset some of the adverse effect on us of greater credit spreads. If interest rates on risk-free debt increase, or if the trend of increased spreads should continue, we would expect increased interest expense, which could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ind w:right="40" w:firstLine="130"/>
        <w:spacing w:after="0" w:line="288" w:lineRule="auto"/>
        <w:rPr>
          <w:sz w:val="20"/>
          <w:szCs w:val="20"/>
          <w:color w:val="auto"/>
        </w:rPr>
      </w:pPr>
      <w:r>
        <w:rPr>
          <w:rFonts w:ascii="Arial" w:cs="Arial" w:eastAsia="Arial" w:hAnsi="Arial"/>
          <w:sz w:val="16"/>
          <w:szCs w:val="16"/>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Corporation. Many of our competitors and potential competitors possess substantially greater financial, marketing,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6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ind w:right="140" w:firstLine="130"/>
        <w:spacing w:after="0" w:line="297" w:lineRule="auto"/>
        <w:rPr>
          <w:sz w:val="20"/>
          <w:szCs w:val="20"/>
          <w:color w:val="auto"/>
        </w:rPr>
      </w:pPr>
      <w:r>
        <w:rPr>
          <w:rFonts w:ascii="Arial" w:cs="Arial" w:eastAsia="Arial" w:hAnsi="Arial"/>
          <w:sz w:val="16"/>
          <w:szCs w:val="16"/>
          <w:color w:val="auto"/>
        </w:rPr>
        <w:t>We are dependent upon establishing and maintaining relationships with a large number of unaffiliated automobile dealers to supply us with automobile contracts. During the years ended December 31, 2015 and 2014, no single dealer accounted for more than 0.75% and 0.40%, respectively,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ind w:right="20" w:firstLine="130"/>
        <w:spacing w:after="0" w:line="276" w:lineRule="auto"/>
        <w:rPr>
          <w:sz w:val="20"/>
          <w:szCs w:val="20"/>
          <w:color w:val="auto"/>
        </w:rPr>
      </w:pPr>
      <w:r>
        <w:rPr>
          <w:rFonts w:ascii="Arial" w:cs="Arial" w:eastAsia="Arial" w:hAnsi="Arial"/>
          <w:sz w:val="17"/>
          <w:szCs w:val="17"/>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w:t>
      </w:r>
    </w:p>
    <w:p>
      <w:pPr>
        <w:spacing w:after="0" w:line="173" w:lineRule="exact"/>
        <w:rPr>
          <w:sz w:val="20"/>
          <w:szCs w:val="20"/>
          <w:color w:val="auto"/>
        </w:rPr>
      </w:pPr>
    </w:p>
    <w:p>
      <w:pPr>
        <w:ind w:firstLine="130"/>
        <w:spacing w:after="0" w:line="288" w:lineRule="auto"/>
        <w:rPr>
          <w:sz w:val="20"/>
          <w:szCs w:val="20"/>
          <w:color w:val="auto"/>
        </w:rPr>
      </w:pPr>
      <w:r>
        <w:rPr>
          <w:rFonts w:ascii="Arial" w:cs="Arial" w:eastAsia="Arial" w:hAnsi="Arial"/>
          <w:sz w:val="16"/>
          <w:szCs w:val="16"/>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 We maintain an allowance for credit losses on automobile contracts held on our balance sheet, which reflects our estimates of probable credit losses that can be reasonably estimated for securitizations that are accounted for as financings and warehoused automobile contracts. If the allowance is inadequate, then we would recognize the losses in excess of the allowance as an expense and our results of operations could be adversely affected. 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ind w:right="200" w:firstLine="130"/>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jc w:val="both"/>
        <w:ind w:right="20" w:firstLine="130"/>
        <w:spacing w:after="0" w:line="264"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ind w:firstLine="130"/>
        <w:spacing w:after="0" w:line="272" w:lineRule="auto"/>
        <w:rPr>
          <w:sz w:val="20"/>
          <w:szCs w:val="20"/>
          <w:color w:val="auto"/>
        </w:rPr>
      </w:pPr>
      <w:r>
        <w:rPr>
          <w:rFonts w:ascii="Arial" w:cs="Arial" w:eastAsia="Arial" w:hAnsi="Arial"/>
          <w:sz w:val="17"/>
          <w:szCs w:val="17"/>
          <w:color w:val="auto"/>
        </w:rPr>
        <w:t>Our senior management team averages over 19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ind w:right="320" w:firstLine="130"/>
        <w:spacing w:after="0" w:line="277" w:lineRule="auto"/>
        <w:rPr>
          <w:sz w:val="20"/>
          <w:szCs w:val="20"/>
          <w:color w:val="auto"/>
        </w:rPr>
      </w:pPr>
      <w:r>
        <w:rPr>
          <w:rFonts w:ascii="Arial" w:cs="Arial" w:eastAsia="Arial" w:hAnsi="Arial"/>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70"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11" w:lineRule="exact"/>
        <w:rPr>
          <w:sz w:val="20"/>
          <w:szCs w:val="20"/>
          <w:color w:val="auto"/>
        </w:rPr>
      </w:pPr>
    </w:p>
    <w:p>
      <w:pPr>
        <w:ind w:right="80" w:firstLine="130"/>
        <w:spacing w:after="0" w:line="270" w:lineRule="auto"/>
        <w:rPr>
          <w:sz w:val="20"/>
          <w:szCs w:val="20"/>
          <w:color w:val="auto"/>
        </w:rPr>
      </w:pPr>
      <w:r>
        <w:rPr>
          <w:rFonts w:ascii="Arial" w:cs="Arial" w:eastAsia="Arial" w:hAnsi="Arial"/>
          <w:sz w:val="17"/>
          <w:szCs w:val="17"/>
          <w:color w:val="auto"/>
        </w:rPr>
        <w:t>Our industry is also at times investigated by regulators and offices of state attorneys general, which could lead to enforcement actions, fines and penalties, or the assertion of private claims and law suits against us. The Federal Trade Commission (“FTC”) has the authority to investigate consumer complaints against us, to conduct inquiries at its own instance, and to recommend enforcement actions and seek monetary penalties. The FTC has conducted an inquiry into our practices, and proposed remedial action against us in 2014, to which we consented. See Legal Proceedings – FTC Action. The CFPB has adopted regulations that place us and other companies similar to us under its supervision. Our industry is also under investigation by the United States Department of Justice, which is conducting an inquiry that appears to be focused on securitization practices. In that inquiry, we received a subpoena in January 2015, which required that we produce specified documents. We are cooperating with that inquiry. Such inquiry could in the future result in the imposition of damages, fines or civil or criminal claims and/or penalties. No assurance can be given as to the ultimate outcome of the inquiry or any resulting proceeding(s), which might materially and adversely affect us.</w:t>
      </w:r>
    </w:p>
    <w:p>
      <w:pPr>
        <w:spacing w:after="0" w:line="182" w:lineRule="exact"/>
        <w:rPr>
          <w:sz w:val="20"/>
          <w:szCs w:val="20"/>
          <w:color w:val="auto"/>
        </w:rPr>
      </w:pPr>
    </w:p>
    <w:p>
      <w:pPr>
        <w:ind w:right="40" w:firstLine="130"/>
        <w:spacing w:after="0" w:line="293" w:lineRule="auto"/>
        <w:rPr>
          <w:sz w:val="20"/>
          <w:szCs w:val="20"/>
          <w:color w:val="auto"/>
        </w:rPr>
      </w:pPr>
      <w:r>
        <w:rPr>
          <w:rFonts w:ascii="Arial" w:cs="Arial" w:eastAsia="Arial" w:hAnsi="Arial"/>
          <w:sz w:val="16"/>
          <w:szCs w:val="16"/>
          <w:color w:val="auto"/>
        </w:rPr>
        <w:t>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1" w:name="page22"/>
    <w:bookmarkEnd w:id="21"/>
    <w:p>
      <w:pPr>
        <w:ind w:right="300" w:firstLine="130"/>
        <w:spacing w:after="0" w:line="308" w:lineRule="auto"/>
        <w:rPr>
          <w:sz w:val="20"/>
          <w:szCs w:val="20"/>
          <w:color w:val="auto"/>
        </w:rPr>
      </w:pPr>
      <w:r>
        <w:rPr>
          <w:rFonts w:ascii="Arial" w:cs="Arial" w:eastAsia="Arial" w:hAnsi="Arial"/>
          <w:sz w:val="17"/>
          <w:szCs w:val="17"/>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47" w:lineRule="exact"/>
        <w:rPr>
          <w:sz w:val="20"/>
          <w:szCs w:val="20"/>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Legislation and Proposed Regulations May Have an Adverse Effect on Our Business.</w:t>
      </w:r>
    </w:p>
    <w:p>
      <w:pPr>
        <w:spacing w:after="0" w:line="229" w:lineRule="exact"/>
        <w:rPr>
          <w:sz w:val="20"/>
          <w:szCs w:val="20"/>
          <w:color w:val="auto"/>
        </w:rPr>
      </w:pPr>
    </w:p>
    <w:p>
      <w:pPr>
        <w:ind w:firstLine="130"/>
        <w:spacing w:after="0" w:line="312" w:lineRule="auto"/>
        <w:rPr>
          <w:sz w:val="20"/>
          <w:szCs w:val="20"/>
          <w:color w:val="auto"/>
        </w:rPr>
      </w:pPr>
      <w:r>
        <w:rPr>
          <w:rFonts w:ascii="Arial" w:cs="Arial" w:eastAsia="Arial" w:hAnsi="Arial"/>
          <w:sz w:val="16"/>
          <w:szCs w:val="16"/>
          <w:color w:val="auto"/>
        </w:rPr>
        <w:t>The Dodd-Frank Wall Street Reform and Consumer Protection Act ("Dodd-Frank"), adopted in 2010, mandates the most wide-ranging overhaul of financial industry regulation in decades. The law provides a regulatory framework and requires that regulators, some of which are new regulatory bodies created by Dodd-Frank, draft, review and approve more than 200 implementing regulations and conduct numerous studies that are likely to lead to still more regulations.</w:t>
      </w:r>
    </w:p>
    <w:p>
      <w:pPr>
        <w:spacing w:after="0" w:line="147" w:lineRule="exact"/>
        <w:rPr>
          <w:sz w:val="20"/>
          <w:szCs w:val="20"/>
          <w:color w:val="auto"/>
        </w:rPr>
      </w:pPr>
    </w:p>
    <w:p>
      <w:pPr>
        <w:ind w:right="80" w:firstLine="130"/>
        <w:spacing w:after="0" w:line="279" w:lineRule="auto"/>
        <w:rPr>
          <w:sz w:val="20"/>
          <w:szCs w:val="20"/>
          <w:color w:val="auto"/>
        </w:rPr>
      </w:pPr>
      <w:r>
        <w:rPr>
          <w:rFonts w:ascii="Arial" w:cs="Arial" w:eastAsia="Arial" w:hAnsi="Arial"/>
          <w:sz w:val="17"/>
          <w:szCs w:val="17"/>
          <w:color w:val="auto"/>
        </w:rPr>
        <w:t>The Dodd-Frank Act includes risk retention requirements. Six federal agencies have approved a rule implementing these requirements. The rule, which is set to become effective in December 2015, generally requires sponsors of asset-backed securities (ABS), such as us, to retain not less than five percent of the credit risk of the assets collateralizing the ABS issuance. The rule also sets forth prohibitions on transferring or hedging the credit risk that the sponsor is required to retain. Our future securitization structures may be adversely affected by the risk retention requirement.</w:t>
      </w:r>
    </w:p>
    <w:p>
      <w:pPr>
        <w:spacing w:after="0" w:line="171" w:lineRule="exact"/>
        <w:rPr>
          <w:sz w:val="20"/>
          <w:szCs w:val="20"/>
          <w:color w:val="auto"/>
        </w:rPr>
      </w:pPr>
    </w:p>
    <w:p>
      <w:pPr>
        <w:ind w:right="80" w:firstLine="130"/>
        <w:spacing w:after="0" w:line="257" w:lineRule="auto"/>
        <w:rPr>
          <w:sz w:val="20"/>
          <w:szCs w:val="20"/>
          <w:color w:val="auto"/>
        </w:rPr>
      </w:pPr>
      <w:r>
        <w:rPr>
          <w:rFonts w:ascii="Arial" w:cs="Arial" w:eastAsia="Arial" w:hAnsi="Arial"/>
          <w:sz w:val="18"/>
          <w:szCs w:val="18"/>
          <w:color w:val="auto"/>
        </w:rPr>
        <w:t>Compliance with these new laws and regulations may be or likely will be costly and can affect operating results. Compliance requires forms, processes, procedures, controls and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8" w:lineRule="exact"/>
        <w:rPr>
          <w:sz w:val="20"/>
          <w:szCs w:val="20"/>
          <w:color w:val="auto"/>
        </w:rPr>
      </w:pPr>
    </w:p>
    <w:p>
      <w:pPr>
        <w:ind w:right="60" w:firstLine="130"/>
        <w:spacing w:after="0" w:line="308" w:lineRule="auto"/>
        <w:rPr>
          <w:sz w:val="20"/>
          <w:szCs w:val="20"/>
          <w:color w:val="auto"/>
        </w:rPr>
      </w:pPr>
      <w:r>
        <w:rPr>
          <w:rFonts w:ascii="Arial" w:cs="Arial" w:eastAsia="Arial" w:hAnsi="Arial"/>
          <w:sz w:val="17"/>
          <w:szCs w:val="17"/>
          <w:color w:val="auto"/>
        </w:rPr>
        <w:t>At this time, it is difficult to predict the extent to which new regulations or amendments will affect our business. However, compliance with these new laws and regulations may result in additional cost and expenses, which may adversely affect our results of operations, financial condition or liquidity.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ind w:firstLine="130"/>
        <w:spacing w:after="0" w:line="267" w:lineRule="auto"/>
        <w:rPr>
          <w:sz w:val="20"/>
          <w:szCs w:val="20"/>
          <w:color w:val="auto"/>
        </w:rPr>
      </w:pPr>
      <w:r>
        <w:rPr>
          <w:rFonts w:ascii="Arial" w:cs="Arial" w:eastAsia="Arial" w:hAnsi="Arial"/>
          <w:sz w:val="17"/>
          <w:szCs w:val="17"/>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Federal Trade Commission, the Consumer Financial Protection Bureau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flows.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2" w:name="page23"/>
    <w:bookmarkEnd w:id="22"/>
    <w:p>
      <w:pPr>
        <w:ind w:right="20" w:firstLine="130"/>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166"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jc w:val="both"/>
        <w:ind w:right="600" w:firstLine="130"/>
        <w:spacing w:after="0" w:line="264"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ind w:right="40" w:firstLine="130"/>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breach in the security of our systems could result in the disclosure of confidential information or subject us to liability</w:t>
      </w:r>
    </w:p>
    <w:p>
      <w:pPr>
        <w:spacing w:after="0" w:line="229" w:lineRule="exact"/>
        <w:rPr>
          <w:sz w:val="20"/>
          <w:szCs w:val="20"/>
          <w:color w:val="auto"/>
        </w:rPr>
      </w:pPr>
    </w:p>
    <w:p>
      <w:pPr>
        <w:jc w:val="both"/>
        <w:ind w:right="100" w:firstLine="130"/>
        <w:spacing w:after="0" w:line="264" w:lineRule="auto"/>
        <w:rPr>
          <w:sz w:val="20"/>
          <w:szCs w:val="20"/>
          <w:color w:val="auto"/>
        </w:rPr>
      </w:pPr>
      <w:r>
        <w:rPr>
          <w:rFonts w:ascii="Arial" w:cs="Arial" w:eastAsia="Arial" w:hAnsi="Arial"/>
          <w:sz w:val="18"/>
          <w:szCs w:val="18"/>
          <w:color w:val="auto"/>
        </w:rPr>
        <w:t>We hold in our systems confidential financial and other personal data with respect to our customers, which may be of value to identity thieves and others if revealed. Although we endeavor to protect the security of our computer systems and the confidentiality of customer information entrusted to us, there can be no assurance that our security measures will provide adequate security.</w:t>
      </w:r>
    </w:p>
    <w:p>
      <w:pPr>
        <w:spacing w:after="0" w:line="181"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It is possible that we may not be able to anticipate, detect or recognize threats to our systems or to implement effective preventive measures against all security breaches, especially because the techniques used change frequently or are not recognized until launched, and because cyberattacks can originate from a wide variety of sources, including third parties outside the Company such as persons who are associated with external service providers or who are or may be involved in organized crime or linked to terrorist organizations.</w:t>
      </w:r>
    </w:p>
    <w:p>
      <w:pPr>
        <w:spacing w:after="0" w:line="187" w:lineRule="exact"/>
        <w:rPr>
          <w:sz w:val="20"/>
          <w:szCs w:val="20"/>
          <w:color w:val="auto"/>
        </w:rPr>
      </w:pPr>
    </w:p>
    <w:p>
      <w:pPr>
        <w:ind w:right="240" w:firstLine="130"/>
        <w:spacing w:after="0" w:line="277" w:lineRule="auto"/>
        <w:rPr>
          <w:sz w:val="20"/>
          <w:szCs w:val="20"/>
          <w:color w:val="auto"/>
        </w:rPr>
      </w:pPr>
      <w:r>
        <w:rPr>
          <w:rFonts w:ascii="Arial" w:cs="Arial" w:eastAsia="Arial" w:hAnsi="Arial"/>
          <w:sz w:val="18"/>
          <w:szCs w:val="18"/>
          <w:color w:val="auto"/>
        </w:rPr>
        <w:t>Such persons may also attempt to fraudulently induce employees or other users of our systems to disclose sensitive information in order to gain access to our data or that of our customers.</w:t>
      </w:r>
    </w:p>
    <w:p>
      <w:pPr>
        <w:spacing w:after="0" w:line="170" w:lineRule="exact"/>
        <w:rPr>
          <w:sz w:val="20"/>
          <w:szCs w:val="20"/>
          <w:color w:val="auto"/>
        </w:rPr>
      </w:pPr>
    </w:p>
    <w:p>
      <w:pPr>
        <w:ind w:right="320" w:firstLine="130"/>
        <w:spacing w:after="0" w:line="277" w:lineRule="auto"/>
        <w:rPr>
          <w:sz w:val="20"/>
          <w:szCs w:val="20"/>
          <w:color w:val="auto"/>
        </w:rPr>
      </w:pPr>
      <w:r>
        <w:rPr>
          <w:rFonts w:ascii="Arial" w:cs="Arial" w:eastAsia="Arial" w:hAnsi="Arial"/>
          <w:sz w:val="18"/>
          <w:szCs w:val="18"/>
          <w:color w:val="auto"/>
        </w:rPr>
        <w:t>These risks may increase in the future as we continue to increase our mobile-payment and other internet-based product offerings and expands our use of web-based products and applications.</w:t>
      </w:r>
    </w:p>
    <w:p>
      <w:pPr>
        <w:spacing w:after="0" w:line="170" w:lineRule="exact"/>
        <w:rPr>
          <w:sz w:val="20"/>
          <w:szCs w:val="20"/>
          <w:color w:val="auto"/>
        </w:rPr>
      </w:pPr>
    </w:p>
    <w:p>
      <w:pPr>
        <w:jc w:val="both"/>
        <w:ind w:right="60" w:firstLine="130"/>
        <w:spacing w:after="0" w:line="259" w:lineRule="auto"/>
        <w:rPr>
          <w:sz w:val="20"/>
          <w:szCs w:val="20"/>
          <w:color w:val="auto"/>
        </w:rPr>
      </w:pPr>
      <w:r>
        <w:rPr>
          <w:rFonts w:ascii="Arial" w:cs="Arial" w:eastAsia="Arial" w:hAnsi="Arial"/>
          <w:sz w:val="18"/>
          <w:szCs w:val="18"/>
          <w:color w:val="auto"/>
        </w:rPr>
        <w:t>A successful penetration of the security of our systems could cause serious negative consequences, including disruption of our operations, misappropriation of confidential information, or damage to our computers or systems, and could result in violations of applicable privacy and other laws, financial loss to us or to our customers, customer dissatisfaction, significant litigation exposure and harm to our reputation, any or all of which could have a material adverse effect on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ind w:right="180" w:firstLine="130"/>
        <w:spacing w:after="0" w:line="259" w:lineRule="auto"/>
        <w:rPr>
          <w:sz w:val="20"/>
          <w:szCs w:val="20"/>
          <w:color w:val="auto"/>
        </w:rPr>
      </w:pPr>
      <w:r>
        <w:rPr>
          <w:rFonts w:ascii="Arial" w:cs="Arial" w:eastAsia="Arial" w:hAnsi="Arial"/>
          <w:sz w:val="18"/>
          <w:szCs w:val="18"/>
          <w:color w:val="auto"/>
        </w:rPr>
        <w:t>We currently have and will continue to have a substantial amount of indebtedness. At December 31, 2015, we had approximately $1,952.2 million of debt outstanding. Such debt consisted primarily of $1,731.6 million of securitization trust debt, $196.5 million of warehouse lines of credit, $9.0 million of residual interest financing and $15.1 million in subordinated renewable notes. We are also currently offering the subordinated renewable notes to the public on a continuous basis, and such notes have maturities that range from three months to 10 years.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3" w:name="page24"/>
    <w:bookmarkEnd w:id="23"/>
    <w:p>
      <w:pPr>
        <w:ind w:left="14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1160" w:right="220" w:hanging="571"/>
        <w:spacing w:after="0" w:line="250" w:lineRule="auto"/>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payments on our indebtedness, thereby reducing amounts available for working capital, capital expenditures and other general corporate purposes;</w:t>
      </w: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ind w:right="120" w:firstLine="130"/>
        <w:spacing w:after="0" w:line="286" w:lineRule="auto"/>
        <w:rPr>
          <w:sz w:val="20"/>
          <w:szCs w:val="20"/>
          <w:color w:val="auto"/>
        </w:rPr>
      </w:pPr>
      <w:r>
        <w:rPr>
          <w:rFonts w:ascii="Arial" w:cs="Arial" w:eastAsia="Arial" w:hAnsi="Arial"/>
          <w:sz w:val="17"/>
          <w:szCs w:val="17"/>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ind w:firstLine="130"/>
        <w:spacing w:after="0" w:line="312" w:lineRule="auto"/>
        <w:rPr>
          <w:sz w:val="20"/>
          <w:szCs w:val="20"/>
          <w:color w:val="auto"/>
        </w:rPr>
      </w:pPr>
      <w:r>
        <w:rPr>
          <w:rFonts w:ascii="Arial" w:cs="Arial" w:eastAsia="Arial" w:hAnsi="Arial"/>
          <w:sz w:val="16"/>
          <w:szCs w:val="16"/>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47" w:lineRule="exact"/>
        <w:rPr>
          <w:sz w:val="20"/>
          <w:szCs w:val="20"/>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1160" w:right="860" w:hanging="571"/>
        <w:spacing w:after="0" w:line="250"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paying dividends or other distributions to our shareholders or redeeming, repurchasing or retiring our capital stock or subordinated obligations;</w:t>
      </w: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11" w:lineRule="exact"/>
        <w:rPr>
          <w:sz w:val="20"/>
          <w:szCs w:val="20"/>
          <w:color w:val="auto"/>
        </w:rPr>
      </w:pPr>
    </w:p>
    <w:p>
      <w:pPr>
        <w:ind w:right="60" w:firstLine="130"/>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78" w:lineRule="exact"/>
        <w:rPr>
          <w:sz w:val="20"/>
          <w:szCs w:val="20"/>
          <w:color w:val="auto"/>
        </w:rPr>
      </w:pPr>
    </w:p>
    <w:p>
      <w:pPr>
        <w:ind w:right="40" w:firstLine="130"/>
        <w:spacing w:after="0" w:line="255" w:lineRule="auto"/>
        <w:rPr>
          <w:sz w:val="20"/>
          <w:szCs w:val="20"/>
          <w:color w:val="auto"/>
        </w:rPr>
      </w:pPr>
      <w:r>
        <w:rPr>
          <w:rFonts w:ascii="Arial" w:cs="Arial" w:eastAsia="Arial" w:hAnsi="Arial"/>
          <w:sz w:val="18"/>
          <w:szCs w:val="18"/>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 These restrictions may limit our ability to receive distributions in respect of the residual interests from our securitization facilities, which may limit our ability to generate earnings.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ind w:right="60" w:firstLine="130"/>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Ohio, Georgia, Florida and Pennsylvania,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ind w:right="20" w:firstLine="130"/>
        <w:spacing w:after="0" w:line="302" w:lineRule="auto"/>
        <w:rPr>
          <w:sz w:val="20"/>
          <w:szCs w:val="20"/>
          <w:color w:val="auto"/>
        </w:rPr>
      </w:pPr>
      <w:r>
        <w:rPr>
          <w:rFonts w:ascii="Arial" w:cs="Arial" w:eastAsia="Arial" w:hAnsi="Arial"/>
          <w:sz w:val="16"/>
          <w:szCs w:val="16"/>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Flows from Excess Spread, Our Results of Operations May Be Impaired.</w:t>
      </w:r>
    </w:p>
    <w:p>
      <w:pPr>
        <w:spacing w:after="0" w:line="241" w:lineRule="exact"/>
        <w:rPr>
          <w:sz w:val="20"/>
          <w:szCs w:val="20"/>
          <w:color w:val="auto"/>
        </w:rPr>
      </w:pPr>
    </w:p>
    <w:p>
      <w:pPr>
        <w:ind w:right="100" w:firstLine="130"/>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2015, our directors and executive officers collectively owned 4,405,328 shares of our common stock, or approximately 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ind w:right="280" w:firstLine="130"/>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13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11"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right="480" w:firstLine="130"/>
        <w:spacing w:after="0" w:line="308" w:lineRule="auto"/>
        <w:rPr>
          <w:sz w:val="20"/>
          <w:szCs w:val="20"/>
          <w:color w:val="auto"/>
        </w:rPr>
      </w:pPr>
      <w:r>
        <w:rPr>
          <w:rFonts w:ascii="Arial" w:cs="Arial" w:eastAsia="Arial" w:hAnsi="Arial"/>
          <w:sz w:val="17"/>
          <w:szCs w:val="17"/>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principal executive offices are located in Las Vegas, Nevada. Our operating headquarters are located in Irvine, California, where we currently lease approximately 80,000 square feet of general office space from an unaffiliated lessor. The leased office space in Irvine, California increases to 129,000 square feet by 2017. The annual base rent is approximately $1.77 million, increasing to approximately $4.50 million through 2022.</w:t>
      </w:r>
    </w:p>
    <w:p>
      <w:pPr>
        <w:spacing w:after="0" w:line="166" w:lineRule="exact"/>
        <w:rPr>
          <w:sz w:val="20"/>
          <w:szCs w:val="20"/>
          <w:color w:val="auto"/>
        </w:rPr>
      </w:pPr>
    </w:p>
    <w:p>
      <w:pPr>
        <w:ind w:right="240" w:firstLine="130"/>
        <w:spacing w:after="0" w:line="308" w:lineRule="auto"/>
        <w:rPr>
          <w:sz w:val="20"/>
          <w:szCs w:val="20"/>
          <w:color w:val="auto"/>
        </w:rPr>
      </w:pPr>
      <w:r>
        <w:rPr>
          <w:rFonts w:ascii="Arial" w:cs="Arial" w:eastAsia="Arial" w:hAnsi="Arial"/>
          <w:sz w:val="17"/>
          <w:szCs w:val="17"/>
          <w:color w:val="auto"/>
        </w:rPr>
        <w:t>In March 1997, we established a branch collection facility in Chesapeake, Virginia. We lease approximately 16,500 square feet of general office space in Chesapeake, Virginia, at a base rent that is approximately $280,000 per year, increasing to approximately $325,000 through 2018.</w:t>
      </w:r>
    </w:p>
    <w:p>
      <w:pPr>
        <w:spacing w:after="0" w:line="147" w:lineRule="exact"/>
        <w:rPr>
          <w:sz w:val="20"/>
          <w:szCs w:val="20"/>
          <w:color w:val="auto"/>
        </w:rPr>
      </w:pPr>
    </w:p>
    <w:p>
      <w:pPr>
        <w:ind w:right="40" w:firstLine="130"/>
        <w:spacing w:after="0" w:line="264" w:lineRule="auto"/>
        <w:rPr>
          <w:sz w:val="20"/>
          <w:szCs w:val="20"/>
          <w:color w:val="auto"/>
        </w:rPr>
      </w:pPr>
      <w:r>
        <w:rPr>
          <w:rFonts w:ascii="Arial" w:cs="Arial" w:eastAsia="Arial" w:hAnsi="Arial"/>
          <w:sz w:val="18"/>
          <w:szCs w:val="18"/>
          <w:color w:val="auto"/>
        </w:rPr>
        <w:t>The remaining three regional servicing centers occupy a total of approximately 68,000 square feet of leased space in Las Vegas, Nevada; Maitland, Florida; and Lombard, Illinois. The termination dates of such leases range from 2018 to 2019. The annual base rent for these facilities total approximately $1.43 million increasing to approximately $1.64 million through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firstLine="130"/>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ind w:right="400" w:firstLine="130"/>
        <w:spacing w:after="0" w:line="308" w:lineRule="auto"/>
        <w:rPr>
          <w:sz w:val="20"/>
          <w:szCs w:val="20"/>
          <w:color w:val="auto"/>
        </w:rPr>
      </w:pPr>
      <w:r>
        <w:rPr>
          <w:rFonts w:ascii="Arial" w:cs="Arial" w:eastAsia="Arial" w:hAnsi="Arial"/>
          <w:sz w:val="17"/>
          <w:szCs w:val="17"/>
          <w:color w:val="auto"/>
        </w:rPr>
        <w:t>We are currently subject to one such class action, which has been settled by agreement with the plaintiffs. The settlement remains subject to final court approval. (The court has approved the settlement, but an objecting member of the settlement class has appealed that approval.)</w:t>
      </w:r>
    </w:p>
    <w:p>
      <w:pPr>
        <w:spacing w:after="0" w:line="147" w:lineRule="exact"/>
        <w:rPr>
          <w:sz w:val="20"/>
          <w:szCs w:val="20"/>
          <w:color w:val="auto"/>
        </w:rPr>
      </w:pPr>
    </w:p>
    <w:p>
      <w:pPr>
        <w:ind w:right="180" w:firstLine="130"/>
        <w:spacing w:after="0" w:line="308" w:lineRule="auto"/>
        <w:rPr>
          <w:sz w:val="20"/>
          <w:szCs w:val="20"/>
          <w:color w:val="auto"/>
        </w:rPr>
      </w:pPr>
      <w:r>
        <w:rPr>
          <w:rFonts w:ascii="Arial" w:cs="Arial" w:eastAsia="Arial" w:hAnsi="Arial"/>
          <w:sz w:val="17"/>
          <w:szCs w:val="17"/>
          <w:color w:val="auto"/>
        </w:rPr>
        <w:t>For the most part, we have legal and factual defenses to consumer claims, which we routinely contest or settle (for immaterial amounts) depending on the particular circumstances of each case. We have recorded a liability as of December 31, 2015 with respect to such matters, in the aggregate.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26" w:name="page27"/>
    <w:bookmarkEnd w:id="26"/>
    <w:p>
      <w:pPr>
        <w:ind w:right="60" w:firstLine="130"/>
        <w:spacing w:after="0" w:line="273" w:lineRule="auto"/>
        <w:rPr>
          <w:sz w:val="20"/>
          <w:szCs w:val="20"/>
          <w:color w:val="auto"/>
        </w:rPr>
      </w:pPr>
      <w:r>
        <w:rPr>
          <w:rFonts w:ascii="Arial" w:cs="Arial" w:eastAsia="Arial" w:hAnsi="Arial"/>
          <w:sz w:val="17"/>
          <w:szCs w:val="17"/>
          <w:i w:val="1"/>
          <w:iCs w:val="1"/>
          <w:color w:val="auto"/>
        </w:rPr>
        <w:t>FTC Action</w:t>
      </w:r>
      <w:r>
        <w:rPr>
          <w:rFonts w:ascii="Arial" w:cs="Arial" w:eastAsia="Arial" w:hAnsi="Arial"/>
          <w:sz w:val="17"/>
          <w:szCs w:val="17"/>
          <w:color w:val="auto"/>
        </w:rPr>
        <w:t>. In May 2014, we consented to the FTC’s filing of a lawsuit against us, and to the simultaneous settlement of that lawsuit pursuant to a consent</w:t>
      </w:r>
      <w:r>
        <w:rPr>
          <w:rFonts w:ascii="Arial" w:cs="Arial" w:eastAsia="Arial" w:hAnsi="Arial"/>
          <w:sz w:val="17"/>
          <w:szCs w:val="17"/>
          <w:i w:val="1"/>
          <w:iCs w:val="1"/>
          <w:color w:val="auto"/>
        </w:rPr>
        <w:t xml:space="preserve"> </w:t>
      </w:r>
      <w:r>
        <w:rPr>
          <w:rFonts w:ascii="Arial" w:cs="Arial" w:eastAsia="Arial" w:hAnsi="Arial"/>
          <w:sz w:val="17"/>
          <w:szCs w:val="17"/>
          <w:color w:val="auto"/>
        </w:rPr>
        <w:t>decree. The agreed judgment, entered June 11, 2014, required that we make restitutionary payments to certain of its our customers, that we pay a $2 million penalty to the U.S. government, and that we implement procedural changes relating to compliance with fair debt collection practices and credit reporting. We have retained an independent third party to monitor our compliance with the judgment, and we must file certain periodic reports with the FTC. The payments to past and present customers have been completed and paid, partially in cash and partially in the form of credits against amounts owed. The total of such customer payments, cash and credit, was approximately $3.5 million.</w:t>
      </w:r>
    </w:p>
    <w:p>
      <w:pPr>
        <w:spacing w:after="0" w:line="178" w:lineRule="exact"/>
        <w:rPr>
          <w:sz w:val="20"/>
          <w:szCs w:val="20"/>
          <w:color w:val="auto"/>
        </w:rPr>
      </w:pPr>
    </w:p>
    <w:p>
      <w:pPr>
        <w:ind w:right="40" w:firstLine="130"/>
        <w:spacing w:after="0" w:line="289" w:lineRule="auto"/>
        <w:rPr>
          <w:sz w:val="20"/>
          <w:szCs w:val="20"/>
          <w:color w:val="auto"/>
        </w:rPr>
      </w:pPr>
      <w:r>
        <w:rPr>
          <w:rFonts w:ascii="Arial" w:cs="Arial" w:eastAsia="Arial" w:hAnsi="Arial"/>
          <w:sz w:val="16"/>
          <w:szCs w:val="16"/>
          <w:i w:val="1"/>
          <w:iCs w:val="1"/>
          <w:color w:val="auto"/>
        </w:rPr>
        <w:t xml:space="preserve">Department of Justice Subpoena. </w:t>
      </w:r>
      <w:r>
        <w:rPr>
          <w:rFonts w:ascii="Arial" w:cs="Arial" w:eastAsia="Arial" w:hAnsi="Arial"/>
          <w:sz w:val="16"/>
          <w:szCs w:val="16"/>
          <w:color w:val="auto"/>
        </w:rPr>
        <w:t>In January 2015, we were served with a subpoena by the U.S. Department of Justice directing us to produce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requested information relating to the underwriting criteria used to originate these automobile contracts and the representations and warranties relating to those underwriting criteria that were made in connection with the securitization of the automobile contracts. We provided the required documents in March 2015, and are unaware of any subsequent material developments in the government’s investigation.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67" w:lineRule="exact"/>
        <w:rPr>
          <w:sz w:val="20"/>
          <w:szCs w:val="20"/>
          <w:color w:val="auto"/>
        </w:rPr>
      </w:pPr>
    </w:p>
    <w:p>
      <w:pPr>
        <w:ind w:right="80" w:firstLine="130"/>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the matters referenced above. We have recorded a liability as of December 31, 2015,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December 31, 2015, and in excess of the liability we have recorded, is from $0 to $250,000.</w:t>
      </w:r>
    </w:p>
    <w:p>
      <w:pPr>
        <w:spacing w:after="0" w:line="173" w:lineRule="exact"/>
        <w:rPr>
          <w:sz w:val="20"/>
          <w:szCs w:val="20"/>
          <w:color w:val="auto"/>
        </w:rPr>
      </w:pPr>
    </w:p>
    <w:p>
      <w:pPr>
        <w:ind w:right="20" w:firstLine="130"/>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firstLine="130"/>
        <w:spacing w:after="0" w:line="302" w:lineRule="auto"/>
        <w:rPr>
          <w:sz w:val="20"/>
          <w:szCs w:val="20"/>
          <w:color w:val="auto"/>
        </w:rPr>
      </w:pPr>
      <w:r>
        <w:rPr>
          <w:rFonts w:ascii="Arial" w:cs="Arial" w:eastAsia="Arial" w:hAnsi="Arial"/>
          <w:sz w:val="16"/>
          <w:szCs w:val="16"/>
          <w:i w:val="1"/>
          <w:iCs w:val="1"/>
          <w:color w:val="auto"/>
        </w:rPr>
        <w:t>Charles E. Bradley, Jr</w:t>
      </w:r>
      <w:r>
        <w:rPr>
          <w:rFonts w:ascii="Arial" w:cs="Arial" w:eastAsia="Arial" w:hAnsi="Arial"/>
          <w:sz w:val="16"/>
          <w:szCs w:val="16"/>
          <w:color w:val="auto"/>
        </w:rPr>
        <w:t>., 56, has been our President and a director since our formation in March 1991, and was elected Chairman of the Board of Directors in</w:t>
      </w:r>
      <w:r>
        <w:rPr>
          <w:rFonts w:ascii="Arial" w:cs="Arial" w:eastAsia="Arial" w:hAnsi="Arial"/>
          <w:sz w:val="16"/>
          <w:szCs w:val="16"/>
          <w:i w:val="1"/>
          <w:iCs w:val="1"/>
          <w:color w:val="auto"/>
        </w:rPr>
        <w:t xml:space="preserve"> </w:t>
      </w:r>
      <w:r>
        <w:rPr>
          <w:rFonts w:ascii="Arial" w:cs="Arial" w:eastAsia="Arial" w:hAnsi="Arial"/>
          <w:sz w:val="16"/>
          <w:szCs w:val="16"/>
          <w:color w:val="auto"/>
        </w:rPr>
        <w:t>July 2001. In January 1992, Mr. Bradley was appointed Chief Executive Officer. From April 1989 to November 1990, he served as Chief Operating Officer of Barnard and Company, a private investment firm. From September 1987 to March 1989, Mr. Bradley, Jr. was an associate of The Harding Group, a private investment banking firm. Mr. Bradley does not currently serve on the board of directors of any other publicly-traded companies.</w:t>
      </w:r>
    </w:p>
    <w:p>
      <w:pPr>
        <w:spacing w:after="0" w:line="154" w:lineRule="exact"/>
        <w:rPr>
          <w:sz w:val="20"/>
          <w:szCs w:val="20"/>
          <w:color w:val="auto"/>
        </w:rPr>
      </w:pPr>
    </w:p>
    <w:p>
      <w:pPr>
        <w:ind w:right="120" w:firstLine="130"/>
        <w:spacing w:after="0" w:line="259" w:lineRule="auto"/>
        <w:rPr>
          <w:sz w:val="20"/>
          <w:szCs w:val="20"/>
          <w:color w:val="auto"/>
        </w:rPr>
      </w:pPr>
      <w:r>
        <w:rPr>
          <w:rFonts w:ascii="Arial" w:cs="Arial" w:eastAsia="Arial" w:hAnsi="Arial"/>
          <w:sz w:val="18"/>
          <w:szCs w:val="18"/>
          <w:i w:val="1"/>
          <w:iCs w:val="1"/>
          <w:color w:val="auto"/>
        </w:rPr>
        <w:t xml:space="preserve">Jeffrey P. Fritz, </w:t>
      </w:r>
      <w:r>
        <w:rPr>
          <w:rFonts w:ascii="Arial" w:cs="Arial" w:eastAsia="Arial" w:hAnsi="Arial"/>
          <w:sz w:val="18"/>
          <w:szCs w:val="18"/>
          <w:color w:val="auto"/>
        </w:rPr>
        <w:t>56</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Executive Vice President and Chief Financial Officer since March 2014. Prior to that, he was Senior Vice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since April 2006. He was Senior Vice President of Accounting from August 2004 through March 2006 and served as a consultant to us from May 2004 to August 2004. He also served as our Chief Financial Officer from our inception through May 1999. He is a licensed Certified Public Accountant and has previously practiced public accounting.</w:t>
      </w:r>
    </w:p>
    <w:p>
      <w:pPr>
        <w:spacing w:after="0" w:line="187" w:lineRule="exact"/>
        <w:rPr>
          <w:sz w:val="20"/>
          <w:szCs w:val="20"/>
          <w:color w:val="auto"/>
        </w:rPr>
      </w:pPr>
    </w:p>
    <w:p>
      <w:pPr>
        <w:ind w:right="80" w:firstLine="130"/>
        <w:spacing w:after="0" w:line="276" w:lineRule="auto"/>
        <w:rPr>
          <w:sz w:val="20"/>
          <w:szCs w:val="20"/>
          <w:color w:val="auto"/>
        </w:rPr>
      </w:pPr>
      <w:r>
        <w:rPr>
          <w:rFonts w:ascii="Arial" w:cs="Arial" w:eastAsia="Arial" w:hAnsi="Arial"/>
          <w:sz w:val="17"/>
          <w:szCs w:val="17"/>
          <w:i w:val="1"/>
          <w:iCs w:val="1"/>
          <w:color w:val="auto"/>
        </w:rPr>
        <w:t xml:space="preserve">Michael T. Lavin, </w:t>
      </w:r>
      <w:r>
        <w:rPr>
          <w:rFonts w:ascii="Arial" w:cs="Arial" w:eastAsia="Arial" w:hAnsi="Arial"/>
          <w:sz w:val="17"/>
          <w:szCs w:val="17"/>
          <w:color w:val="auto"/>
        </w:rPr>
        <w:t>43, has been Executive Vice President - Chief Legal Officer since March 2014. Prior to that, he was our Senior Vice President –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Counsel since March 2013, Senior Vice President and Corporate Counsel since May 2009 and our Vice President- Legal since joining the Company in November of 2001. Mr. Lavin was previously engaged as a law clerk and an associate with the San Diego based large law firm (now defunct) of Edwards, Sooy &amp; Byron from 1996 through 2000 and then as an associate with the Orange County based firm of Trachtman &amp; Trachtman from 2000 through 2001. Mr. Lavin also clerked for the San Diego District Attorney’s office and Orange County Public Defender’s office.</w:t>
      </w:r>
    </w:p>
    <w:p>
      <w:pPr>
        <w:spacing w:after="0" w:line="173" w:lineRule="exact"/>
        <w:rPr>
          <w:sz w:val="20"/>
          <w:szCs w:val="20"/>
          <w:color w:val="auto"/>
        </w:rPr>
      </w:pPr>
    </w:p>
    <w:p>
      <w:pPr>
        <w:jc w:val="both"/>
        <w:ind w:right="420" w:firstLine="130"/>
        <w:spacing w:after="0" w:line="312" w:lineRule="auto"/>
        <w:rPr>
          <w:sz w:val="20"/>
          <w:szCs w:val="20"/>
          <w:color w:val="auto"/>
        </w:rPr>
      </w:pPr>
      <w:r>
        <w:rPr>
          <w:rFonts w:ascii="Arial" w:cs="Arial" w:eastAsia="Arial" w:hAnsi="Arial"/>
          <w:sz w:val="16"/>
          <w:szCs w:val="16"/>
          <w:i w:val="1"/>
          <w:iCs w:val="1"/>
          <w:color w:val="auto"/>
        </w:rPr>
        <w:t xml:space="preserve">Mark A. Creatura, </w:t>
      </w:r>
      <w:r>
        <w:rPr>
          <w:rFonts w:ascii="Arial" w:cs="Arial" w:eastAsia="Arial" w:hAnsi="Arial"/>
          <w:sz w:val="16"/>
          <w:szCs w:val="16"/>
          <w:color w:val="auto"/>
        </w:rPr>
        <w:t>56, has been Senior Vice President – General Counsel since October 1996. From October 1993 through October 1996, he was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General Counsel at Urethane Technologies, Inc., a polyurethane chemicals formulator. Mr. Creatura was previously engaged in the private practice of law with the Los Angeles law firm of Troy &amp; Gould Professional Corporation, from October 1985 through October 1993.</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7" w:name="page28"/>
    <w:bookmarkEnd w:id="27"/>
    <w:p>
      <w:pPr>
        <w:ind w:right="20" w:firstLine="130"/>
        <w:spacing w:after="0" w:line="259" w:lineRule="auto"/>
        <w:rPr>
          <w:sz w:val="20"/>
          <w:szCs w:val="20"/>
          <w:color w:val="auto"/>
        </w:rPr>
      </w:pPr>
      <w:r>
        <w:rPr>
          <w:rFonts w:ascii="Arial" w:cs="Arial" w:eastAsia="Arial" w:hAnsi="Arial"/>
          <w:sz w:val="18"/>
          <w:szCs w:val="18"/>
          <w:i w:val="1"/>
          <w:iCs w:val="1"/>
          <w:color w:val="auto"/>
        </w:rPr>
        <w:t xml:space="preserve">Christopher Terry, </w:t>
      </w:r>
      <w:r>
        <w:rPr>
          <w:rFonts w:ascii="Arial" w:cs="Arial" w:eastAsia="Arial" w:hAnsi="Arial"/>
          <w:sz w:val="18"/>
          <w:szCs w:val="18"/>
          <w:color w:val="auto"/>
        </w:rPr>
        <w:t>48, has been Senior Vice President – Asset Recovery since August 2013. Prior to that was our Senior Vice President of Servicing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2005, and prior to that was Senior Vice President - Asset Recovery since January 2003.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87" w:lineRule="exact"/>
        <w:rPr>
          <w:sz w:val="20"/>
          <w:szCs w:val="20"/>
          <w:color w:val="auto"/>
        </w:rPr>
      </w:pPr>
    </w:p>
    <w:p>
      <w:pPr>
        <w:ind w:right="160" w:firstLine="130"/>
        <w:spacing w:after="0" w:line="264"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53, has been Senior Vice President of Originations since April 2007. Prior to that, she held the position of Vice President of Originations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August 1998. She joined the Company in June 1991 as an Operations Specialist, and held a series of successively more responsible positions. Previously, Ms. Robinson held an administrative position at Greco &amp; Associates.</w:t>
      </w:r>
    </w:p>
    <w:p>
      <w:pPr>
        <w:spacing w:after="0" w:line="181" w:lineRule="exact"/>
        <w:rPr>
          <w:sz w:val="20"/>
          <w:szCs w:val="20"/>
          <w:color w:val="auto"/>
        </w:rPr>
      </w:pPr>
    </w:p>
    <w:p>
      <w:pPr>
        <w:ind w:firstLine="130"/>
        <w:spacing w:after="0" w:line="257" w:lineRule="auto"/>
        <w:rPr>
          <w:sz w:val="20"/>
          <w:szCs w:val="20"/>
          <w:color w:val="auto"/>
        </w:rPr>
      </w:pPr>
      <w:r>
        <w:rPr>
          <w:rFonts w:ascii="Arial" w:cs="Arial" w:eastAsia="Arial" w:hAnsi="Arial"/>
          <w:sz w:val="18"/>
          <w:szCs w:val="18"/>
          <w:i w:val="1"/>
          <w:iCs w:val="1"/>
          <w:color w:val="auto"/>
        </w:rPr>
        <w:t xml:space="preserve">Curtis K. Powell, </w:t>
      </w:r>
      <w:r>
        <w:rPr>
          <w:rFonts w:ascii="Arial" w:cs="Arial" w:eastAsia="Arial" w:hAnsi="Arial"/>
          <w:sz w:val="18"/>
          <w:szCs w:val="18"/>
          <w:color w:val="auto"/>
        </w:rPr>
        <w:t>58, has been Senior Vice President – Project Development since May 2010. Previously he was our Senior Vice President –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March 2007 to May 2010. Prior to that, he was our Senior Vice President of Originations from June 2001 to March 2007. Prior to that, he was our Senior Vice President – Marketing, from April 1995 to June 2001. He joined us in January 1993 as an independent marketing representative until being appointed Regional Vice President of Marketing for Southern California in November 1994. From June 1985 through January 1993, Mr. Powell was in the retail automobile sales and leasing business.</w:t>
      </w:r>
    </w:p>
    <w:p>
      <w:pPr>
        <w:spacing w:after="0" w:line="188" w:lineRule="exact"/>
        <w:rPr>
          <w:sz w:val="20"/>
          <w:szCs w:val="20"/>
          <w:color w:val="auto"/>
        </w:rPr>
      </w:pPr>
    </w:p>
    <w:p>
      <w:pPr>
        <w:ind w:right="140" w:firstLine="130"/>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47</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7" w:lineRule="exact"/>
        <w:rPr>
          <w:sz w:val="20"/>
          <w:szCs w:val="20"/>
          <w:color w:val="auto"/>
        </w:rPr>
      </w:pPr>
    </w:p>
    <w:p>
      <w:pPr>
        <w:ind w:right="140" w:firstLine="130"/>
        <w:spacing w:after="0" w:line="259" w:lineRule="auto"/>
        <w:rPr>
          <w:sz w:val="20"/>
          <w:szCs w:val="20"/>
          <w:color w:val="auto"/>
        </w:rPr>
      </w:pPr>
      <w:r>
        <w:rPr>
          <w:rFonts w:ascii="Arial" w:cs="Arial" w:eastAsia="Arial" w:hAnsi="Arial"/>
          <w:sz w:val="18"/>
          <w:szCs w:val="18"/>
          <w:i w:val="1"/>
          <w:iCs w:val="1"/>
          <w:color w:val="auto"/>
        </w:rPr>
        <w:t xml:space="preserve">Richard B. Haskell, </w:t>
      </w:r>
      <w:r>
        <w:rPr>
          <w:rFonts w:ascii="Arial" w:cs="Arial" w:eastAsia="Arial" w:hAnsi="Arial"/>
          <w:sz w:val="18"/>
          <w:szCs w:val="18"/>
          <w:color w:val="auto"/>
        </w:rPr>
        <w:t>49</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Systems and Risk Management since April 2013. Prior to that, he held the positions of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Systems and Risk Management since January 2007, and Vice President of Risk Management since January 2005. He joined the Company in March 1994 as a data entry clerk in the Originations Department and held a series of successively more responsible positions. Previously, Mr. Haskell held a position as loan officer at Trust One Mortgage.</w:t>
      </w:r>
    </w:p>
    <w:p>
      <w:pPr>
        <w:spacing w:after="0" w:line="187" w:lineRule="exact"/>
        <w:rPr>
          <w:sz w:val="20"/>
          <w:szCs w:val="20"/>
          <w:color w:val="auto"/>
        </w:rPr>
      </w:pPr>
    </w:p>
    <w:p>
      <w:pPr>
        <w:ind w:right="240" w:firstLine="130"/>
        <w:spacing w:after="0" w:line="312" w:lineRule="auto"/>
        <w:rPr>
          <w:sz w:val="20"/>
          <w:szCs w:val="20"/>
          <w:color w:val="auto"/>
        </w:rPr>
      </w:pPr>
      <w:r>
        <w:rPr>
          <w:rFonts w:ascii="Arial" w:cs="Arial" w:eastAsia="Arial" w:hAnsi="Arial"/>
          <w:sz w:val="16"/>
          <w:szCs w:val="16"/>
          <w:i w:val="1"/>
          <w:iCs w:val="1"/>
          <w:color w:val="auto"/>
        </w:rPr>
        <w:t>John P. Harton</w:t>
      </w:r>
      <w:r>
        <w:rPr>
          <w:rFonts w:ascii="Arial" w:cs="Arial" w:eastAsia="Arial" w:hAnsi="Arial"/>
          <w:sz w:val="16"/>
          <w:szCs w:val="16"/>
          <w:color w:val="auto"/>
        </w:rPr>
        <w:t>, 51, has been Senior Vice President - Marketing since March 2014. Prior to that, he held the position of Vice President – Marketing since</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2010. He joined the Company in April 1996 as a loan officer, held a series of successively more responsible positions, and was promoted to Vice President - Originations in June 2007. Mr. Harton was previously a branch manager with American General Finance from 1990 to March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300" w:firstLine="130"/>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80" w:type="dxa"/>
            <w:vAlign w:val="bottom"/>
            <w:gridSpan w:val="2"/>
          </w:tcPr>
          <w:p>
            <w:pPr>
              <w:ind w:left="500"/>
              <w:spacing w:after="0"/>
              <w:rPr>
                <w:sz w:val="20"/>
                <w:szCs w:val="20"/>
                <w:color w:val="auto"/>
              </w:rPr>
            </w:pPr>
            <w:r>
              <w:rPr>
                <w:rFonts w:ascii="Arial" w:cs="Arial" w:eastAsia="Arial" w:hAnsi="Arial"/>
                <w:sz w:val="18"/>
                <w:szCs w:val="18"/>
                <w:b w:val="1"/>
                <w:bCs w:val="1"/>
                <w:color w:val="auto"/>
              </w:rPr>
              <w:t>High</w:t>
            </w:r>
          </w:p>
        </w:tc>
        <w:tc>
          <w:tcPr>
            <w:tcW w:w="1500" w:type="dxa"/>
            <w:vAlign w:val="bottom"/>
            <w:gridSpan w:val="2"/>
          </w:tcPr>
          <w:p>
            <w:pPr>
              <w:ind w:left="520"/>
              <w:spacing w:after="0"/>
              <w:rPr>
                <w:sz w:val="20"/>
                <w:szCs w:val="20"/>
                <w:color w:val="auto"/>
              </w:rPr>
            </w:pPr>
            <w:r>
              <w:rPr>
                <w:rFonts w:ascii="Arial" w:cs="Arial" w:eastAsia="Arial" w:hAnsi="Arial"/>
                <w:sz w:val="18"/>
                <w:szCs w:val="18"/>
                <w:b w:val="1"/>
                <w:bCs w:val="1"/>
                <w:color w:val="auto"/>
              </w:rPr>
              <w:t>Low</w:t>
            </w:r>
          </w:p>
        </w:tc>
      </w:tr>
      <w:tr>
        <w:trPr>
          <w:trHeight w:val="210"/>
        </w:trPr>
        <w:tc>
          <w:tcPr>
            <w:tcW w:w="53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1 - March 31, 2014</w:t>
            </w:r>
          </w:p>
        </w:tc>
        <w:tc>
          <w:tcPr>
            <w:tcW w:w="1360" w:type="dxa"/>
            <w:vAlign w:val="bottom"/>
            <w:tcBorders>
              <w:top w:val="single" w:sz="8" w:color="auto"/>
            </w:tcBorders>
            <w:shd w:val="clear" w:color="auto" w:fill="EEEEEE"/>
          </w:tcPr>
          <w:p>
            <w:pPr>
              <w:jc w:val="right"/>
              <w:ind w:right="370"/>
              <w:spacing w:after="0"/>
              <w:rPr>
                <w:sz w:val="20"/>
                <w:szCs w:val="20"/>
                <w:color w:val="auto"/>
              </w:rPr>
            </w:pPr>
            <w:r>
              <w:rPr>
                <w:rFonts w:ascii="Arial" w:cs="Arial" w:eastAsia="Arial" w:hAnsi="Arial"/>
                <w:sz w:val="18"/>
                <w:szCs w:val="18"/>
                <w:color w:val="auto"/>
              </w:rPr>
              <w:t>9.64</w:t>
            </w:r>
          </w:p>
        </w:tc>
        <w:tc>
          <w:tcPr>
            <w:tcW w:w="32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ind w:right="390"/>
              <w:spacing w:after="0"/>
              <w:rPr>
                <w:sz w:val="20"/>
                <w:szCs w:val="20"/>
                <w:color w:val="auto"/>
              </w:rPr>
            </w:pPr>
            <w:r>
              <w:rPr>
                <w:rFonts w:ascii="Arial" w:cs="Arial" w:eastAsia="Arial" w:hAnsi="Arial"/>
                <w:sz w:val="18"/>
                <w:szCs w:val="18"/>
                <w:color w:val="auto"/>
              </w:rPr>
              <w:t>6.63</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April 1 - June 30, 2014</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7.99</w:t>
            </w:r>
          </w:p>
        </w:tc>
        <w:tc>
          <w:tcPr>
            <w:tcW w:w="32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2014</w:t>
            </w:r>
          </w:p>
        </w:tc>
        <w:tc>
          <w:tcPr>
            <w:tcW w:w="13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EEEEEE"/>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October 1 - December 31, 2014</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8"/>
                <w:szCs w:val="18"/>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January 1 - March 31, 2015</w:t>
            </w:r>
          </w:p>
        </w:tc>
        <w:tc>
          <w:tcPr>
            <w:tcW w:w="13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7.60</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EEEEEE"/>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April 1 - June 30, 2015</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7.38</w:t>
            </w:r>
          </w:p>
        </w:tc>
        <w:tc>
          <w:tcPr>
            <w:tcW w:w="320" w:type="dxa"/>
            <w:vAlign w:val="bottom"/>
          </w:tcPr>
          <w:p>
            <w:pPr>
              <w:spacing w:after="0"/>
              <w:rPr>
                <w:sz w:val="18"/>
                <w:szCs w:val="18"/>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r>
      <w:tr>
        <w:trPr>
          <w:trHeight w:val="216"/>
        </w:trPr>
        <w:tc>
          <w:tcPr>
            <w:tcW w:w="536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2015</w:t>
            </w:r>
          </w:p>
        </w:tc>
        <w:tc>
          <w:tcPr>
            <w:tcW w:w="136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6.55</w:t>
            </w:r>
          </w:p>
        </w:tc>
        <w:tc>
          <w:tcPr>
            <w:tcW w:w="3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EEEEEE"/>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October 1 - December 31, 2015</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5.81</w:t>
            </w:r>
          </w:p>
        </w:tc>
        <w:tc>
          <w:tcPr>
            <w:tcW w:w="32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20" w:firstLine="130"/>
        <w:spacing w:after="0" w:line="257" w:lineRule="auto"/>
        <w:rPr>
          <w:sz w:val="20"/>
          <w:szCs w:val="20"/>
          <w:color w:val="auto"/>
        </w:rPr>
      </w:pPr>
      <w:r>
        <w:rPr>
          <w:rFonts w:ascii="Arial" w:cs="Arial" w:eastAsia="Arial" w:hAnsi="Arial"/>
          <w:sz w:val="18"/>
          <w:szCs w:val="18"/>
          <w:color w:val="auto"/>
        </w:rPr>
        <w:t>As of January 1, 2016, there were 37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2015:</w:t>
      </w:r>
    </w:p>
    <w:p>
      <w:pPr>
        <w:sectPr>
          <w:pgSz w:w="11900" w:h="16838" w:orient="portrait"/>
          <w:cols w:equalWidth="0" w:num="1">
            <w:col w:w="11320"/>
          </w:cols>
          <w:pgMar w:left="24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591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23" w:lineRule="exact"/>
        <w:rPr>
          <w:sz w:val="20"/>
          <w:szCs w:val="20"/>
          <w:color w:val="auto"/>
        </w:rPr>
      </w:pPr>
    </w:p>
    <w:p>
      <w:pPr>
        <w:ind w:right="560"/>
        <w:spacing w:after="0" w:line="279"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 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remaining</w:t>
            </w:r>
          </w:p>
        </w:tc>
      </w:tr>
      <w:tr>
        <w:trPr>
          <w:trHeight w:val="216"/>
        </w:trPr>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to be issued upon</w:t>
            </w:r>
          </w:p>
        </w:tc>
        <w:tc>
          <w:tcPr>
            <w:tcW w:w="100" w:type="dxa"/>
            <w:vAlign w:val="bottom"/>
          </w:tcPr>
          <w:p>
            <w:pPr>
              <w:spacing w:after="0"/>
              <w:rPr>
                <w:sz w:val="18"/>
                <w:szCs w:val="18"/>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 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 future</w:t>
            </w:r>
          </w:p>
        </w:tc>
      </w:tr>
      <w:tr>
        <w:trPr>
          <w:trHeight w:val="216"/>
        </w:trPr>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exercise price of</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issuance under</w:t>
            </w:r>
          </w:p>
        </w:tc>
      </w:tr>
      <w:tr>
        <w:trPr>
          <w:trHeight w:val="216"/>
        </w:trPr>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outstanding options,</w:t>
            </w:r>
          </w:p>
        </w:tc>
        <w:tc>
          <w:tcPr>
            <w:tcW w:w="19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outstanding options,</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equity</w:t>
            </w:r>
          </w:p>
        </w:tc>
      </w:tr>
      <w:tr>
        <w:trPr>
          <w:trHeight w:val="234"/>
        </w:trPr>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360" w:type="dxa"/>
            <w:vAlign w:val="bottom"/>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34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438"/>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11,227,624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4.66</w:t>
            </w:r>
          </w:p>
        </w:tc>
        <w:tc>
          <w:tcPr>
            <w:tcW w:w="1580" w:type="dxa"/>
            <w:vAlign w:val="bottom"/>
          </w:tcPr>
          <w:p>
            <w:pPr>
              <w:jc w:val="right"/>
              <w:spacing w:after="0"/>
              <w:rPr>
                <w:sz w:val="20"/>
                <w:szCs w:val="20"/>
                <w:color w:val="auto"/>
              </w:rPr>
            </w:pPr>
            <w:r>
              <w:rPr>
                <w:rFonts w:ascii="Arial" w:cs="Arial" w:eastAsia="Arial" w:hAnsi="Arial"/>
                <w:sz w:val="18"/>
                <w:szCs w:val="18"/>
                <w:color w:val="auto"/>
              </w:rPr>
              <w:t>5,476,181</w:t>
            </w:r>
          </w:p>
        </w:tc>
      </w:tr>
      <w:tr>
        <w:trPr>
          <w:trHeight w:val="230"/>
        </w:trPr>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11,227,624</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5,476,181</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-471170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-179705</wp:posOffset>
            </wp:positionV>
            <wp:extent cx="72466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920" w:space="720"/>
            <w:col w:w="5680"/>
          </w:cols>
          <w:pgMar w:left="240" w:top="688"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2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7"/>
              </w:rPr>
              <w:t>Issuer Purchases of Equity Securities in the Fourth Quarter</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Total Number of</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Purchased as</w:t>
            </w:r>
          </w:p>
        </w:tc>
        <w:tc>
          <w:tcPr>
            <w:tcW w:w="3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Part of Publicly</w:t>
            </w:r>
          </w:p>
        </w:tc>
        <w:tc>
          <w:tcPr>
            <w:tcW w:w="3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1"/>
              </w:rPr>
              <w:t>Average Price</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Announced Plans</w:t>
            </w:r>
          </w:p>
        </w:tc>
        <w:tc>
          <w:tcPr>
            <w:tcW w:w="3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ind w:left="1920"/>
              <w:spacing w:after="0"/>
              <w:rPr>
                <w:sz w:val="20"/>
                <w:szCs w:val="20"/>
                <w:color w:val="auto"/>
              </w:rPr>
            </w:pPr>
            <w:r>
              <w:rPr>
                <w:rFonts w:ascii="Arial" w:cs="Arial" w:eastAsia="Arial" w:hAnsi="Arial"/>
                <w:sz w:val="18"/>
                <w:szCs w:val="18"/>
                <w:b w:val="1"/>
                <w:bCs w:val="1"/>
                <w:color w:val="auto"/>
              </w:rPr>
              <w:t>Period(1)</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Shares Purchased</w:t>
            </w:r>
          </w:p>
        </w:tc>
        <w:tc>
          <w:tcPr>
            <w:tcW w:w="10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Paid per Share</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or Programs(2)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October 2015</w:t>
            </w:r>
          </w:p>
        </w:tc>
        <w:tc>
          <w:tcPr>
            <w:tcW w:w="3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220,544</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5.25</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220,544</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6,981,718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November 2015</w:t>
            </w:r>
          </w:p>
        </w:tc>
        <w:tc>
          <w:tcPr>
            <w:tcW w:w="3500" w:type="dxa"/>
            <w:vAlign w:val="bottom"/>
            <w:gridSpan w:val="4"/>
          </w:tcPr>
          <w:p>
            <w:pPr>
              <w:jc w:val="right"/>
              <w:ind w:right="340"/>
              <w:spacing w:after="0"/>
              <w:rPr>
                <w:sz w:val="20"/>
                <w:szCs w:val="20"/>
                <w:color w:val="auto"/>
              </w:rPr>
            </w:pPr>
            <w:r>
              <w:rPr>
                <w:rFonts w:ascii="Arial" w:cs="Arial" w:eastAsia="Arial" w:hAnsi="Arial"/>
                <w:sz w:val="18"/>
                <w:szCs w:val="18"/>
                <w:color w:val="auto"/>
              </w:rPr>
              <w:t>198,160</w:t>
            </w:r>
          </w:p>
        </w:tc>
        <w:tc>
          <w:tcPr>
            <w:tcW w:w="100" w:type="dxa"/>
            <w:vAlign w:val="bottom"/>
          </w:tcPr>
          <w:p>
            <w:pPr>
              <w:spacing w:after="0"/>
              <w:rPr>
                <w:sz w:val="18"/>
                <w:szCs w:val="18"/>
                <w:color w:val="auto"/>
              </w:rPr>
            </w:pPr>
          </w:p>
        </w:tc>
        <w:tc>
          <w:tcPr>
            <w:tcW w:w="1640" w:type="dxa"/>
            <w:vAlign w:val="bottom"/>
            <w:gridSpan w:val="2"/>
          </w:tcPr>
          <w:p>
            <w:pPr>
              <w:jc w:val="right"/>
              <w:ind w:right="360"/>
              <w:spacing w:after="0"/>
              <w:rPr>
                <w:sz w:val="20"/>
                <w:szCs w:val="20"/>
                <w:color w:val="auto"/>
              </w:rPr>
            </w:pPr>
            <w:r>
              <w:rPr>
                <w:rFonts w:ascii="Arial" w:cs="Arial" w:eastAsia="Arial" w:hAnsi="Arial"/>
                <w:sz w:val="18"/>
                <w:szCs w:val="18"/>
                <w:color w:val="auto"/>
              </w:rPr>
              <w:t>5.21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198,160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5,950,238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EEEEEE"/>
          </w:tcPr>
          <w:p>
            <w:pPr>
              <w:spacing w:after="0"/>
              <w:rPr>
                <w:sz w:val="20"/>
                <w:szCs w:val="20"/>
                <w:color w:val="auto"/>
              </w:rPr>
            </w:pPr>
            <w:r>
              <w:rPr>
                <w:rFonts w:ascii="Arial" w:cs="Arial" w:eastAsia="Arial" w:hAnsi="Arial"/>
                <w:sz w:val="18"/>
                <w:szCs w:val="18"/>
                <w:color w:val="auto"/>
              </w:rPr>
              <w:t>December 2015</w:t>
            </w:r>
          </w:p>
        </w:tc>
        <w:tc>
          <w:tcPr>
            <w:tcW w:w="3500" w:type="dxa"/>
            <w:vAlign w:val="bottom"/>
            <w:gridSpan w:val="4"/>
            <w:shd w:val="clear" w:color="auto" w:fill="EEEEEE"/>
          </w:tcPr>
          <w:p>
            <w:pPr>
              <w:jc w:val="right"/>
              <w:ind w:right="340"/>
              <w:spacing w:after="0"/>
              <w:rPr>
                <w:sz w:val="20"/>
                <w:szCs w:val="20"/>
                <w:color w:val="auto"/>
              </w:rPr>
            </w:pPr>
            <w:r>
              <w:rPr>
                <w:rFonts w:ascii="Arial" w:cs="Arial" w:eastAsia="Arial" w:hAnsi="Arial"/>
                <w:sz w:val="18"/>
                <w:szCs w:val="18"/>
                <w:color w:val="auto"/>
              </w:rPr>
              <w:t>176,217</w:t>
            </w:r>
          </w:p>
        </w:tc>
        <w:tc>
          <w:tcPr>
            <w:tcW w:w="10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5.05</w:t>
            </w:r>
          </w:p>
        </w:tc>
        <w:tc>
          <w:tcPr>
            <w:tcW w:w="13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176,217</w:t>
            </w:r>
          </w:p>
        </w:tc>
        <w:tc>
          <w:tcPr>
            <w:tcW w:w="3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5,060,683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594,921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36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594,921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ind w:left="260" w:right="100" w:hanging="252"/>
        <w:spacing w:after="0" w:line="254" w:lineRule="auto"/>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Through December 31, 2015, our board of directors had authorized the purchase of up to $44.5 million of our outstanding securities, which program was first announced in our annual report for the year 2002, filed on March 26, 2003. All purchases described in the table above were under the plan announced in March 2003, which has no fixed expiration date. As of December 31, 2015, we have purchased $5.0 million in principal amount of debt securities and $34.4 million of our common stock representing 10,864,589 shares.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20" w:firstLine="130"/>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Income Data" and "Balance Sheet Data" have been derived from our 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consolidated financial statements and notes thereto that are included in this report, and in our quarterly and periodic filings.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As of and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w w:val="95"/>
              </w:rPr>
              <w:t>(in thousands, except per share data)</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1"/>
              </w:rPr>
              <w:t>For the Year Ended December 31,</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Income Data</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349,912</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286,734</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231,330</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175,314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Servicing fees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2,305</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13,419</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12,146</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10,405</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9,589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Gain on cancellation of debt</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10,947</w:t>
            </w:r>
          </w:p>
        </w:tc>
        <w:tc>
          <w:tcPr>
            <w:tcW w:w="3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363,650</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300,256</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255,775</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187,208</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143,131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Employee costs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59,556</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50,129</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42,960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35,573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42,349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39,262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32,753</w:t>
            </w: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29,531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57,745</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50,395</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58,179</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79,422</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142,618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108,228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76,869</w:t>
            </w: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33,495</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15,508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Provision for contingent liabilities</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7,841</w:t>
            </w:r>
          </w:p>
        </w:tc>
        <w:tc>
          <w:tcPr>
            <w:tcW w:w="34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EEEEEE"/>
            </w:tcBorders>
          </w:tcPr>
          <w:p>
            <w:pPr>
              <w:ind w:left="34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302,268</w:t>
            </w:r>
          </w:p>
        </w:tc>
        <w:tc>
          <w:tcPr>
            <w:tcW w:w="1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218,602</w:t>
            </w:r>
          </w:p>
        </w:tc>
        <w:tc>
          <w:tcPr>
            <w:tcW w:w="3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178,021</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157,591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EEEEEE"/>
          </w:tcPr>
          <w:p>
            <w:pPr>
              <w:spacing w:after="0" w:line="182" w:lineRule="exact"/>
              <w:rPr>
                <w:sz w:val="20"/>
                <w:szCs w:val="20"/>
                <w:color w:val="auto"/>
              </w:rPr>
            </w:pPr>
            <w:r>
              <w:rPr>
                <w:rFonts w:ascii="Arial" w:cs="Arial" w:eastAsia="Arial" w:hAnsi="Arial"/>
                <w:sz w:val="18"/>
                <w:szCs w:val="18"/>
                <w:color w:val="auto"/>
              </w:rPr>
              <w:t>Income (loss) before income tax</w:t>
            </w:r>
          </w:p>
        </w:tc>
        <w:tc>
          <w:tcPr>
            <w:tcW w:w="30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expense (benefit)</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61,382</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52,242</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37,173</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9,187</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26,701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22,726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16,168</w:t>
            </w:r>
          </w:p>
        </w:tc>
        <w:tc>
          <w:tcPr>
            <w:tcW w:w="3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(60,221)</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34,681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29,516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21,005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69,408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Earnings (loss) per share-basic</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1.34</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1.18</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0.98</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Earnings (loss) per share-diluted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0.92</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0.67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Pre-tax income (loss) per share-basic</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2.37</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2.09</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1.73</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0.47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8"/>
              </w:rPr>
              <w:t>Pre-tax income (loss) per share-diluted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180"/>
              <w:spacing w:after="0"/>
              <w:rPr>
                <w:sz w:val="20"/>
                <w:szCs w:val="20"/>
                <w:color w:val="auto"/>
              </w:rPr>
            </w:pPr>
            <w:r>
              <w:rPr>
                <w:rFonts w:ascii="Arial" w:cs="Arial" w:eastAsia="Arial" w:hAnsi="Arial"/>
                <w:sz w:val="18"/>
                <w:szCs w:val="18"/>
                <w:color w:val="auto"/>
              </w:rPr>
              <w:t>(2)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Weighted average shares outstanding-</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25,935</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25,040</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21,538</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19,473</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8"/>
              </w:rPr>
              <w:t>Weighted average shares outstanding-</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31,584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32,032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31,574</w:t>
            </w:r>
          </w:p>
        </w:tc>
        <w:tc>
          <w:tcPr>
            <w:tcW w:w="3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25,478</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2,142,907</w:t>
            </w:r>
          </w:p>
        </w:tc>
        <w:tc>
          <w:tcPr>
            <w:tcW w:w="1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1,833,058</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1,396,366</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1,037,620</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890,050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Cash and cash equivalents .</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19,322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17,859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22,112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12,966</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106,054</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175,382</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132,284</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104,445</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1,909,490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1,534,496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1,115,437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744,749</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506,279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value</w:t>
            </w:r>
          </w:p>
        </w:tc>
        <w:tc>
          <w:tcPr>
            <w:tcW w:w="300" w:type="dxa"/>
            <w:vAlign w:val="bottom"/>
            <w:shd w:val="clear" w:color="auto" w:fill="EEEEEE"/>
          </w:tcPr>
          <w:p>
            <w:pPr>
              <w:spacing w:after="0"/>
              <w:rPr>
                <w:sz w:val="20"/>
                <w:szCs w:val="20"/>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1,664</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14,476</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59,668</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196,461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56,839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9,452</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21,731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9,042</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12,327</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19,096</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13,773</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at fair value</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13,117</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57,107</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1,598,496</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792,497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583,065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15,138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15,233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57,701</w:t>
            </w: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73,416</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79,094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161,159</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127,253</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94,602</w:t>
            </w: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61,311</w:t>
            </w: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(14,207)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320" w:hanging="332"/>
        <w:spacing w:after="0" w:line="274"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Income (loss) before income tax benefit divided by weighted average shares outstanding-basic. Included for illustrative purposes because some of the periods presented include significant income tax benefits while other periods have neither income tax benefit nor expense.</w:t>
      </w:r>
    </w:p>
    <w:p>
      <w:pPr>
        <w:ind w:left="340" w:right="200" w:hanging="332"/>
        <w:spacing w:after="0" w:line="290"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Income (loss) before income tax benefit divided by weighted average shares outstanding-diluted. Included for illustrative purposes because some of the periods presented include significant income tax benefits while other periods have neither income tax benefit nor expense.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As of and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7"/>
              </w:rPr>
              <w:t>(dollars in thousands, except per</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7"/>
          </w:tcPr>
          <w:p>
            <w:pPr>
              <w:jc w:val="center"/>
              <w:ind w:left="610"/>
              <w:spacing w:after="0"/>
              <w:rPr>
                <w:sz w:val="20"/>
                <w:szCs w:val="20"/>
                <w:color w:val="auto"/>
              </w:rPr>
            </w:pPr>
            <w:r>
              <w:rPr>
                <w:rFonts w:ascii="Arial" w:cs="Arial" w:eastAsia="Arial" w:hAnsi="Arial"/>
                <w:sz w:val="18"/>
                <w:szCs w:val="18"/>
                <w:b w:val="1"/>
                <w:bCs w:val="1"/>
                <w:color w:val="auto"/>
                <w:w w:val="91"/>
              </w:rPr>
              <w:t>For the Year Ended December 31,</w:t>
            </w: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00" w:type="dxa"/>
            <w:vAlign w:val="bottom"/>
          </w:tcPr>
          <w:p>
            <w:pPr>
              <w:ind w:left="960"/>
              <w:spacing w:after="0"/>
              <w:rPr>
                <w:sz w:val="20"/>
                <w:szCs w:val="20"/>
                <w:color w:val="auto"/>
              </w:rPr>
            </w:pPr>
            <w:r>
              <w:rPr>
                <w:rFonts w:ascii="Arial" w:cs="Arial" w:eastAsia="Arial" w:hAnsi="Arial"/>
                <w:sz w:val="18"/>
                <w:szCs w:val="18"/>
                <w:b w:val="1"/>
                <w:bCs w:val="1"/>
                <w:color w:val="auto"/>
              </w:rPr>
              <w:t>share data)</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3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5"/>
              </w:rPr>
              <w:t>Contract Purchases/Securitizations</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Automobile contract purchases</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1,060,538</w:t>
            </w:r>
          </w:p>
        </w:tc>
        <w:tc>
          <w:tcPr>
            <w:tcW w:w="3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944,944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764,087</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551,742</w:t>
            </w:r>
          </w:p>
        </w:tc>
        <w:tc>
          <w:tcPr>
            <w:tcW w:w="3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284,236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Automobile contract securitized</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795,000</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924,000</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778,000</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603,500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335,593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Managed Portfolio Data</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Contracts held by consolidated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2,030,652</w:t>
            </w:r>
          </w:p>
        </w:tc>
        <w:tc>
          <w:tcPr>
            <w:tcW w:w="3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1,640,536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1,207,694</w:t>
            </w:r>
          </w:p>
        </w:tc>
        <w:tc>
          <w:tcPr>
            <w:tcW w:w="260" w:type="dxa"/>
            <w:vAlign w:val="bottom"/>
          </w:tcPr>
          <w:p>
            <w:pPr>
              <w:spacing w:after="0"/>
              <w:rPr>
                <w:sz w:val="20"/>
                <w:szCs w:val="20"/>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807,888</w:t>
            </w:r>
          </w:p>
        </w:tc>
        <w:tc>
          <w:tcPr>
            <w:tcW w:w="3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546,018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Fireside portfolio</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1,664</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14,786</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60,804</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172,167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Contracts held by non-consolidated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4,074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17,298</w:t>
            </w: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42,971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portfolios (1)</w:t>
            </w:r>
          </w:p>
        </w:tc>
        <w:tc>
          <w:tcPr>
            <w:tcW w:w="1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1,330</w:t>
            </w:r>
          </w:p>
        </w:tc>
        <w:tc>
          <w:tcPr>
            <w:tcW w:w="2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4,868</w:t>
            </w:r>
          </w:p>
        </w:tc>
        <w:tc>
          <w:tcPr>
            <w:tcW w:w="12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11,585</w:t>
            </w:r>
          </w:p>
        </w:tc>
        <w:tc>
          <w:tcPr>
            <w:tcW w:w="3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managed portfolio</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2,031,136</w:t>
            </w:r>
          </w:p>
        </w:tc>
        <w:tc>
          <w:tcPr>
            <w:tcW w:w="36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1,643,920</w:t>
            </w:r>
          </w:p>
        </w:tc>
        <w:tc>
          <w:tcPr>
            <w:tcW w:w="38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1,231,422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897,575</w:t>
            </w:r>
          </w:p>
        </w:tc>
        <w:tc>
          <w:tcPr>
            <w:tcW w:w="3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794,649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Average managed portfolio</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1,847,945</w:t>
            </w: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1,422,870</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1,081,936</w:t>
            </w: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822,571</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711,725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Weighted average fixed effective</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interest rate (total managed</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portfolio) (2)</w:t>
            </w:r>
          </w:p>
        </w:tc>
        <w:tc>
          <w:tcPr>
            <w:tcW w:w="1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EEEEEE"/>
          </w:tcPr>
          <w:p>
            <w:pPr>
              <w:spacing w:after="0"/>
              <w:rPr>
                <w:sz w:val="20"/>
                <w:szCs w:val="20"/>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3"/>
              </w:rPr>
              <w:t>Core operating expense (% of average</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managed portfolio) (3)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Allowance for finance credit losses</w:t>
            </w:r>
          </w:p>
        </w:tc>
        <w:tc>
          <w:tcPr>
            <w:tcW w:w="40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75,603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61,460</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39,626</w:t>
            </w:r>
          </w:p>
        </w:tc>
        <w:tc>
          <w:tcPr>
            <w:tcW w:w="48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19,594</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10,351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5"/>
              </w:rPr>
              <w:t>Allowance for finance credit losses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of total contracts held by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consolidated subsidiaries)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Aggregate allowance for finance credit</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losses and repossessions in</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inventory</w:t>
            </w:r>
          </w:p>
        </w:tc>
        <w:tc>
          <w:tcPr>
            <w:tcW w:w="40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102,557</w:t>
            </w:r>
          </w:p>
        </w:tc>
        <w:tc>
          <w:tcPr>
            <w:tcW w:w="360" w:type="dxa"/>
            <w:vAlign w:val="bottom"/>
            <w:shd w:val="clear" w:color="auto" w:fill="EEEEEE"/>
          </w:tcPr>
          <w:p>
            <w:pPr>
              <w:spacing w:after="0"/>
              <w:rPr>
                <w:sz w:val="20"/>
                <w:szCs w:val="20"/>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79,289</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54,405</w:t>
            </w:r>
          </w:p>
        </w:tc>
        <w:tc>
          <w:tcPr>
            <w:tcW w:w="48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25,978</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15,116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4"/>
              </w:rPr>
              <w:t>Aggregate allowance for finance credit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w w:val="98"/>
              </w:rPr>
              <w:t>losses (% of total repossessions in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inventory and contracts held by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consolidated subsidiaries)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Total delinquencies (2) (4)</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2"/>
              </w:rPr>
              <w:t>Total delinquencies and repossessions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rPr>
              <w:t>(2) (4)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Arial" w:cs="Arial" w:eastAsia="Arial" w:hAnsi="Arial"/>
                <w:sz w:val="18"/>
                <w:szCs w:val="18"/>
                <w:color w:val="auto"/>
              </w:rPr>
              <w:t>Net charge-offs (2) (5)</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Receivables related to the third party portfolios, on which we earn only a servicing fee.</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receivables related to the third party portfolios.</w:t>
      </w:r>
    </w:p>
    <w:p>
      <w:pPr>
        <w:spacing w:after="0" w:line="9" w:lineRule="exact"/>
        <w:rPr>
          <w:rFonts w:ascii="Arial" w:cs="Arial" w:eastAsia="Arial" w:hAnsi="Arial"/>
          <w:sz w:val="18"/>
          <w:szCs w:val="18"/>
          <w:i w:val="1"/>
          <w:iCs w:val="1"/>
          <w:color w:val="auto"/>
        </w:rPr>
      </w:pPr>
    </w:p>
    <w:p>
      <w:pPr>
        <w:ind w:left="340" w:right="120" w:hanging="332"/>
        <w:spacing w:after="0" w:line="250"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expenses excluding provision for credit losses, provision for contingent liabilities, interest expense, loss on sale of receivables and impairment loss on residual assets.</w:t>
      </w:r>
    </w:p>
    <w:p>
      <w:pPr>
        <w:ind w:left="340" w:right="200" w:hanging="332"/>
        <w:spacing w:after="0" w:line="250"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 further information regarding delinquencies and the managed portfolio, see the table captioned </w:t>
      </w:r>
      <w:r>
        <w:rPr>
          <w:rFonts w:ascii="Arial" w:cs="Arial" w:eastAsia="Arial" w:hAnsi="Arial"/>
          <w:sz w:val="18"/>
          <w:szCs w:val="18"/>
          <w:color w:val="auto"/>
        </w:rPr>
        <w:t>"</w:t>
      </w:r>
      <w:r>
        <w:rPr>
          <w:rFonts w:ascii="Arial" w:cs="Arial" w:eastAsia="Arial" w:hAnsi="Arial"/>
          <w:sz w:val="18"/>
          <w:szCs w:val="18"/>
          <w:i w:val="1"/>
          <w:iCs w:val="1"/>
          <w:color w:val="auto"/>
        </w:rPr>
        <w:t>Delinquency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1, Part I of this report and the notes to that table.</w:t>
      </w:r>
    </w:p>
    <w:p>
      <w:pPr>
        <w:ind w:left="340" w:right="160" w:hanging="332"/>
        <w:spacing w:after="0" w:line="254"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consolidated financial statements. For further information regarding charge-offs, see the table captioned </w:t>
      </w:r>
      <w:r>
        <w:rPr>
          <w:rFonts w:ascii="Arial" w:cs="Arial" w:eastAsia="Arial" w:hAnsi="Arial"/>
          <w:sz w:val="18"/>
          <w:szCs w:val="18"/>
          <w:color w:val="auto"/>
        </w:rPr>
        <w:t>"</w:t>
      </w:r>
      <w:r>
        <w:rPr>
          <w:rFonts w:ascii="Arial" w:cs="Arial" w:eastAsia="Arial" w:hAnsi="Arial"/>
          <w:sz w:val="18"/>
          <w:szCs w:val="18"/>
          <w:i w:val="1"/>
          <w:iCs w:val="1"/>
          <w:color w:val="auto"/>
        </w:rPr>
        <w:t>Net Charge-Off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I, Part I of this report and the notes to that table.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380" w:firstLine="130"/>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130"/>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ind w:right="20" w:firstLine="130"/>
        <w:spacing w:after="0" w:line="271" w:lineRule="auto"/>
        <w:rPr>
          <w:sz w:val="20"/>
          <w:szCs w:val="20"/>
          <w:color w:val="auto"/>
        </w:rPr>
      </w:pPr>
      <w:r>
        <w:rPr>
          <w:rFonts w:ascii="Arial" w:cs="Arial" w:eastAsia="Arial" w:hAnsi="Arial"/>
          <w:sz w:val="17"/>
          <w:szCs w:val="17"/>
          <w:color w:val="auto"/>
        </w:rPr>
        <w:t>We were incorporated and began our operations in March 1991. From inception through December 31, 2015, we have purchased a total of approximately $12.4 billion of automobile contracts from dealers.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From 2008 through 2010, our managed portfolio decreased each year due to our strategy of limiting contract purchases to conserve our liquidity during the financial crisis and resulting recession, as discussed further below. However, since October 2009, we have gradually increased contract purchase which, in turn, has resulted in recent increases in our managed portfolio. Recent contract purchase volumes and managed portfolio levels are shown in the table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9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460"/>
              <w:spacing w:after="0" w:line="191" w:lineRule="exact"/>
              <w:rPr>
                <w:sz w:val="20"/>
                <w:szCs w:val="20"/>
                <w:color w:val="auto"/>
              </w:rPr>
            </w:pPr>
            <w:r>
              <w:rPr>
                <w:rFonts w:ascii="Arial" w:cs="Arial" w:eastAsia="Arial" w:hAnsi="Arial"/>
                <w:sz w:val="18"/>
                <w:szCs w:val="18"/>
                <w:b w:val="1"/>
                <w:bCs w:val="1"/>
                <w:color w:val="auto"/>
                <w:w w:val="90"/>
              </w:rPr>
              <w:t>Contracts</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2"/>
              </w:rPr>
              <w:t>Managed</w:t>
            </w:r>
          </w:p>
        </w:tc>
        <w:tc>
          <w:tcPr>
            <w:tcW w:w="12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Purchased in</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Portfolio at</w:t>
            </w:r>
          </w:p>
        </w:tc>
      </w:tr>
      <w:tr>
        <w:trPr>
          <w:trHeight w:val="234"/>
        </w:trPr>
        <w:tc>
          <w:tcPr>
            <w:tcW w:w="3400" w:type="dxa"/>
            <w:vAlign w:val="bottom"/>
          </w:tcPr>
          <w:p>
            <w:pPr>
              <w:ind w:left="152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Period</w:t>
            </w: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Period End</w:t>
            </w:r>
          </w:p>
        </w:tc>
      </w:tr>
      <w:tr>
        <w:trPr>
          <w:trHeight w:val="210"/>
        </w:trPr>
        <w:tc>
          <w:tcPr>
            <w:tcW w:w="3400" w:type="dxa"/>
            <w:vAlign w:val="bottom"/>
            <w:tcBorders>
              <w:top w:val="single" w:sz="8" w:color="auto"/>
            </w:tcBorders>
            <w:shd w:val="clear" w:color="auto" w:fill="EEEEEE"/>
          </w:tcPr>
          <w:p>
            <w:pPr>
              <w:ind w:left="1520"/>
              <w:spacing w:after="0"/>
              <w:rPr>
                <w:sz w:val="20"/>
                <w:szCs w:val="20"/>
                <w:color w:val="auto"/>
              </w:rPr>
            </w:pPr>
            <w:r>
              <w:rPr>
                <w:rFonts w:ascii="Arial" w:cs="Arial" w:eastAsia="Arial" w:hAnsi="Arial"/>
                <w:sz w:val="18"/>
                <w:szCs w:val="18"/>
                <w:color w:val="333333"/>
              </w:rPr>
              <w:t>2008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3400" w:type="dxa"/>
            <w:vAlign w:val="bottom"/>
          </w:tcPr>
          <w:p>
            <w:pPr>
              <w:ind w:left="1520"/>
              <w:spacing w:after="0"/>
              <w:rPr>
                <w:sz w:val="20"/>
                <w:szCs w:val="20"/>
                <w:color w:val="auto"/>
              </w:rPr>
            </w:pPr>
            <w:r>
              <w:rPr>
                <w:rFonts w:ascii="Arial" w:cs="Arial" w:eastAsia="Arial" w:hAnsi="Arial"/>
                <w:sz w:val="18"/>
                <w:szCs w:val="18"/>
                <w:color w:val="333333"/>
              </w:rPr>
              <w:t>2009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8,599</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1,194,722</w:t>
            </w:r>
          </w:p>
        </w:tc>
        <w:tc>
          <w:tcPr>
            <w:tcW w:w="120" w:type="dxa"/>
            <w:vAlign w:val="bottom"/>
          </w:tcPr>
          <w:p>
            <w:pPr>
              <w:spacing w:after="0"/>
              <w:rPr>
                <w:sz w:val="18"/>
                <w:szCs w:val="18"/>
                <w:color w:val="auto"/>
              </w:rPr>
            </w:pPr>
          </w:p>
        </w:tc>
      </w:tr>
      <w:tr>
        <w:trPr>
          <w:trHeight w:val="216"/>
        </w:trPr>
        <w:tc>
          <w:tcPr>
            <w:tcW w:w="3400" w:type="dxa"/>
            <w:vAlign w:val="bottom"/>
            <w:shd w:val="clear" w:color="auto" w:fill="EEEEEE"/>
          </w:tcPr>
          <w:p>
            <w:pPr>
              <w:ind w:left="1520"/>
              <w:spacing w:after="0"/>
              <w:rPr>
                <w:sz w:val="20"/>
                <w:szCs w:val="20"/>
                <w:color w:val="auto"/>
              </w:rPr>
            </w:pPr>
            <w:r>
              <w:rPr>
                <w:rFonts w:ascii="Arial" w:cs="Arial" w:eastAsia="Arial" w:hAnsi="Arial"/>
                <w:sz w:val="18"/>
                <w:szCs w:val="18"/>
                <w:color w:val="333333"/>
              </w:rPr>
              <w:t>2010</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113,023</w:t>
            </w:r>
          </w:p>
        </w:tc>
        <w:tc>
          <w:tcPr>
            <w:tcW w:w="1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20" w:type="dxa"/>
            <w:vAlign w:val="bottom"/>
            <w:shd w:val="clear" w:color="auto" w:fill="EEEEEE"/>
          </w:tcPr>
          <w:p>
            <w:pPr>
              <w:spacing w:after="0"/>
              <w:rPr>
                <w:sz w:val="18"/>
                <w:szCs w:val="18"/>
                <w:color w:val="auto"/>
              </w:rPr>
            </w:pPr>
          </w:p>
        </w:tc>
      </w:tr>
      <w:tr>
        <w:trPr>
          <w:trHeight w:val="216"/>
        </w:trPr>
        <w:tc>
          <w:tcPr>
            <w:tcW w:w="3400" w:type="dxa"/>
            <w:vAlign w:val="bottom"/>
          </w:tcPr>
          <w:p>
            <w:pPr>
              <w:ind w:left="1520"/>
              <w:spacing w:after="0"/>
              <w:rPr>
                <w:sz w:val="20"/>
                <w:szCs w:val="20"/>
                <w:color w:val="auto"/>
              </w:rPr>
            </w:pPr>
            <w:r>
              <w:rPr>
                <w:rFonts w:ascii="Arial" w:cs="Arial" w:eastAsia="Arial" w:hAnsi="Arial"/>
                <w:sz w:val="18"/>
                <w:szCs w:val="18"/>
                <w:color w:val="333333"/>
              </w:rPr>
              <w:t>2011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284,236</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794,649</w:t>
            </w:r>
          </w:p>
        </w:tc>
        <w:tc>
          <w:tcPr>
            <w:tcW w:w="120" w:type="dxa"/>
            <w:vAlign w:val="bottom"/>
          </w:tcPr>
          <w:p>
            <w:pPr>
              <w:spacing w:after="0"/>
              <w:rPr>
                <w:sz w:val="18"/>
                <w:szCs w:val="18"/>
                <w:color w:val="auto"/>
              </w:rPr>
            </w:pPr>
          </w:p>
        </w:tc>
      </w:tr>
      <w:tr>
        <w:trPr>
          <w:trHeight w:val="216"/>
        </w:trPr>
        <w:tc>
          <w:tcPr>
            <w:tcW w:w="3400" w:type="dxa"/>
            <w:vAlign w:val="bottom"/>
            <w:shd w:val="clear" w:color="auto" w:fill="EEEEEE"/>
          </w:tcPr>
          <w:p>
            <w:pPr>
              <w:ind w:left="1520"/>
              <w:spacing w:after="0"/>
              <w:rPr>
                <w:sz w:val="20"/>
                <w:szCs w:val="20"/>
                <w:color w:val="auto"/>
              </w:rPr>
            </w:pPr>
            <w:r>
              <w:rPr>
                <w:rFonts w:ascii="Arial" w:cs="Arial" w:eastAsia="Arial" w:hAnsi="Arial"/>
                <w:sz w:val="18"/>
                <w:szCs w:val="18"/>
                <w:color w:val="333333"/>
              </w:rPr>
              <w:t>2012</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551,742</w:t>
            </w:r>
          </w:p>
        </w:tc>
        <w:tc>
          <w:tcPr>
            <w:tcW w:w="1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20" w:type="dxa"/>
            <w:vAlign w:val="bottom"/>
            <w:shd w:val="clear" w:color="auto" w:fill="EEEEEE"/>
          </w:tcPr>
          <w:p>
            <w:pPr>
              <w:spacing w:after="0"/>
              <w:rPr>
                <w:sz w:val="18"/>
                <w:szCs w:val="18"/>
                <w:color w:val="auto"/>
              </w:rPr>
            </w:pPr>
          </w:p>
        </w:tc>
      </w:tr>
      <w:tr>
        <w:trPr>
          <w:trHeight w:val="216"/>
        </w:trPr>
        <w:tc>
          <w:tcPr>
            <w:tcW w:w="3400" w:type="dxa"/>
            <w:vAlign w:val="bottom"/>
          </w:tcPr>
          <w:p>
            <w:pPr>
              <w:ind w:left="1520"/>
              <w:spacing w:after="0"/>
              <w:rPr>
                <w:sz w:val="20"/>
                <w:szCs w:val="20"/>
                <w:color w:val="auto"/>
              </w:rPr>
            </w:pPr>
            <w:r>
              <w:rPr>
                <w:rFonts w:ascii="Arial" w:cs="Arial" w:eastAsia="Arial" w:hAnsi="Arial"/>
                <w:sz w:val="18"/>
                <w:szCs w:val="18"/>
                <w:color w:val="333333"/>
              </w:rPr>
              <w:t>2013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764,087</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1,231,422</w:t>
            </w:r>
          </w:p>
        </w:tc>
        <w:tc>
          <w:tcPr>
            <w:tcW w:w="120" w:type="dxa"/>
            <w:vAlign w:val="bottom"/>
          </w:tcPr>
          <w:p>
            <w:pPr>
              <w:spacing w:after="0"/>
              <w:rPr>
                <w:sz w:val="18"/>
                <w:szCs w:val="18"/>
                <w:color w:val="auto"/>
              </w:rPr>
            </w:pPr>
          </w:p>
        </w:tc>
      </w:tr>
      <w:tr>
        <w:trPr>
          <w:trHeight w:val="216"/>
        </w:trPr>
        <w:tc>
          <w:tcPr>
            <w:tcW w:w="3400" w:type="dxa"/>
            <w:vAlign w:val="bottom"/>
            <w:shd w:val="clear" w:color="auto" w:fill="EEEEEE"/>
          </w:tcPr>
          <w:p>
            <w:pPr>
              <w:ind w:left="1520"/>
              <w:spacing w:after="0"/>
              <w:rPr>
                <w:sz w:val="20"/>
                <w:szCs w:val="20"/>
                <w:color w:val="auto"/>
              </w:rPr>
            </w:pPr>
            <w:r>
              <w:rPr>
                <w:rFonts w:ascii="Arial" w:cs="Arial" w:eastAsia="Arial" w:hAnsi="Arial"/>
                <w:sz w:val="18"/>
                <w:szCs w:val="18"/>
                <w:color w:val="333333"/>
              </w:rPr>
              <w:t>2014</w:t>
            </w: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944,944</w:t>
            </w:r>
          </w:p>
        </w:tc>
        <w:tc>
          <w:tcPr>
            <w:tcW w:w="1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20" w:type="dxa"/>
            <w:vAlign w:val="bottom"/>
            <w:shd w:val="clear" w:color="auto" w:fill="EEEEEE"/>
          </w:tcPr>
          <w:p>
            <w:pPr>
              <w:spacing w:after="0"/>
              <w:rPr>
                <w:sz w:val="18"/>
                <w:szCs w:val="18"/>
                <w:color w:val="auto"/>
              </w:rPr>
            </w:pPr>
          </w:p>
        </w:tc>
      </w:tr>
      <w:tr>
        <w:trPr>
          <w:trHeight w:val="230"/>
        </w:trPr>
        <w:tc>
          <w:tcPr>
            <w:tcW w:w="3400" w:type="dxa"/>
            <w:vAlign w:val="bottom"/>
          </w:tcPr>
          <w:p>
            <w:pPr>
              <w:ind w:left="1520"/>
              <w:spacing w:after="0"/>
              <w:rPr>
                <w:sz w:val="20"/>
                <w:szCs w:val="20"/>
                <w:color w:val="auto"/>
              </w:rPr>
            </w:pPr>
            <w:r>
              <w:rPr>
                <w:rFonts w:ascii="Arial" w:cs="Arial" w:eastAsia="Arial" w:hAnsi="Arial"/>
                <w:sz w:val="18"/>
                <w:szCs w:val="18"/>
                <w:color w:val="333333"/>
              </w:rPr>
              <w:t>2015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1,060,538</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2,031,136</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both"/>
        <w:ind w:right="160" w:firstLine="130"/>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ind w:right="260" w:firstLine="130"/>
        <w:spacing w:after="0" w:line="259" w:lineRule="auto"/>
        <w:rPr>
          <w:sz w:val="20"/>
          <w:szCs w:val="20"/>
          <w:color w:val="auto"/>
        </w:rPr>
      </w:pPr>
      <w:r>
        <w:rPr>
          <w:rFonts w:ascii="Arial" w:cs="Arial" w:eastAsia="Arial" w:hAnsi="Arial"/>
          <w:sz w:val="18"/>
          <w:szCs w:val="18"/>
          <w:color w:val="auto"/>
        </w:rPr>
        <w:t>The programs we offer to dealers are intended to serve a wide range of sub-prime customers, primarily through franchised new car dealers.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ind w:right="140" w:firstLine="162"/>
        <w:spacing w:after="0" w:line="276" w:lineRule="auto"/>
        <w:rPr>
          <w:sz w:val="20"/>
          <w:szCs w:val="20"/>
          <w:color w:val="auto"/>
        </w:rPr>
      </w:pPr>
      <w:r>
        <w:rPr>
          <w:rFonts w:ascii="Arial" w:cs="Arial" w:eastAsia="Arial" w:hAnsi="Arial"/>
          <w:sz w:val="17"/>
          <w:szCs w:val="17"/>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w:t>
      </w:r>
    </w:p>
    <w:p>
      <w:pPr>
        <w:spacing w:after="0" w:line="173" w:lineRule="exact"/>
        <w:rPr>
          <w:sz w:val="20"/>
          <w:szCs w:val="20"/>
          <w:color w:val="auto"/>
        </w:rPr>
      </w:pPr>
    </w:p>
    <w:p>
      <w:pPr>
        <w:ind w:right="280" w:firstLine="162"/>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ind w:firstLine="130"/>
        <w:spacing w:after="0" w:line="273" w:lineRule="auto"/>
        <w:rPr>
          <w:sz w:val="20"/>
          <w:szCs w:val="20"/>
          <w:color w:val="auto"/>
        </w:rPr>
      </w:pPr>
      <w:r>
        <w:rPr>
          <w:rFonts w:ascii="Arial" w:cs="Arial" w:eastAsia="Arial" w:hAnsi="Arial"/>
          <w:sz w:val="17"/>
          <w:szCs w:val="17"/>
          <w:color w:val="auto"/>
        </w:rPr>
        <w:t>Since 1994 we have conducted 68 term securitizations of automobile contracts that we purchased from dealers. As of December 31, 2015, 18 of those securitizations are active and all but one are structured as secured financings. The exception is our September 2010 transaction, which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w:t>
      </w:r>
    </w:p>
    <w:p>
      <w:pPr>
        <w:spacing w:after="0" w:line="178"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520" w:type="dxa"/>
            <w:vAlign w:val="bottom"/>
            <w:gridSpan w:val="5"/>
          </w:tcPr>
          <w:p>
            <w:pPr>
              <w:spacing w:after="0"/>
              <w:rPr>
                <w:sz w:val="20"/>
                <w:szCs w:val="20"/>
                <w:color w:val="auto"/>
              </w:rPr>
            </w:pPr>
            <w:r>
              <w:rPr>
                <w:rFonts w:ascii="Arial" w:cs="Arial" w:eastAsia="Arial" w:hAnsi="Arial"/>
                <w:sz w:val="18"/>
                <w:szCs w:val="18"/>
                <w:color w:val="auto"/>
                <w:w w:val="94"/>
              </w:rPr>
              <w:t>Our history of term securitizations, over the most recent ten years, is summarized in the table below:</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360" w:type="dxa"/>
            <w:vAlign w:val="bottom"/>
            <w:gridSpan w:val="4"/>
          </w:tcPr>
          <w:p>
            <w:pPr>
              <w:ind w:left="1780"/>
              <w:spacing w:after="0"/>
              <w:rPr>
                <w:sz w:val="20"/>
                <w:szCs w:val="20"/>
                <w:color w:val="auto"/>
              </w:rPr>
            </w:pPr>
            <w:r>
              <w:rPr>
                <w:rFonts w:ascii="Arial" w:cs="Arial" w:eastAsia="Arial" w:hAnsi="Arial"/>
                <w:sz w:val="18"/>
                <w:szCs w:val="18"/>
                <w:b w:val="1"/>
                <w:bCs w:val="1"/>
                <w:color w:val="auto"/>
                <w:w w:val="97"/>
              </w:rPr>
              <w:t>Recent Asset-Backed Term Securitizations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2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4"/>
          </w:tcPr>
          <w:p>
            <w:pPr>
              <w:ind w:left="11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1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Number of Term</w:t>
            </w:r>
          </w:p>
        </w:tc>
        <w:tc>
          <w:tcPr>
            <w:tcW w:w="1360" w:type="dxa"/>
            <w:vAlign w:val="bottom"/>
            <w:tcBorders>
              <w:top w:val="single" w:sz="8" w:color="auto"/>
            </w:tcBorders>
          </w:tcPr>
          <w:p>
            <w:pPr>
              <w:jc w:val="right"/>
              <w:ind w:right="170"/>
              <w:spacing w:after="0" w:line="191" w:lineRule="exact"/>
              <w:rPr>
                <w:sz w:val="20"/>
                <w:szCs w:val="20"/>
                <w:color w:val="auto"/>
              </w:rPr>
            </w:pPr>
            <w:r>
              <w:rPr>
                <w:rFonts w:ascii="Arial" w:cs="Arial" w:eastAsia="Arial" w:hAnsi="Arial"/>
                <w:sz w:val="18"/>
                <w:szCs w:val="18"/>
                <w:b w:val="1"/>
                <w:bCs w:val="1"/>
                <w:color w:val="auto"/>
              </w:rPr>
              <w:t>Amount of</w:t>
            </w:r>
          </w:p>
        </w:tc>
        <w:tc>
          <w:tcPr>
            <w:tcW w:w="120" w:type="dxa"/>
            <w:vAlign w:val="bottom"/>
          </w:tcPr>
          <w:p>
            <w:pPr>
              <w:spacing w:after="0"/>
              <w:rPr>
                <w:sz w:val="16"/>
                <w:szCs w:val="16"/>
                <w:color w:val="auto"/>
              </w:rPr>
            </w:pPr>
          </w:p>
        </w:tc>
      </w:tr>
      <w:tr>
        <w:trPr>
          <w:trHeight w:val="234"/>
        </w:trPr>
        <w:tc>
          <w:tcPr>
            <w:tcW w:w="2160" w:type="dxa"/>
            <w:vAlign w:val="bottom"/>
          </w:tcPr>
          <w:p>
            <w:pPr>
              <w:spacing w:after="0"/>
              <w:rPr>
                <w:sz w:val="20"/>
                <w:szCs w:val="20"/>
                <w:color w:val="auto"/>
              </w:rPr>
            </w:pPr>
          </w:p>
        </w:tc>
        <w:tc>
          <w:tcPr>
            <w:tcW w:w="3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Period</w:t>
            </w:r>
          </w:p>
        </w:tc>
        <w:tc>
          <w:tcPr>
            <w:tcW w:w="1940" w:type="dxa"/>
            <w:vAlign w:val="bottom"/>
            <w:gridSpan w:val="2"/>
          </w:tcPr>
          <w:p>
            <w:pPr>
              <w:ind w:left="240"/>
              <w:spacing w:after="0"/>
              <w:rPr>
                <w:sz w:val="20"/>
                <w:szCs w:val="20"/>
                <w:color w:val="auto"/>
              </w:rPr>
            </w:pPr>
            <w:r>
              <w:rPr>
                <w:rFonts w:ascii="Arial" w:cs="Arial" w:eastAsia="Arial" w:hAnsi="Arial"/>
                <w:sz w:val="18"/>
                <w:szCs w:val="18"/>
                <w:b w:val="1"/>
                <w:bCs w:val="1"/>
                <w:color w:val="auto"/>
              </w:rPr>
              <w:t>Securitizations</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Receivables</w:t>
            </w:r>
          </w:p>
        </w:tc>
      </w:tr>
      <w:tr>
        <w:trPr>
          <w:trHeight w:val="210"/>
        </w:trPr>
        <w:tc>
          <w:tcPr>
            <w:tcW w:w="2160" w:type="dxa"/>
            <w:vAlign w:val="bottom"/>
          </w:tcPr>
          <w:p>
            <w:pPr>
              <w:spacing w:after="0"/>
              <w:rPr>
                <w:sz w:val="18"/>
                <w:szCs w:val="18"/>
                <w:color w:val="auto"/>
              </w:rPr>
            </w:pPr>
          </w:p>
        </w:tc>
        <w:tc>
          <w:tcPr>
            <w:tcW w:w="32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ind w:left="1520"/>
              <w:spacing w:after="0"/>
              <w:rPr>
                <w:sz w:val="20"/>
                <w:szCs w:val="20"/>
                <w:color w:val="auto"/>
              </w:rPr>
            </w:pPr>
            <w:r>
              <w:rPr>
                <w:rFonts w:ascii="Arial" w:cs="Arial" w:eastAsia="Arial" w:hAnsi="Arial"/>
                <w:sz w:val="15"/>
                <w:szCs w:val="15"/>
                <w:color w:val="auto"/>
                <w:w w:val="71"/>
              </w:rPr>
              <w:t>4</w:t>
            </w:r>
          </w:p>
        </w:tc>
        <w:tc>
          <w:tcPr>
            <w:tcW w:w="3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20" w:type="dxa"/>
            <w:vAlign w:val="bottom"/>
            <w:tcBorders>
              <w:top w:val="single" w:sz="8" w:color="EEEEEE"/>
            </w:tcBorders>
            <w:shd w:val="clear" w:color="auto" w:fill="EEEEEE"/>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18"/>
                <w:szCs w:val="18"/>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1,118,097</w:t>
            </w:r>
          </w:p>
        </w:tc>
      </w:tr>
      <w:tr>
        <w:trPr>
          <w:trHeight w:val="216"/>
        </w:trPr>
        <w:tc>
          <w:tcPr>
            <w:tcW w:w="2160" w:type="dxa"/>
            <w:vAlign w:val="bottom"/>
          </w:tcPr>
          <w:p>
            <w:pPr>
              <w:spacing w:after="0"/>
              <w:rPr>
                <w:sz w:val="18"/>
                <w:szCs w:val="18"/>
                <w:color w:val="auto"/>
              </w:rPr>
            </w:pPr>
          </w:p>
        </w:tc>
        <w:tc>
          <w:tcPr>
            <w:tcW w:w="32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2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ind w:left="1520"/>
              <w:spacing w:after="0"/>
              <w:rPr>
                <w:sz w:val="20"/>
                <w:szCs w:val="20"/>
                <w:color w:val="auto"/>
              </w:rPr>
            </w:pPr>
            <w:r>
              <w:rPr>
                <w:rFonts w:ascii="Arial" w:cs="Arial" w:eastAsia="Arial" w:hAnsi="Arial"/>
                <w:sz w:val="18"/>
                <w:szCs w:val="18"/>
                <w:color w:val="auto"/>
              </w:rPr>
              <w:t>2</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509,022</w:t>
            </w:r>
          </w:p>
        </w:tc>
      </w:tr>
      <w:tr>
        <w:trPr>
          <w:trHeight w:val="216"/>
        </w:trPr>
        <w:tc>
          <w:tcPr>
            <w:tcW w:w="21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200" w:type="dxa"/>
            <w:vAlign w:val="bottom"/>
          </w:tcPr>
          <w:p>
            <w:pPr>
              <w:spacing w:after="0"/>
              <w:rPr>
                <w:sz w:val="18"/>
                <w:szCs w:val="18"/>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spacing w:after="0"/>
              <w:rPr>
                <w:sz w:val="18"/>
                <w:szCs w:val="18"/>
                <w:color w:val="auto"/>
              </w:rPr>
            </w:pPr>
          </w:p>
        </w:tc>
        <w:tc>
          <w:tcPr>
            <w:tcW w:w="32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2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ind w:left="1520"/>
              <w:spacing w:after="0"/>
              <w:rPr>
                <w:sz w:val="20"/>
                <w:szCs w:val="20"/>
                <w:color w:val="auto"/>
              </w:rPr>
            </w:pPr>
            <w:r>
              <w:rPr>
                <w:rFonts w:ascii="Arial" w:cs="Arial" w:eastAsia="Arial" w:hAnsi="Arial"/>
                <w:sz w:val="18"/>
                <w:szCs w:val="18"/>
                <w:color w:val="auto"/>
              </w:rPr>
              <w:t>1</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103,772</w:t>
            </w:r>
          </w:p>
        </w:tc>
      </w:tr>
      <w:tr>
        <w:trPr>
          <w:trHeight w:val="216"/>
        </w:trPr>
        <w:tc>
          <w:tcPr>
            <w:tcW w:w="21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333333"/>
                <w:w w:val="89"/>
              </w:rPr>
              <w:t>2011</w:t>
            </w:r>
          </w:p>
        </w:tc>
        <w:tc>
          <w:tcPr>
            <w:tcW w:w="200" w:type="dxa"/>
            <w:vAlign w:val="bottom"/>
          </w:tcPr>
          <w:p>
            <w:pPr>
              <w:spacing w:after="0"/>
              <w:rPr>
                <w:sz w:val="18"/>
                <w:szCs w:val="18"/>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335,593</w:t>
            </w:r>
          </w:p>
        </w:tc>
      </w:tr>
      <w:tr>
        <w:trPr>
          <w:trHeight w:val="216"/>
        </w:trPr>
        <w:tc>
          <w:tcPr>
            <w:tcW w:w="2160" w:type="dxa"/>
            <w:vAlign w:val="bottom"/>
          </w:tcPr>
          <w:p>
            <w:pPr>
              <w:spacing w:after="0"/>
              <w:rPr>
                <w:sz w:val="18"/>
                <w:szCs w:val="18"/>
                <w:color w:val="auto"/>
              </w:rPr>
            </w:pPr>
          </w:p>
        </w:tc>
        <w:tc>
          <w:tcPr>
            <w:tcW w:w="32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2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ind w:left="152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603,500</w:t>
            </w:r>
          </w:p>
        </w:tc>
      </w:tr>
      <w:tr>
        <w:trPr>
          <w:trHeight w:val="216"/>
        </w:trPr>
        <w:tc>
          <w:tcPr>
            <w:tcW w:w="216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200" w:type="dxa"/>
            <w:vAlign w:val="bottom"/>
          </w:tcPr>
          <w:p>
            <w:pPr>
              <w:spacing w:after="0"/>
              <w:rPr>
                <w:sz w:val="18"/>
                <w:szCs w:val="18"/>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778,000</w:t>
            </w:r>
          </w:p>
        </w:tc>
      </w:tr>
      <w:tr>
        <w:trPr>
          <w:trHeight w:val="216"/>
        </w:trPr>
        <w:tc>
          <w:tcPr>
            <w:tcW w:w="2160" w:type="dxa"/>
            <w:vAlign w:val="bottom"/>
          </w:tcPr>
          <w:p>
            <w:pPr>
              <w:spacing w:after="0"/>
              <w:rPr>
                <w:sz w:val="18"/>
                <w:szCs w:val="18"/>
                <w:color w:val="auto"/>
              </w:rPr>
            </w:pPr>
          </w:p>
        </w:tc>
        <w:tc>
          <w:tcPr>
            <w:tcW w:w="32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200" w:type="dxa"/>
            <w:vAlign w:val="bottom"/>
            <w:shd w:val="clear" w:color="auto" w:fill="EEEEEE"/>
          </w:tcPr>
          <w:p>
            <w:pPr>
              <w:spacing w:after="0"/>
              <w:rPr>
                <w:sz w:val="18"/>
                <w:szCs w:val="18"/>
                <w:color w:val="auto"/>
              </w:rPr>
            </w:pPr>
          </w:p>
        </w:tc>
        <w:tc>
          <w:tcPr>
            <w:tcW w:w="1940" w:type="dxa"/>
            <w:vAlign w:val="bottom"/>
            <w:gridSpan w:val="2"/>
            <w:shd w:val="clear" w:color="auto" w:fill="EEEEEE"/>
          </w:tcPr>
          <w:p>
            <w:pPr>
              <w:ind w:left="1520"/>
              <w:spacing w:after="0"/>
              <w:rPr>
                <w:sz w:val="20"/>
                <w:szCs w:val="20"/>
                <w:color w:val="auto"/>
              </w:rPr>
            </w:pPr>
            <w:r>
              <w:rPr>
                <w:rFonts w:ascii="Arial" w:cs="Arial" w:eastAsia="Arial" w:hAnsi="Arial"/>
                <w:sz w:val="18"/>
                <w:szCs w:val="18"/>
                <w:color w:val="auto"/>
              </w:rPr>
              <w:t>4</w:t>
            </w:r>
          </w:p>
        </w:tc>
        <w:tc>
          <w:tcPr>
            <w:tcW w:w="14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923,000</w:t>
            </w:r>
          </w:p>
        </w:tc>
      </w:tr>
      <w:tr>
        <w:trPr>
          <w:trHeight w:val="230"/>
        </w:trPr>
        <w:tc>
          <w:tcPr>
            <w:tcW w:w="216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0"/>
                <w:szCs w:val="20"/>
                <w:color w:val="auto"/>
              </w:rPr>
            </w:pPr>
          </w:p>
        </w:tc>
        <w:tc>
          <w:tcPr>
            <w:tcW w:w="1940" w:type="dxa"/>
            <w:vAlign w:val="bottom"/>
            <w:gridSpan w:val="2"/>
          </w:tcPr>
          <w:p>
            <w:pPr>
              <w:ind w:left="1520"/>
              <w:spacing w:after="0"/>
              <w:rPr>
                <w:sz w:val="20"/>
                <w:szCs w:val="20"/>
                <w:color w:val="auto"/>
              </w:rPr>
            </w:pPr>
            <w:r>
              <w:rPr>
                <w:rFonts w:ascii="Arial" w:cs="Arial" w:eastAsia="Arial" w:hAnsi="Arial"/>
                <w:sz w:val="18"/>
                <w:szCs w:val="18"/>
                <w:color w:val="auto"/>
              </w:rPr>
              <w:t>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795,000</w:t>
            </w:r>
          </w:p>
        </w:tc>
      </w:tr>
    </w:tbl>
    <w:p>
      <w:pPr>
        <w:spacing w:after="0" w:line="187" w:lineRule="exact"/>
        <w:rPr>
          <w:sz w:val="20"/>
          <w:szCs w:val="20"/>
          <w:color w:val="auto"/>
        </w:rPr>
      </w:pPr>
    </w:p>
    <w:p>
      <w:pPr>
        <w:ind w:right="100" w:firstLine="130"/>
        <w:spacing w:after="0" w:line="277"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As of December 31, 2015 we have one such residual interest financing outstanding.</w:t>
      </w:r>
    </w:p>
    <w:p>
      <w:pPr>
        <w:spacing w:after="0" w:line="170" w:lineRule="exact"/>
        <w:rPr>
          <w:sz w:val="20"/>
          <w:szCs w:val="20"/>
          <w:color w:val="auto"/>
        </w:rPr>
      </w:pPr>
    </w:p>
    <w:p>
      <w:pPr>
        <w:ind w:right="40" w:firstLine="130"/>
        <w:spacing w:after="0" w:line="297" w:lineRule="auto"/>
        <w:rPr>
          <w:sz w:val="20"/>
          <w:szCs w:val="20"/>
          <w:color w:val="auto"/>
        </w:rPr>
      </w:pPr>
      <w:r>
        <w:rPr>
          <w:rFonts w:ascii="Arial" w:cs="Arial" w:eastAsia="Arial" w:hAnsi="Arial"/>
          <w:sz w:val="16"/>
          <w:szCs w:val="16"/>
          <w:color w:val="auto"/>
        </w:rPr>
        <w:t>Since December 2011, our securitizations have included a pre-funding feature in which a portion of the receivables to be sold to the trust were not delivered until after the initial closing. As a result, our restricted cash balance at December 31, 2014 included $85.3 million from the proceeds of the sale of the asset-backed notes that were held by the trustee pending delivery of the remaining receivables. In January 2015, the requisite additional receivables were delivered to the trust and we received the related restricted cash, most of which was used to repay amounts owed under our warehouse credit facilities. Since we did not do a securitization in December of 2015, there was no related amount of restricted cash representing the pre-funding proceeds.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ind w:right="60" w:firstLine="162"/>
        <w:spacing w:after="0" w:line="255"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2014, extending the revolving period to August 2016, and adding an amortization period through August 2017. In April 2015, we entered into a new $100 million facility, with a revolving period extending to April 2017, followed by an amortization period to April 2019. In November 2015, we entered into a third $100 million facility, with a revolving period extending to November 2017, followed by an amortization period to November 2019.</w:t>
      </w:r>
    </w:p>
    <w:p>
      <w:pPr>
        <w:spacing w:after="0" w:line="193" w:lineRule="exact"/>
        <w:rPr>
          <w:sz w:val="20"/>
          <w:szCs w:val="20"/>
          <w:color w:val="auto"/>
        </w:rPr>
      </w:pPr>
    </w:p>
    <w:p>
      <w:pPr>
        <w:ind w:right="80" w:firstLine="130"/>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right="20" w:firstLine="130"/>
        <w:spacing w:after="0" w:line="257" w:lineRule="auto"/>
        <w:rPr>
          <w:sz w:val="20"/>
          <w:szCs w:val="20"/>
          <w:color w:val="auto"/>
        </w:rPr>
      </w:pPr>
      <w:r>
        <w:rPr>
          <w:rFonts w:ascii="Arial" w:cs="Arial" w:eastAsia="Arial" w:hAnsi="Arial"/>
          <w:sz w:val="18"/>
          <w:szCs w:val="18"/>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 Retained</w:t>
      </w:r>
    </w:p>
    <w:p>
      <w:pPr>
        <w:spacing w:after="0" w:line="229" w:lineRule="exact"/>
        <w:rPr>
          <w:sz w:val="20"/>
          <w:szCs w:val="20"/>
          <w:color w:val="auto"/>
        </w:rPr>
      </w:pPr>
    </w:p>
    <w:p>
      <w:pPr>
        <w:ind w:right="140" w:firstLine="130"/>
        <w:spacing w:after="0" w:line="291" w:lineRule="auto"/>
        <w:rPr>
          <w:sz w:val="20"/>
          <w:szCs w:val="20"/>
          <w:color w:val="auto"/>
        </w:rPr>
      </w:pPr>
      <w:r>
        <w:rPr>
          <w:rFonts w:ascii="Arial" w:cs="Arial" w:eastAsia="Arial" w:hAnsi="Arial"/>
          <w:sz w:val="16"/>
          <w:szCs w:val="16"/>
          <w:color w:val="auto"/>
        </w:rPr>
        <w:t>Whether a sale of automobile contracts in connection with a securitization or warehouse credit facility is treated as a secured financing or as a sale for financial accounting purposes, the related special-purpose subsidiary may be unable to release excess cash to us if the credit performance of the related automobile contracts falls short of pre-determined standards. Such releases represent a material portion of the cash that we use to fund our operations. An unexpected deterioration in the performance of such automobile contracts could therefore have a material adverse effect on both our liquidity and our results of operations, regardless of whether such automobile contracts are treated for financial accounting purposes as having been sold or as having been financed. For estimation of the magnitude of such risk, it may be appropriate to look to the size of our "managed portfolio," which represents both financed and sold automobile contracts as to which such credit risk is retained. Our managed portfolio as of December 31, 2015 was approximately $2,031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60" w:firstLine="130"/>
        <w:spacing w:after="0" w:line="286" w:lineRule="auto"/>
        <w:rPr>
          <w:sz w:val="20"/>
          <w:szCs w:val="20"/>
          <w:color w:val="auto"/>
        </w:rPr>
      </w:pPr>
      <w:r>
        <w:rPr>
          <w:rFonts w:ascii="Arial" w:cs="Arial" w:eastAsia="Arial" w:hAnsi="Arial"/>
          <w:sz w:val="17"/>
          <w:szCs w:val="17"/>
          <w:color w:val="auto"/>
        </w:rPr>
        <w:t>We believe that our accounting policies related to (a) Allowance for Finance Credit Losses, (b) Amortization of Deferred Origination Costs and Acquisition Fees, (c) Term Securitizations, (d) Finance Receivables and Related Debt Measured at Fair Value (e) Accrual for Contingent Liabilities and (f) Income Taxes are the most critical to understanding and evaluating our reported financial results. Such policies are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firstLine="130"/>
        <w:spacing w:after="0" w:line="253" w:lineRule="auto"/>
        <w:rPr>
          <w:sz w:val="20"/>
          <w:szCs w:val="20"/>
          <w:color w:val="auto"/>
        </w:rPr>
      </w:pPr>
      <w:r>
        <w:rPr>
          <w:rFonts w:ascii="Arial" w:cs="Arial" w:eastAsia="Arial" w:hAnsi="Arial"/>
          <w:sz w:val="18"/>
          <w:szCs w:val="18"/>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purchase, we begin establishing the allowance in the month of acquisition and increase it over the subsequent 11 months, through a provision for credit losses charged to our consolidated statement of operations, with the goal of establishing an allowance that approximates the next 12 months of expected net losses.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ind w:right="40" w:firstLine="130"/>
        <w:spacing w:after="0" w:line="257"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historical weighted average seasoning of our total owned portfolio excluding Fireside, is summarized in the table below:</w:t>
      </w:r>
    </w:p>
    <w:p>
      <w:pPr>
        <w:spacing w:after="0" w:line="18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Weighted Average Age in Months of Owned</w:t>
            </w:r>
          </w:p>
        </w:tc>
      </w:tr>
      <w:tr>
        <w:trPr>
          <w:trHeight w:val="234"/>
        </w:trPr>
        <w:tc>
          <w:tcPr>
            <w:tcW w:w="36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34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2009</w:t>
            </w:r>
          </w:p>
        </w:tc>
        <w:tc>
          <w:tcPr>
            <w:tcW w:w="220" w:type="dxa"/>
            <w:vAlign w:val="bottom"/>
            <w:tcBorders>
              <w:top w:val="single" w:sz="8" w:color="EEEEEE"/>
            </w:tcBorders>
            <w:shd w:val="clear" w:color="auto" w:fill="EEEEEE"/>
          </w:tcPr>
          <w:p>
            <w:pPr>
              <w:spacing w:after="0"/>
              <w:rPr>
                <w:sz w:val="18"/>
                <w:szCs w:val="18"/>
                <w:color w:val="auto"/>
              </w:rPr>
            </w:pPr>
          </w:p>
        </w:tc>
        <w:tc>
          <w:tcPr>
            <w:tcW w:w="34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color w:val="333333"/>
                <w:w w:val="89"/>
              </w:rPr>
              <w:t>2010</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34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4"/>
              </w:rPr>
              <w:t>2011</w:t>
            </w:r>
          </w:p>
        </w:tc>
        <w:tc>
          <w:tcPr>
            <w:tcW w:w="220" w:type="dxa"/>
            <w:vAlign w:val="bottom"/>
            <w:shd w:val="clear" w:color="auto" w:fill="EEEEEE"/>
          </w:tcPr>
          <w:p>
            <w:pPr>
              <w:spacing w:after="0"/>
              <w:rPr>
                <w:sz w:val="18"/>
                <w:szCs w:val="18"/>
                <w:color w:val="auto"/>
              </w:rPr>
            </w:pPr>
          </w:p>
        </w:tc>
        <w:tc>
          <w:tcPr>
            <w:tcW w:w="34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27</w:t>
            </w: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color w:val="333333"/>
                <w:w w:val="89"/>
              </w:rPr>
              <w:t>2012</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34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2013</w:t>
            </w:r>
          </w:p>
        </w:tc>
        <w:tc>
          <w:tcPr>
            <w:tcW w:w="220" w:type="dxa"/>
            <w:vAlign w:val="bottom"/>
            <w:shd w:val="clear" w:color="auto" w:fill="EEEEEE"/>
          </w:tcPr>
          <w:p>
            <w:pPr>
              <w:spacing w:after="0"/>
              <w:rPr>
                <w:sz w:val="18"/>
                <w:szCs w:val="18"/>
                <w:color w:val="auto"/>
              </w:rPr>
            </w:pPr>
          </w:p>
        </w:tc>
        <w:tc>
          <w:tcPr>
            <w:tcW w:w="34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color w:val="333333"/>
                <w:w w:val="89"/>
              </w:rPr>
              <w:t>2014</w:t>
            </w:r>
          </w:p>
        </w:tc>
        <w:tc>
          <w:tcPr>
            <w:tcW w:w="2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6"/>
        </w:trPr>
        <w:tc>
          <w:tcPr>
            <w:tcW w:w="342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2015</w:t>
            </w:r>
          </w:p>
        </w:tc>
        <w:tc>
          <w:tcPr>
            <w:tcW w:w="220" w:type="dxa"/>
            <w:vAlign w:val="bottom"/>
            <w:shd w:val="clear" w:color="auto" w:fill="EEEEEE"/>
          </w:tcPr>
          <w:p>
            <w:pPr>
              <w:spacing w:after="0"/>
              <w:rPr>
                <w:sz w:val="18"/>
                <w:szCs w:val="18"/>
                <w:color w:val="auto"/>
              </w:rPr>
            </w:pPr>
          </w:p>
        </w:tc>
        <w:tc>
          <w:tcPr>
            <w:tcW w:w="34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16</w:t>
            </w:r>
          </w:p>
        </w:tc>
      </w:tr>
    </w:tbl>
    <w:p>
      <w:pPr>
        <w:spacing w:after="0" w:line="202" w:lineRule="exact"/>
        <w:rPr>
          <w:sz w:val="20"/>
          <w:szCs w:val="20"/>
          <w:color w:val="auto"/>
        </w:rPr>
      </w:pPr>
    </w:p>
    <w:p>
      <w:pPr>
        <w:ind w:firstLine="130"/>
        <w:spacing w:after="0" w:line="264"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ind w:right="340" w:firstLine="130"/>
        <w:spacing w:after="0" w:line="286"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firstLine="130"/>
        <w:spacing w:after="0" w:line="288" w:lineRule="auto"/>
        <w:rPr>
          <w:sz w:val="20"/>
          <w:szCs w:val="20"/>
          <w:color w:val="auto"/>
        </w:rPr>
      </w:pPr>
      <w:r>
        <w:rPr>
          <w:rFonts w:ascii="Arial" w:cs="Arial" w:eastAsia="Arial" w:hAnsi="Arial"/>
          <w:sz w:val="16"/>
          <w:szCs w:val="16"/>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Through 2008, we generally purchased external credit enhancement for most of our term securitizations in the form of a financial guaranty insurance policy, guaranteeing timely payment of interest and ultimate payment of principal on the senior asset-backed securities, from an insurance company. We did not execute any securitizations in 2009 due to our lack of warehouse lines of credit at that time. In our 19 most recent securitizations since 2010, we have not purchased financial guaranty insurance policies and do not expect to do so in the near future.</w:t>
      </w:r>
    </w:p>
    <w:p>
      <w:pPr>
        <w:spacing w:after="0" w:line="169" w:lineRule="exact"/>
        <w:rPr>
          <w:sz w:val="20"/>
          <w:szCs w:val="20"/>
          <w:color w:val="auto"/>
        </w:rPr>
      </w:pPr>
    </w:p>
    <w:p>
      <w:pPr>
        <w:ind w:right="20" w:firstLine="130"/>
        <w:spacing w:after="0" w:line="269" w:lineRule="auto"/>
        <w:rPr>
          <w:sz w:val="20"/>
          <w:szCs w:val="20"/>
          <w:color w:val="auto"/>
        </w:rPr>
      </w:pPr>
      <w:r>
        <w:rPr>
          <w:rFonts w:ascii="Arial" w:cs="Arial" w:eastAsia="Arial" w:hAnsi="Arial"/>
          <w:sz w:val="17"/>
          <w:szCs w:val="17"/>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6" w:name="page37"/>
    <w:bookmarkEnd w:id="36"/>
    <w:p>
      <w:pPr>
        <w:ind w:right="80" w:firstLine="130"/>
        <w:spacing w:after="0" w:line="257" w:lineRule="auto"/>
        <w:rPr>
          <w:sz w:val="20"/>
          <w:szCs w:val="20"/>
          <w:color w:val="auto"/>
        </w:rPr>
      </w:pPr>
      <w:r>
        <w:rPr>
          <w:rFonts w:ascii="Arial" w:cs="Arial" w:eastAsia="Arial" w:hAnsi="Arial"/>
          <w:sz w:val="18"/>
          <w:szCs w:val="18"/>
          <w:color w:val="auto"/>
        </w:rPr>
        <w:t>Our September 2008 securitization and the subsequent re-securitization of the remaining receivables from such transaction in September 2010 were each in substance sales of the underlying receivables, and have been treated as sales for financial accounting purposes. They differ from those treated as secured financings in that the trust to which our special-purpose subsidiaries sold the automobile contracts met the definition of a "qualified special-purpose entity" under Statement of Financial Accounting Standards No. 140 (ASC 860). As a result, assets and liabilities of those trusts are not consolidated into our consolidated balance sheet.</w:t>
      </w:r>
    </w:p>
    <w:p>
      <w:pPr>
        <w:spacing w:after="0" w:line="188" w:lineRule="exact"/>
        <w:rPr>
          <w:sz w:val="20"/>
          <w:szCs w:val="20"/>
          <w:color w:val="auto"/>
        </w:rPr>
      </w:pPr>
    </w:p>
    <w:p>
      <w:pPr>
        <w:jc w:val="both"/>
        <w:ind w:right="440" w:firstLine="130"/>
        <w:spacing w:after="0" w:line="264" w:lineRule="auto"/>
        <w:rPr>
          <w:sz w:val="20"/>
          <w:szCs w:val="20"/>
          <w:color w:val="auto"/>
        </w:rPr>
      </w:pPr>
      <w:r>
        <w:rPr>
          <w:rFonts w:ascii="Arial" w:cs="Arial" w:eastAsia="Arial" w:hAnsi="Arial"/>
          <w:sz w:val="18"/>
          <w:szCs w:val="18"/>
          <w:color w:val="auto"/>
        </w:rPr>
        <w:t>Our warehouse credit facility structures are similar to the above, except that (i) our special-purpose subsidiaries that purchase the automobile contracts pledge the automobile contracts to secure promissory notes that they issue, and (ii) no increase in the required amount of internal credit enhancement is contemplated. Our current maximum revolving warehouse financing capacity is $300 million.</w:t>
      </w:r>
    </w:p>
    <w:p>
      <w:pPr>
        <w:spacing w:after="0" w:line="181" w:lineRule="exact"/>
        <w:rPr>
          <w:sz w:val="20"/>
          <w:szCs w:val="20"/>
          <w:color w:val="auto"/>
        </w:rPr>
      </w:pPr>
    </w:p>
    <w:p>
      <w:pPr>
        <w:ind w:right="300" w:firstLine="130"/>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ind w:right="20" w:firstLine="130"/>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166" w:lineRule="exact"/>
        <w:rPr>
          <w:sz w:val="20"/>
          <w:szCs w:val="20"/>
          <w:color w:val="auto"/>
        </w:rPr>
      </w:pPr>
    </w:p>
    <w:p>
      <w:pPr>
        <w:ind w:firstLine="130"/>
        <w:spacing w:after="0" w:line="270" w:lineRule="auto"/>
        <w:rPr>
          <w:sz w:val="20"/>
          <w:szCs w:val="20"/>
          <w:color w:val="auto"/>
        </w:rPr>
      </w:pPr>
      <w:r>
        <w:rPr>
          <w:rFonts w:ascii="Arial" w:cs="Arial" w:eastAsia="Arial" w:hAnsi="Arial"/>
          <w:sz w:val="17"/>
          <w:szCs w:val="17"/>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78" w:lineRule="exact"/>
        <w:rPr>
          <w:sz w:val="20"/>
          <w:szCs w:val="20"/>
          <w:color w:val="auto"/>
        </w:rPr>
      </w:pPr>
    </w:p>
    <w:p>
      <w:pPr>
        <w:ind w:right="100" w:firstLine="130"/>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ind w:firstLine="130"/>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pledged as collateral for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jc w:val="both"/>
        <w:ind w:right="40" w:firstLine="130"/>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We have recorded a liability as of December 31, 2015, which represents our best estimate of probable incurred losses for legal contingencies.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2015, and in excess of the liability we have recorded, is from $0 to $250,000.</w:t>
      </w:r>
    </w:p>
    <w:p>
      <w:pPr>
        <w:spacing w:after="0" w:line="187" w:lineRule="exact"/>
        <w:rPr>
          <w:sz w:val="20"/>
          <w:szCs w:val="20"/>
          <w:color w:val="auto"/>
        </w:rPr>
      </w:pPr>
    </w:p>
    <w:p>
      <w:pPr>
        <w:ind w:right="80" w:firstLine="130"/>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firstLine="130"/>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20" w:firstLine="130"/>
        <w:spacing w:after="0" w:line="264"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w:t>
      </w:r>
    </w:p>
    <w:p>
      <w:pPr>
        <w:spacing w:after="0" w:line="181" w:lineRule="exact"/>
        <w:rPr>
          <w:sz w:val="20"/>
          <w:szCs w:val="20"/>
          <w:color w:val="auto"/>
        </w:rPr>
      </w:pPr>
    </w:p>
    <w:p>
      <w:pPr>
        <w:ind w:right="60" w:firstLine="130"/>
        <w:spacing w:after="0" w:line="264" w:lineRule="auto"/>
        <w:rPr>
          <w:sz w:val="20"/>
          <w:szCs w:val="20"/>
          <w:color w:val="auto"/>
        </w:rPr>
      </w:pPr>
      <w:r>
        <w:rPr>
          <w:rFonts w:ascii="Arial" w:cs="Arial" w:eastAsia="Arial" w:hAnsi="Arial"/>
          <w:sz w:val="18"/>
          <w:szCs w:val="18"/>
          <w:color w:val="auto"/>
        </w:rPr>
        <w:t>Our net deferred tax asset of $37.6 million consists of approximately $29.9 million of net U.S. federal deferred tax assets and $7.7 million of net state deferred tax assets. The major components of the deferred tax asset are $13.5 million in net operating loss carryforwards and built in losses and $24.1 million in net deductions which have not yet been taken on a tax return.</w:t>
      </w:r>
    </w:p>
    <w:p>
      <w:pPr>
        <w:spacing w:after="0" w:line="181" w:lineRule="exact"/>
        <w:rPr>
          <w:sz w:val="20"/>
          <w:szCs w:val="20"/>
          <w:color w:val="auto"/>
        </w:rPr>
      </w:pPr>
    </w:p>
    <w:p>
      <w:pPr>
        <w:ind w:right="80" w:firstLine="130"/>
        <w:spacing w:after="0" w:line="277" w:lineRule="auto"/>
        <w:rPr>
          <w:sz w:val="20"/>
          <w:szCs w:val="20"/>
          <w:color w:val="auto"/>
        </w:rPr>
      </w:pPr>
      <w:r>
        <w:rPr>
          <w:rFonts w:ascii="Arial" w:cs="Arial" w:eastAsia="Arial" w:hAnsi="Arial"/>
          <w:sz w:val="18"/>
          <w:szCs w:val="18"/>
          <w:color w:val="auto"/>
        </w:rPr>
        <w:t>As of December 31, 2015, we had net operating loss carryforwards for state income tax purposes of $67.3 million. These state net operating losses begin to expire in 2016.</w:t>
      </w:r>
    </w:p>
    <w:p>
      <w:pPr>
        <w:spacing w:after="0" w:line="170" w:lineRule="exact"/>
        <w:rPr>
          <w:sz w:val="20"/>
          <w:szCs w:val="20"/>
          <w:color w:val="auto"/>
        </w:rPr>
      </w:pPr>
    </w:p>
    <w:p>
      <w:pPr>
        <w:ind w:right="60" w:firstLine="130"/>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8" w:name="page39"/>
    <w:bookmarkEnd w:id="38"/>
    <w:p>
      <w:pPr>
        <w:ind w:right="80" w:firstLine="130"/>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ind w:right="140" w:firstLine="162"/>
        <w:spacing w:after="0" w:line="271" w:lineRule="auto"/>
        <w:rPr>
          <w:sz w:val="20"/>
          <w:szCs w:val="20"/>
          <w:color w:val="auto"/>
        </w:rPr>
      </w:pPr>
      <w:r>
        <w:rPr>
          <w:rFonts w:ascii="Arial" w:cs="Arial" w:eastAsia="Arial" w:hAnsi="Arial"/>
          <w:sz w:val="17"/>
          <w:szCs w:val="17"/>
          <w:color w:val="auto"/>
        </w:rPr>
        <w:t>We depend upon the availability of warehouse credit facilities and access to long-term financing through the issuance of asset-backed securities collateralized by our automobile contracts. Since 1994, we have completed 68 term securitizations of approximately $10.2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right="140" w:firstLine="130"/>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2015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2015 with the year ended December 31, 2014</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year ended December 31, 2015, our revenues were $363.7 million, an increase of $63.4 million, or 21.1%, from the prior year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of $300.3 million. The primary reason for the increase in revenues is an increase in interest income. Interest income for the year ended December 31, 2015 increased $63.2 million, or 22.0%, to $349.9 million from $286.7 million in the prior year. The primary reason for the increase in interest income is the increase in finance receivables held by consolidated subsidiaries, which increased from $1,642.2 million at December 31, 2014 to $2,031.1 million at December 31, 2015. The table below shows the average balances of our portfolio held by consolidated subsidiaries for the year ended December 31, 2015 and 2014: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880" w:type="dxa"/>
            <w:vAlign w:val="bottom"/>
            <w:gridSpan w:val="6"/>
          </w:tcPr>
          <w:p>
            <w:pPr>
              <w:ind w:left="460"/>
              <w:spacing w:after="0"/>
              <w:rPr>
                <w:sz w:val="20"/>
                <w:szCs w:val="20"/>
                <w:color w:val="auto"/>
              </w:rPr>
            </w:pPr>
            <w:r>
              <w:rPr>
                <w:rFonts w:ascii="Arial" w:cs="Arial" w:eastAsia="Arial" w:hAnsi="Arial"/>
                <w:sz w:val="18"/>
                <w:szCs w:val="18"/>
                <w:b w:val="1"/>
                <w:bCs w:val="1"/>
                <w:color w:val="auto"/>
              </w:rPr>
              <w:t>Average Balances for the Year Ended</w:t>
            </w: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7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7"/>
              </w:rPr>
              <w:t>December 31, 2015</w:t>
            </w: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December 31, 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Finance Receivables Owned by Consolidated Subsidiaries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2600" w:type="dxa"/>
            <w:vAlign w:val="bottom"/>
            <w:gridSpan w:val="4"/>
          </w:tcPr>
          <w:p>
            <w:pPr>
              <w:jc w:val="right"/>
              <w:ind w:right="127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CPS Originated Receivables</w:t>
            </w:r>
          </w:p>
        </w:tc>
        <w:tc>
          <w:tcPr>
            <w:tcW w:w="1180" w:type="dxa"/>
            <w:vAlign w:val="bottom"/>
            <w:shd w:val="clear" w:color="auto" w:fill="EEEEEE"/>
          </w:tcPr>
          <w:p>
            <w:pPr>
              <w:jc w:val="right"/>
              <w:ind w:right="9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1,844.5</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1,414.3</w:t>
            </w:r>
          </w:p>
        </w:tc>
        <w:tc>
          <w:tcPr>
            <w:tcW w:w="0" w:type="dxa"/>
            <w:vAlign w:val="bottom"/>
          </w:tcPr>
          <w:p>
            <w:pPr>
              <w:spacing w:after="0"/>
              <w:rPr>
                <w:sz w:val="1"/>
                <w:szCs w:val="1"/>
                <w:color w:val="auto"/>
              </w:rPr>
            </w:pPr>
          </w:p>
        </w:tc>
      </w:tr>
      <w:tr>
        <w:trPr>
          <w:trHeight w:val="230"/>
        </w:trPr>
        <w:tc>
          <w:tcPr>
            <w:tcW w:w="7540" w:type="dxa"/>
            <w:vAlign w:val="bottom"/>
          </w:tcPr>
          <w:p>
            <w:pPr>
              <w:ind w:left="200"/>
              <w:spacing w:after="0"/>
              <w:rPr>
                <w:sz w:val="20"/>
                <w:szCs w:val="20"/>
                <w:color w:val="auto"/>
              </w:rPr>
            </w:pPr>
            <w:r>
              <w:rPr>
                <w:rFonts w:ascii="Arial" w:cs="Arial" w:eastAsia="Arial" w:hAnsi="Arial"/>
                <w:sz w:val="18"/>
                <w:szCs w:val="18"/>
                <w:color w:val="auto"/>
              </w:rPr>
              <w:t>Fireside</w:t>
            </w: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75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EEEEEE"/>
          </w:tcPr>
          <w:p>
            <w:pPr>
              <w:jc w:val="right"/>
              <w:ind w:right="9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1,844.9</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162"/>
        <w:spacing w:after="0" w:line="342" w:lineRule="auto"/>
        <w:rPr>
          <w:sz w:val="20"/>
          <w:szCs w:val="20"/>
          <w:color w:val="auto"/>
        </w:rPr>
      </w:pPr>
      <w:r>
        <w:rPr>
          <w:rFonts w:ascii="Arial" w:cs="Arial" w:eastAsia="Arial" w:hAnsi="Arial"/>
          <w:sz w:val="16"/>
          <w:szCs w:val="16"/>
          <w:color w:val="auto"/>
        </w:rPr>
        <w:t>Servicing fees totaling $319,000 in the year ended December 31, 2015 decreased $1.1 million, or 76.8%, from $1.4 million in the prior year. We earn base servicing fees on three portfolios that are decreasing in size as we receive customer payments and, consequently, base servicing fees are decreasing also.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jc w:val="both"/>
        <w:ind w:right="40" w:firstLine="162"/>
        <w:spacing w:after="0" w:line="312" w:lineRule="auto"/>
        <w:rPr>
          <w:sz w:val="20"/>
          <w:szCs w:val="20"/>
          <w:color w:val="auto"/>
        </w:rPr>
      </w:pPr>
      <w:r>
        <w:rPr>
          <w:rFonts w:ascii="Arial" w:cs="Arial" w:eastAsia="Arial" w:hAnsi="Arial"/>
          <w:sz w:val="16"/>
          <w:szCs w:val="16"/>
          <w:color w:val="auto"/>
        </w:rPr>
        <w:t>At December 31, 2015, we were generating income and fees on a managed portfolio with an outstanding principal balance of $2,031.1 million (this amount includes $345,000 of automobile contracts on which we earn servicing fees and own a residual interest, compared to a managed portfolio with an outstanding principal balance of $1,643.9 million as of December 31, 2014). At December 31, 2015 and 2014, the managed portfolio composition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December 31, 2015</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8"/>
              </w:rPr>
              <w:t>Amount (1)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w w:val="98"/>
              </w:rPr>
              <w:t>Amount (1)</w:t>
            </w: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80" w:type="dxa"/>
            <w:vAlign w:val="bottom"/>
            <w:gridSpan w:val="5"/>
          </w:tcPr>
          <w:p>
            <w:pPr>
              <w:jc w:val="right"/>
              <w:ind w:right="1340"/>
              <w:spacing w:after="0"/>
              <w:rPr>
                <w:sz w:val="20"/>
                <w:szCs w:val="20"/>
                <w:color w:val="auto"/>
              </w:rPr>
            </w:pPr>
            <w:r>
              <w:rPr>
                <w:rFonts w:ascii="Arial" w:cs="Arial" w:eastAsia="Arial" w:hAnsi="Arial"/>
                <w:sz w:val="18"/>
                <w:szCs w:val="18"/>
                <w:b w:val="1"/>
                <w:bCs w:val="1"/>
                <w:color w:val="auto"/>
                <w:w w:val="96"/>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2,030.7</w:t>
            </w:r>
          </w:p>
        </w:tc>
        <w:tc>
          <w:tcPr>
            <w:tcW w:w="9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w w:val="91"/>
              </w:rPr>
              <w:t>100.0%</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1,640.9</w:t>
            </w:r>
          </w:p>
        </w:tc>
        <w:tc>
          <w:tcPr>
            <w:tcW w:w="32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Fireside</w:t>
            </w: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92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0.3</w:t>
            </w:r>
          </w:p>
        </w:tc>
        <w:tc>
          <w:tcPr>
            <w:tcW w:w="92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w:t>
            </w:r>
          </w:p>
        </w:tc>
        <w:tc>
          <w:tcPr>
            <w:tcW w:w="15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2,031.1</w:t>
            </w: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3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Other income increased by $1.3 million, or 10.5%, to $13.4 million in the year ended December 31, 2015 from $12.1 million during the prior year. The increase consists of an increase of $983,000 in fees associated with direct mail and other related products and services that we offer to our dealers, a net increase of $936,000 on payments to us for our interest in certain sold charge off portfolios and acquired third-party portfolios and an increase of $116,000 in sales tax refunds. The increases were somewhat offset by a decrease of $690,000 in payments from third-party providers of convenience fees paid by our customers for web based and other electronic payments. In addition, in the prior year period, we incurred a markdown of $72,000 in the fair value of the principal balance and related debt of the Fireside portfolio.</w:t>
      </w:r>
    </w:p>
    <w:p>
      <w:pPr>
        <w:spacing w:after="0" w:line="193"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260" w:firstLine="162"/>
        <w:spacing w:after="0" w:line="286" w:lineRule="auto"/>
        <w:rPr>
          <w:sz w:val="20"/>
          <w:szCs w:val="20"/>
          <w:color w:val="auto"/>
        </w:rPr>
      </w:pPr>
      <w:r>
        <w:rPr>
          <w:rFonts w:ascii="Arial" w:cs="Arial" w:eastAsia="Arial" w:hAnsi="Arial"/>
          <w:sz w:val="17"/>
          <w:szCs w:val="17"/>
          <w:color w:val="auto"/>
        </w:rPr>
        <w:t>Total operating expenses were $302.3 million for the year ended December 31, 2015, compared to $248.0 million for the prior year, an increase of $54.3 million, or 21.9%. The increase is primarily due to the increase in the amount of new contracts we purchased the resulting increase in our consolidated portfolio and associated interest expense, servicing costs, and the related increase in our provision for credit losses.</w:t>
      </w:r>
    </w:p>
    <w:p>
      <w:pPr>
        <w:spacing w:after="0" w:line="166"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Employee costs increased by $9.4 million or 18.8%, to $59.6 million during the year ended December 31, 2015, representing 19.7% of total operating expenses, from $50.1 million for the prior year, or 20.2%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years ended, December 31, 2015 and 2014: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31,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5"/>
          </w:tcPr>
          <w:p>
            <w:pPr>
              <w:jc w:val="right"/>
              <w:ind w:right="121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1,060.5</w:t>
            </w:r>
          </w:p>
        </w:tc>
        <w:tc>
          <w:tcPr>
            <w:tcW w:w="16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944.9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64,130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59,276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2,031.1</w:t>
            </w:r>
          </w:p>
        </w:tc>
        <w:tc>
          <w:tcPr>
            <w:tcW w:w="16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1,643.9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149,158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124,074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0" w:type="dxa"/>
            <w:vAlign w:val="bottom"/>
            <w:shd w:val="clear" w:color="auto" w:fill="EEEEEE"/>
          </w:tcPr>
          <w:p>
            <w:pPr>
              <w:spacing w:after="0"/>
              <w:rPr>
                <w:sz w:val="19"/>
                <w:szCs w:val="19"/>
                <w:color w:val="auto"/>
              </w:rPr>
            </w:pPr>
          </w:p>
        </w:tc>
        <w:tc>
          <w:tcPr>
            <w:tcW w:w="1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$20.2 million, an increase of $907,000, or 4.7%, compared to the previous year and represented 6.7% of total operating expenses.</w:t>
      </w:r>
    </w:p>
    <w:p>
      <w:pPr>
        <w:spacing w:after="0" w:line="181" w:lineRule="exact"/>
        <w:rPr>
          <w:sz w:val="20"/>
          <w:szCs w:val="20"/>
          <w:color w:val="auto"/>
        </w:rPr>
      </w:pPr>
    </w:p>
    <w:p>
      <w:pPr>
        <w:ind w:right="340" w:firstLine="162"/>
        <w:spacing w:after="0" w:line="277" w:lineRule="auto"/>
        <w:rPr>
          <w:sz w:val="20"/>
          <w:szCs w:val="20"/>
          <w:color w:val="auto"/>
        </w:rPr>
      </w:pPr>
      <w:r>
        <w:rPr>
          <w:rFonts w:ascii="Arial" w:cs="Arial" w:eastAsia="Arial" w:hAnsi="Arial"/>
          <w:sz w:val="18"/>
          <w:szCs w:val="18"/>
          <w:color w:val="auto"/>
        </w:rPr>
        <w:t>Interest expense for the year ended December 31, 2015 increased by $7.3 million to $57.7 million, or 14.6%, compared to $50.4 million in the previous year.</w:t>
      </w:r>
    </w:p>
    <w:p>
      <w:pPr>
        <w:spacing w:after="0" w:line="170"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The debt associated with the Fireside portfolio credit facility was repaid in January of 2015 resulting in a decrease of $772,000 in interest expense compared to the prior year.</w:t>
      </w:r>
    </w:p>
    <w:p>
      <w:pPr>
        <w:spacing w:after="0" w:line="170" w:lineRule="exact"/>
        <w:rPr>
          <w:sz w:val="20"/>
          <w:szCs w:val="20"/>
          <w:color w:val="auto"/>
        </w:rPr>
      </w:pPr>
    </w:p>
    <w:p>
      <w:pPr>
        <w:ind w:right="60" w:firstLine="162"/>
        <w:spacing w:after="0" w:line="264" w:lineRule="auto"/>
        <w:rPr>
          <w:sz w:val="20"/>
          <w:szCs w:val="20"/>
          <w:color w:val="auto"/>
        </w:rPr>
      </w:pPr>
      <w:r>
        <w:rPr>
          <w:rFonts w:ascii="Arial" w:cs="Arial" w:eastAsia="Arial" w:hAnsi="Arial"/>
          <w:sz w:val="18"/>
          <w:szCs w:val="18"/>
          <w:color w:val="auto"/>
        </w:rPr>
        <w:t>Interest on securitization trust debt increased by $10.1 million, or 26.1%, for the year ended December 31, 2015 compared to the prior year. The increase is due primarily to the increase in the average balance of securitization trust debt, which increased 30.9% to $1,698.8million for the year ended December 31, 2015 from $1,298.0 million for the year ended December 31, 2014.</w:t>
      </w:r>
    </w:p>
    <w:p>
      <w:pPr>
        <w:spacing w:after="0" w:line="181"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We repaid in full $39.2 million in senior secured debt in the first quarter of 2014. As a result, we incurred $1.7 million in interest expense on such debt in 2014, compared to zero in 2015. In addition, we reduced the average balance balance of our outstanding subordinated renewable notes by $2.0 million from $17.1 million at December 31, 2014 to $15.1 million at December 31, 2015, resulting in a decrease of $626,000 in interest expense on subordinated debt. The reduction in interest expense was also a result of our decreasing the average interest rate on our subordinated renewable notes from 12.9% for the year ended December 31, 2014 to 10.5% for the year ended December 31, 2015.</w:t>
      </w:r>
    </w:p>
    <w:p>
      <w:pPr>
        <w:spacing w:after="0" w:line="188"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Interest expense on residual interest financing decreased $585,000 in the year ended December 31, 2015 compared to the prior year. The decrease is due to the repayments on that facility of $3.3 million during the year.</w:t>
      </w:r>
    </w:p>
    <w:p>
      <w:pPr>
        <w:spacing w:after="0" w:line="170" w:lineRule="exact"/>
        <w:rPr>
          <w:sz w:val="20"/>
          <w:szCs w:val="20"/>
          <w:color w:val="auto"/>
        </w:rPr>
      </w:pPr>
    </w:p>
    <w:p>
      <w:pPr>
        <w:ind w:right="220" w:firstLine="162"/>
        <w:spacing w:after="0" w:line="264" w:lineRule="auto"/>
        <w:rPr>
          <w:sz w:val="20"/>
          <w:szCs w:val="20"/>
          <w:color w:val="auto"/>
        </w:rPr>
      </w:pPr>
      <w:r>
        <w:rPr>
          <w:rFonts w:ascii="Arial" w:cs="Arial" w:eastAsia="Arial" w:hAnsi="Arial"/>
          <w:sz w:val="18"/>
          <w:szCs w:val="18"/>
          <w:color w:val="auto"/>
        </w:rPr>
        <w:t>Interest expense on warehouse lines of credit increased by $910,000, or 17.4% for the year ended December 31, 2015 compared to the prior year. The increase is due primarily to the increase in our contracts purchased, which increased by 12.2% from $944.9 million in 2014 to $1,060.5 million in 2015 and the delay of the December securitization to January 2016.</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1" w:name="page42"/>
    <w:bookmarkEnd w:id="41"/>
    <w:p>
      <w:pPr>
        <w:ind w:right="400" w:firstLine="162"/>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2015 and 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5"/>
          </w:tcPr>
          <w:p>
            <w:pPr>
              <w:jc w:val="right"/>
              <w:ind w:right="62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Annualized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Balance (1)</w:t>
            </w:r>
          </w:p>
        </w:tc>
        <w:tc>
          <w:tcPr>
            <w:tcW w:w="1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Interest</w:t>
            </w: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Yield/Rate</w:t>
            </w: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Balance (1)</w:t>
            </w:r>
          </w:p>
        </w:tc>
        <w:tc>
          <w:tcPr>
            <w:tcW w:w="10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Interest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tcBorders>
              <w:top w:val="single" w:sz="8" w:color="EEEEEE"/>
            </w:tcBorders>
            <w:shd w:val="clear" w:color="auto" w:fill="EEEEEE"/>
          </w:tcPr>
          <w:p>
            <w:pPr>
              <w:spacing w:after="0"/>
              <w:rPr>
                <w:sz w:val="14"/>
                <w:szCs w:val="14"/>
                <w:color w:val="auto"/>
              </w:rPr>
            </w:pPr>
          </w:p>
        </w:tc>
        <w:tc>
          <w:tcPr>
            <w:tcW w:w="2860" w:type="dxa"/>
            <w:vAlign w:val="bottom"/>
            <w:tcBorders>
              <w:top w:val="single" w:sz="8" w:color="EEEEEE"/>
            </w:tcBorders>
            <w:gridSpan w:val="4"/>
            <w:shd w:val="clear" w:color="auto" w:fill="EEEEEE"/>
          </w:tcPr>
          <w:p>
            <w:pPr>
              <w:jc w:val="center"/>
              <w:ind w:right="800"/>
              <w:spacing w:after="0" w:line="170" w:lineRule="exact"/>
              <w:rPr>
                <w:sz w:val="20"/>
                <w:szCs w:val="20"/>
                <w:color w:val="auto"/>
              </w:rPr>
            </w:pPr>
            <w:r>
              <w:rPr>
                <w:rFonts w:ascii="Arial" w:cs="Arial" w:eastAsia="Arial" w:hAnsi="Arial"/>
                <w:sz w:val="18"/>
                <w:szCs w:val="18"/>
                <w:b w:val="1"/>
                <w:bCs w:val="1"/>
                <w:color w:val="auto"/>
                <w:w w:val="88"/>
              </w:rPr>
              <w:t>Interest Earning Assets</w:t>
            </w:r>
          </w:p>
        </w:tc>
        <w:tc>
          <w:tcPr>
            <w:tcW w:w="100" w:type="dxa"/>
            <w:vAlign w:val="bottom"/>
            <w:tcBorders>
              <w:top w:val="single" w:sz="8" w:color="EEEEEE"/>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280" w:type="dxa"/>
            <w:vAlign w:val="bottom"/>
            <w:tcBorders>
              <w:top w:val="single" w:sz="8" w:color="EEEEEE"/>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100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900" w:type="dxa"/>
            <w:vAlign w:val="bottom"/>
            <w:tcBorders>
              <w:top w:val="single" w:sz="8" w:color="auto"/>
            </w:tcBorders>
            <w:shd w:val="clear" w:color="auto" w:fill="EEEEEE"/>
          </w:tcPr>
          <w:p>
            <w:pPr>
              <w:spacing w:after="0"/>
              <w:rPr>
                <w:sz w:val="14"/>
                <w:szCs w:val="14"/>
                <w:color w:val="auto"/>
              </w:rPr>
            </w:pPr>
          </w:p>
        </w:tc>
        <w:tc>
          <w:tcPr>
            <w:tcW w:w="26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1000" w:type="dxa"/>
            <w:vAlign w:val="bottom"/>
            <w:tcBorders>
              <w:top w:val="single" w:sz="8" w:color="auto"/>
            </w:tcBorders>
            <w:shd w:val="clear" w:color="auto" w:fill="EEEEEE"/>
          </w:tcPr>
          <w:p>
            <w:pPr>
              <w:spacing w:after="0"/>
              <w:rPr>
                <w:sz w:val="14"/>
                <w:szCs w:val="14"/>
                <w:color w:val="auto"/>
              </w:rPr>
            </w:pPr>
          </w:p>
        </w:tc>
        <w:tc>
          <w:tcPr>
            <w:tcW w:w="280" w:type="dxa"/>
            <w:vAlign w:val="bottom"/>
            <w:tcBorders>
              <w:top w:val="single" w:sz="8" w:color="EEEEEE"/>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100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900" w:type="dxa"/>
            <w:vAlign w:val="bottom"/>
            <w:tcBorders>
              <w:top w:val="single" w:sz="8" w:color="auto"/>
            </w:tcBorders>
            <w:shd w:val="clear" w:color="auto" w:fill="EEEEEE"/>
          </w:tcPr>
          <w:p>
            <w:pPr>
              <w:spacing w:after="0"/>
              <w:rPr>
                <w:sz w:val="14"/>
                <w:szCs w:val="14"/>
                <w:color w:val="auto"/>
              </w:rPr>
            </w:pPr>
          </w:p>
        </w:tc>
        <w:tc>
          <w:tcPr>
            <w:tcW w:w="16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78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00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1,818,644</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349,465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1,383,193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285,169</w:t>
            </w:r>
          </w:p>
        </w:tc>
        <w:tc>
          <w:tcPr>
            <w:tcW w:w="3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447</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5,919</w:t>
            </w:r>
          </w:p>
        </w:tc>
        <w:tc>
          <w:tcPr>
            <w:tcW w:w="10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1,565</w:t>
            </w:r>
          </w:p>
        </w:tc>
        <w:tc>
          <w:tcPr>
            <w:tcW w:w="3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1,819,071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349,912</w:t>
            </w:r>
          </w:p>
        </w:tc>
        <w:tc>
          <w:tcPr>
            <w:tcW w:w="320" w:type="dxa"/>
            <w:vAlign w:val="bottom"/>
            <w:vMerge w:val="continue"/>
          </w:tcPr>
          <w:p>
            <w:pPr>
              <w:spacing w:after="0"/>
              <w:rPr>
                <w:sz w:val="24"/>
                <w:szCs w:val="24"/>
                <w:color w:val="auto"/>
              </w:rPr>
            </w:pPr>
          </w:p>
        </w:tc>
        <w:tc>
          <w:tcPr>
            <w:tcW w:w="116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1,389,112</w:t>
            </w: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286,734</w:t>
            </w:r>
          </w:p>
        </w:tc>
        <w:tc>
          <w:tcPr>
            <w:tcW w:w="32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178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0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28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90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28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9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60" w:type="dxa"/>
            <w:vAlign w:val="bottom"/>
            <w:gridSpan w:val="4"/>
          </w:tcPr>
          <w:p>
            <w:pPr>
              <w:jc w:val="center"/>
              <w:ind w:right="8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62,104</w:t>
            </w:r>
          </w:p>
        </w:tc>
        <w:tc>
          <w:tcPr>
            <w:tcW w:w="10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6,127</w:t>
            </w:r>
          </w:p>
        </w:tc>
        <w:tc>
          <w:tcPr>
            <w:tcW w:w="11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52,596</w:t>
            </w:r>
          </w:p>
        </w:tc>
        <w:tc>
          <w:tcPr>
            <w:tcW w:w="10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5,217</w:t>
            </w:r>
          </w:p>
        </w:tc>
        <w:tc>
          <w:tcPr>
            <w:tcW w:w="3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10,948</w:t>
            </w:r>
          </w:p>
        </w:tc>
        <w:tc>
          <w:tcPr>
            <w:tcW w:w="1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1,405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14,225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1,989</w:t>
            </w:r>
          </w:p>
        </w:tc>
        <w:tc>
          <w:tcPr>
            <w:tcW w:w="3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Debt secured by receivables measured at fair</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value</w:t>
            </w:r>
          </w:p>
        </w:tc>
        <w:tc>
          <w:tcPr>
            <w:tcW w:w="10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spacing w:after="0"/>
              <w:rPr>
                <w:sz w:val="21"/>
                <w:szCs w:val="21"/>
                <w:color w:val="auto"/>
              </w:rPr>
            </w:pPr>
          </w:p>
        </w:tc>
        <w:tc>
          <w:tcPr>
            <w:tcW w:w="26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5,561</w:t>
            </w:r>
          </w:p>
        </w:tc>
        <w:tc>
          <w:tcPr>
            <w:tcW w:w="10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772</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1,698,777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48,631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1,298,033</w:t>
            </w:r>
          </w:p>
        </w:tc>
        <w:tc>
          <w:tcPr>
            <w:tcW w:w="1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38,558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9,471</w:t>
            </w:r>
          </w:p>
        </w:tc>
        <w:tc>
          <w:tcPr>
            <w:tcW w:w="10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1,651</w:t>
            </w:r>
          </w:p>
        </w:tc>
        <w:tc>
          <w:tcPr>
            <w:tcW w:w="3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15,102</w:t>
            </w:r>
          </w:p>
        </w:tc>
        <w:tc>
          <w:tcPr>
            <w:tcW w:w="1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1,582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17,074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2,208</w:t>
            </w:r>
          </w:p>
        </w:tc>
        <w:tc>
          <w:tcPr>
            <w:tcW w:w="3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16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EEEEEE"/>
          </w:tcPr>
          <w:p>
            <w:pPr>
              <w:spacing w:after="0" w:line="20" w:lineRule="exact"/>
              <w:rPr>
                <w:sz w:val="1"/>
                <w:szCs w:val="1"/>
                <w:color w:val="auto"/>
              </w:rPr>
            </w:pPr>
          </w:p>
        </w:tc>
        <w:tc>
          <w:tcPr>
            <w:tcW w:w="106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1,786,931</w:t>
            </w:r>
          </w:p>
        </w:tc>
        <w:tc>
          <w:tcPr>
            <w:tcW w:w="28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57,745</w:t>
            </w:r>
          </w:p>
        </w:tc>
        <w:tc>
          <w:tcPr>
            <w:tcW w:w="320" w:type="dxa"/>
            <w:vAlign w:val="bottom"/>
            <w:vMerge w:val="continue"/>
            <w:shd w:val="clear" w:color="auto" w:fill="EEEEEE"/>
          </w:tcPr>
          <w:p>
            <w:pPr>
              <w:spacing w:after="0"/>
              <w:rPr>
                <w:sz w:val="20"/>
                <w:szCs w:val="20"/>
                <w:color w:val="auto"/>
              </w:rPr>
            </w:pPr>
          </w:p>
        </w:tc>
        <w:tc>
          <w:tcPr>
            <w:tcW w:w="1160" w:type="dxa"/>
            <w:vAlign w:val="bottom"/>
            <w:gridSpan w:val="2"/>
            <w:vMerge w:val="continue"/>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1,396,960</w:t>
            </w:r>
          </w:p>
        </w:tc>
        <w:tc>
          <w:tcPr>
            <w:tcW w:w="10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50,395</w:t>
            </w:r>
          </w:p>
        </w:tc>
        <w:tc>
          <w:tcPr>
            <w:tcW w:w="320" w:type="dxa"/>
            <w:vAlign w:val="bottom"/>
            <w:vMerge w:val="continue"/>
            <w:shd w:val="clear" w:color="auto" w:fill="EEEEEE"/>
          </w:tcPr>
          <w:p>
            <w:pPr>
              <w:spacing w:after="0"/>
              <w:rPr>
                <w:sz w:val="20"/>
                <w:szCs w:val="20"/>
                <w:color w:val="auto"/>
              </w:rPr>
            </w:pPr>
          </w:p>
        </w:tc>
        <w:tc>
          <w:tcPr>
            <w:tcW w:w="106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78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60" w:type="dxa"/>
            <w:vAlign w:val="bottom"/>
            <w:gridSpan w:val="6"/>
            <w:vMerge w:val="restart"/>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292,167</w:t>
            </w: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236,339</w:t>
            </w: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560" w:type="dxa"/>
            <w:vAlign w:val="bottom"/>
            <w:gridSpan w:val="6"/>
            <w:vMerge w:val="continue"/>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Borders>
              <w:top w:val="single" w:sz="8" w:color="EEEEEE"/>
            </w:tcBorders>
            <w:gridSpan w:val="5"/>
            <w:shd w:val="clear" w:color="auto" w:fill="EEEEEE"/>
          </w:tcPr>
          <w:p>
            <w:pPr>
              <w:spacing w:after="0" w:line="190" w:lineRule="exact"/>
              <w:rPr>
                <w:sz w:val="20"/>
                <w:szCs w:val="20"/>
                <w:color w:val="auto"/>
              </w:rPr>
            </w:pPr>
            <w:r>
              <w:rPr>
                <w:rFonts w:ascii="Arial" w:cs="Arial" w:eastAsia="Arial" w:hAnsi="Arial"/>
                <w:sz w:val="18"/>
                <w:szCs w:val="18"/>
                <w:color w:val="auto"/>
              </w:rPr>
              <w:t>Net interest margin (3)</w:t>
            </w:r>
          </w:p>
        </w:tc>
        <w:tc>
          <w:tcPr>
            <w:tcW w:w="10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160" w:type="dxa"/>
            <w:vAlign w:val="bottom"/>
            <w:tcBorders>
              <w:top w:val="single" w:sz="8" w:color="EEEEEE"/>
            </w:tcBorders>
            <w:gridSpan w:val="2"/>
            <w:shd w:val="clear" w:color="auto" w:fill="EEEEEE"/>
          </w:tcPr>
          <w:p>
            <w:pPr>
              <w:jc w:val="right"/>
              <w:ind w:right="120"/>
              <w:spacing w:after="0" w:line="196" w:lineRule="exact"/>
              <w:rPr>
                <w:sz w:val="20"/>
                <w:szCs w:val="20"/>
                <w:color w:val="auto"/>
              </w:rPr>
            </w:pPr>
            <w:r>
              <w:rPr>
                <w:rFonts w:ascii="Arial" w:cs="Arial" w:eastAsia="Arial" w:hAnsi="Arial"/>
                <w:sz w:val="18"/>
                <w:szCs w:val="18"/>
                <w:color w:val="auto"/>
              </w:rPr>
              <w:t>16.1%</w:t>
            </w:r>
          </w:p>
        </w:tc>
        <w:tc>
          <w:tcPr>
            <w:tcW w:w="12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060" w:type="dxa"/>
            <w:vAlign w:val="bottom"/>
            <w:tcBorders>
              <w:top w:val="single" w:sz="8" w:color="EEEEEE"/>
            </w:tcBorders>
            <w:gridSpan w:val="2"/>
            <w:shd w:val="clear" w:color="auto" w:fill="EEEEEE"/>
          </w:tcPr>
          <w:p>
            <w:pPr>
              <w:jc w:val="right"/>
              <w:ind w:right="20"/>
              <w:spacing w:after="0" w:line="196"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gridSpan w:val="5"/>
          </w:tcPr>
          <w:p>
            <w:pPr>
              <w:spacing w:after="0" w:line="201" w:lineRule="exact"/>
              <w:rPr>
                <w:sz w:val="20"/>
                <w:szCs w:val="20"/>
                <w:color w:val="auto"/>
              </w:rPr>
            </w:pPr>
            <w:r>
              <w:rPr>
                <w:rFonts w:ascii="Arial" w:cs="Arial" w:eastAsia="Arial" w:hAnsi="Arial"/>
                <w:sz w:val="18"/>
                <w:szCs w:val="18"/>
                <w:color w:val="auto"/>
              </w:rPr>
              <w:t>Ratio of average interest earning assets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5"/>
          </w:tcPr>
          <w:p>
            <w:pPr>
              <w:ind w:left="8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00" w:hanging="29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700" w:hanging="29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of deferrred fees and direct costs.</w:t>
      </w:r>
    </w:p>
    <w:p>
      <w:pPr>
        <w:spacing w:after="0" w:line="9" w:lineRule="exact"/>
        <w:rPr>
          <w:rFonts w:ascii="Arial" w:cs="Arial" w:eastAsia="Arial" w:hAnsi="Arial"/>
          <w:sz w:val="18"/>
          <w:szCs w:val="18"/>
          <w:color w:val="auto"/>
        </w:rPr>
      </w:pPr>
    </w:p>
    <w:p>
      <w:pPr>
        <w:ind w:left="700" w:hanging="29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10"/>
          </w:tcPr>
          <w:p>
            <w:pPr>
              <w:jc w:val="right"/>
              <w:ind w:right="1180"/>
              <w:spacing w:after="0"/>
              <w:rPr>
                <w:sz w:val="20"/>
                <w:szCs w:val="20"/>
                <w:color w:val="auto"/>
              </w:rPr>
            </w:pPr>
            <w:r>
              <w:rPr>
                <w:rFonts w:ascii="Arial" w:cs="Arial" w:eastAsia="Arial" w:hAnsi="Arial"/>
                <w:sz w:val="18"/>
                <w:szCs w:val="18"/>
                <w:b w:val="1"/>
                <w:bCs w:val="1"/>
                <w:color w:val="auto"/>
              </w:rPr>
              <w:t>Year Ended December 31, 2015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10"/>
          </w:tcPr>
          <w:p>
            <w:pPr>
              <w:jc w:val="center"/>
              <w:ind w:right="20"/>
              <w:spacing w:after="0"/>
              <w:rPr>
                <w:sz w:val="20"/>
                <w:szCs w:val="20"/>
                <w:color w:val="auto"/>
              </w:rPr>
            </w:pPr>
            <w:r>
              <w:rPr>
                <w:rFonts w:ascii="Arial" w:cs="Arial" w:eastAsia="Arial" w:hAnsi="Arial"/>
                <w:sz w:val="18"/>
                <w:szCs w:val="18"/>
                <w:b w:val="1"/>
                <w:bCs w:val="1"/>
                <w:color w:val="auto"/>
                <w:w w:val="90"/>
              </w:rPr>
              <w:t>Compared to December 31,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Change Due to</w:t>
            </w: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Change Due to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00" w:type="dxa"/>
            <w:vAlign w:val="bottom"/>
            <w:gridSpan w:val="4"/>
            <w:vMerge w:val="restart"/>
          </w:tcPr>
          <w:p>
            <w:pPr>
              <w:jc w:val="center"/>
              <w:ind w:right="2360"/>
              <w:spacing w:after="0"/>
              <w:rPr>
                <w:sz w:val="20"/>
                <w:szCs w:val="20"/>
                <w:color w:val="auto"/>
              </w:rPr>
            </w:pPr>
            <w:r>
              <w:rPr>
                <w:rFonts w:ascii="Arial" w:cs="Arial" w:eastAsia="Arial" w:hAnsi="Arial"/>
                <w:sz w:val="18"/>
                <w:szCs w:val="18"/>
                <w:b w:val="1"/>
                <w:bCs w:val="1"/>
                <w:color w:val="auto"/>
                <w:w w:val="89"/>
              </w:rPr>
              <w:t>Interest Earning Assets</w:t>
            </w: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Total 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44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Borders>
              <w:top w:val="single" w:sz="8" w:color="auto"/>
            </w:tcBorders>
          </w:tcPr>
          <w:p>
            <w:pPr>
              <w:jc w:val="right"/>
              <w:ind w:right="50"/>
              <w:spacing w:after="0" w:line="156" w:lineRule="exact"/>
              <w:rPr>
                <w:sz w:val="20"/>
                <w:szCs w:val="20"/>
                <w:color w:val="auto"/>
              </w:rPr>
            </w:pPr>
            <w:r>
              <w:rPr>
                <w:rFonts w:ascii="Arial" w:cs="Arial" w:eastAsia="Arial" w:hAnsi="Arial"/>
                <w:sz w:val="18"/>
                <w:szCs w:val="18"/>
                <w:b w:val="1"/>
                <w:bCs w:val="1"/>
                <w:color w:val="auto"/>
                <w:w w:val="88"/>
              </w:rPr>
              <w:t>(In thousands)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64,296</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89,776</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(1,452)</w:t>
            </w:r>
          </w:p>
        </w:tc>
        <w:tc>
          <w:tcPr>
            <w:tcW w:w="1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63,178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88,324</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(25,146)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00" w:type="dxa"/>
            <w:vAlign w:val="bottom"/>
            <w:gridSpan w:val="5"/>
          </w:tcPr>
          <w:p>
            <w:pPr>
              <w:jc w:val="center"/>
              <w:ind w:right="24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910</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(584)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340"/>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7,350</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9,711</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34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55,828</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78,613</w:t>
            </w:r>
          </w:p>
        </w:tc>
        <w:tc>
          <w:tcPr>
            <w:tcW w:w="3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(22,785</w:t>
            </w:r>
          </w:p>
        </w:tc>
        <w:tc>
          <w:tcPr>
            <w:tcW w:w="1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Provision for credit losses was $142.6 million for the year ended December 31, 2015, an increase of $34.4 million, or 31.8% compared to the prior year and represented 47.2%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and also takes into account the performance of the receivables. Consequently, the increase in provision expense is the result of the increase in contract purchases during the last year, the larger portfolio owned by our consolidated subsidiaries compared to the prior year, and an adverse trend in the performance of our receivables, which we believe is consistent with the aging of our portfolio and may also be related to certain procedural changes in our servicing practices that were required by a consent decree to which we became subject in June 2014.</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ind w:right="140" w:firstLine="162"/>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$1.4 million, or 8.4%, to $17.5 million during the year ended December 31, 2015, compared to $16.1 million in the prior year, and represented 5.3% of total operating expenses. For the year ended December 31, 2015, we purchased 64,130 contracts representing $1,060.5 million in receivables compared to 59,276 contracts representing $944.9 million in receivables in the prior year.</w:t>
      </w:r>
    </w:p>
    <w:p>
      <w:pPr>
        <w:spacing w:after="0" w:line="193" w:lineRule="exact"/>
        <w:rPr>
          <w:sz w:val="20"/>
          <w:szCs w:val="20"/>
          <w:color w:val="auto"/>
        </w:rPr>
      </w:pPr>
    </w:p>
    <w:p>
      <w:pPr>
        <w:ind w:right="720" w:firstLine="162"/>
        <w:spacing w:after="0" w:line="308" w:lineRule="auto"/>
        <w:rPr>
          <w:sz w:val="20"/>
          <w:szCs w:val="20"/>
          <w:color w:val="auto"/>
        </w:rPr>
      </w:pPr>
      <w:r>
        <w:rPr>
          <w:rFonts w:ascii="Arial" w:cs="Arial" w:eastAsia="Arial" w:hAnsi="Arial"/>
          <w:sz w:val="17"/>
          <w:szCs w:val="17"/>
          <w:color w:val="auto"/>
        </w:rPr>
        <w:t>Occupancy expenses increased by $618,000 or 17.8%, to $4.1 million compared to $3.5 million in the previous year and represented 1.2% of total operating expenses. In July 2015, we increased our Irvine, California office by entering into a lease for additional 20,000 square feet.</w:t>
      </w:r>
    </w:p>
    <w:p>
      <w:pPr>
        <w:spacing w:after="0" w:line="147"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Depreciation and amortization expenses increased by $209,000 or 48.8%, to $637,000 compared to $428,000 in the previous year and represented 0.2% of total operating expenses.</w:t>
      </w:r>
    </w:p>
    <w:p>
      <w:pPr>
        <w:spacing w:after="0" w:line="17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For the year ended December 31, 2015, we recorded income tax expense of $26.7 million, representing a 43.5% effective income tax rate. In the prior year, we recorded $22.7 million of income tax expense, also representing a 43.5% effective income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2014 with the year ended December 31, 2013</w:t>
      </w:r>
    </w:p>
    <w:p>
      <w:pPr>
        <w:spacing w:after="0" w:line="225"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In April 2013, we repurchased the outstanding Class D notes from our first 2008 securitization for a cash payment and a new note. We</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4.3% of our total revenues of $255.8 million for year ended December 31, 2013. The discussion below excludes the gain of $10.9 million for 2013 for comparative purposes.</w:t>
      </w:r>
    </w:p>
    <w:p>
      <w:pPr>
        <w:spacing w:after="0" w:line="158"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During the year ended December 31, 2014, our revenues were $300.3 million, an increase of $55.4 million, or 22.6%, from the prior year revenue of $244.8 million. The primary reason for the increase in revenues is an increase in interest income. Interest income for the year ended December 31, 2014 increased $55.4 million, or 24.0%, to $286.7 million from $231.3 million in the prior year. The primary reason for the increase in interest income is the increase in finance receivables held by consolidated subsidiaries, which increased from $1,222.5 million at December 31, 2013 to $1,642.2 million at December 31, 2014. The table below shows the average balances of our portfolio held by consolidated subsidiaries for the year ended December 31, 2014 and 2013:</w:t>
      </w:r>
    </w:p>
    <w:p>
      <w:pPr>
        <w:sectPr>
          <w:pgSz w:w="11900" w:h="16838" w:orient="portrait"/>
          <w:cols w:equalWidth="0" w:num="1">
            <w:col w:w="11420"/>
          </w:cols>
          <w:pgMar w:left="240" w:top="6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Finance Receivables Owned by Consolidated Subsidiaries</w:t>
      </w:r>
    </w:p>
    <w:p>
      <w:pPr>
        <w:spacing w:after="0" w:line="6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CPS Originated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-130810</wp:posOffset>
            </wp:positionV>
            <wp:extent cx="572008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20080" cy="13716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color w:val="auto"/>
        </w:rPr>
        <w:t>Fireside</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-121920</wp:posOffset>
            </wp:positionV>
            <wp:extent cx="572008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2008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Average Balances for the Year Ended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2014</w:t>
            </w: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December 31, 2013</w:t>
            </w:r>
          </w:p>
        </w:tc>
      </w:tr>
      <w:tr>
        <w:trPr>
          <w:trHeight w:val="225"/>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19"/>
                <w:szCs w:val="19"/>
                <w:color w:val="auto"/>
              </w:rPr>
            </w:pPr>
          </w:p>
        </w:tc>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22466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jc w:val="center"/>
        <w:ind w:right="1320"/>
        <w:spacing w:after="0"/>
        <w:rPr>
          <w:sz w:val="20"/>
          <w:szCs w:val="20"/>
          <w:color w:val="auto"/>
        </w:rPr>
      </w:pPr>
      <w:r>
        <w:rPr>
          <w:rFonts w:ascii="Arial" w:cs="Arial" w:eastAsia="Arial" w:hAnsi="Arial"/>
          <w:sz w:val="18"/>
          <w:szCs w:val="18"/>
          <w:b w:val="1"/>
          <w:bCs w:val="1"/>
          <w:color w:val="auto"/>
        </w:rPr>
        <w:t>($ in millions)</w:t>
      </w:r>
    </w:p>
    <w:p>
      <w:pPr>
        <w:spacing w:after="0" w:line="7" w:lineRule="exact"/>
        <w:rPr>
          <w:sz w:val="20"/>
          <w:szCs w:val="20"/>
          <w:color w:val="auto"/>
        </w:rPr>
      </w:pPr>
    </w:p>
    <w:p>
      <w:pPr>
        <w:spacing w:after="0"/>
        <w:tabs>
          <w:tab w:leader="none" w:pos="1020" w:val="left"/>
          <w:tab w:leader="none" w:pos="1880" w:val="left"/>
          <w:tab w:leader="none" w:pos="2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1,414.3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1,044.7</w:t>
      </w:r>
    </w:p>
    <w:p>
      <w:pPr>
        <w:spacing w:after="0" w:line="9" w:lineRule="exact"/>
        <w:rPr>
          <w:sz w:val="20"/>
          <w:szCs w:val="20"/>
          <w:color w:val="auto"/>
        </w:rPr>
      </w:pPr>
    </w:p>
    <w:p>
      <w:pPr>
        <w:jc w:val="right"/>
        <w:ind w:right="1300"/>
        <w:spacing w:after="0"/>
        <w:tabs>
          <w:tab w:leader="none" w:pos="3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31.3</w:t>
      </w:r>
    </w:p>
    <w:p>
      <w:pPr>
        <w:spacing w:after="0" w:line="35" w:lineRule="exact"/>
        <w:rPr>
          <w:sz w:val="20"/>
          <w:szCs w:val="20"/>
          <w:color w:val="auto"/>
        </w:rPr>
      </w:pPr>
    </w:p>
    <w:p>
      <w:pPr>
        <w:spacing w:after="0"/>
        <w:tabs>
          <w:tab w:leader="none" w:pos="1020" w:val="left"/>
          <w:tab w:leader="none" w:pos="1880" w:val="left"/>
          <w:tab w:leader="none" w:pos="2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1,420.2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2466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692" w:right="239" w:bottom="1440" w:gutter="0" w:footer="0" w:header="0"/>
          <w:type w:val="continuous"/>
        </w:sectPr>
      </w:pPr>
    </w:p>
    <w:p>
      <w:pPr>
        <w:spacing w:after="0" w:line="66" w:lineRule="exact"/>
        <w:rPr>
          <w:sz w:val="20"/>
          <w:szCs w:val="20"/>
          <w:color w:val="auto"/>
        </w:rPr>
      </w:pPr>
    </w:p>
    <w:p>
      <w:pPr>
        <w:ind w:firstLine="162"/>
        <w:spacing w:after="0" w:line="312" w:lineRule="auto"/>
        <w:rPr>
          <w:sz w:val="20"/>
          <w:szCs w:val="20"/>
          <w:color w:val="auto"/>
        </w:rPr>
      </w:pPr>
      <w:r>
        <w:rPr>
          <w:rFonts w:ascii="Arial" w:cs="Arial" w:eastAsia="Arial" w:hAnsi="Arial"/>
          <w:sz w:val="16"/>
          <w:szCs w:val="16"/>
          <w:color w:val="auto"/>
        </w:rPr>
        <w:t>Servicing fees totaling $1.4 in the year ended December 31, 2014 decreased $1.7 million, or 55.5%, from $3.1 million in the prior year. We earn base servicing fees on three portfolios that are decreasing in size as we receive customer payments and, consequently, base servicing fees are decreasing also. As of December 31, 2014 and 2013, our managed portfolio owned by consolidated vs. non-consolidated subsidiaries and other third parties was as follows: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December 31, 2014</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Total Managed Portfolio</w:t>
            </w: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8"/>
              </w:rPr>
              <w:t>Amount (1)</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44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w w:val="98"/>
              </w:rPr>
              <w:t>Amount (1)</w:t>
            </w:r>
          </w:p>
        </w:tc>
        <w:tc>
          <w:tcPr>
            <w:tcW w:w="13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80" w:type="dxa"/>
            <w:vAlign w:val="bottom"/>
            <w:gridSpan w:val="5"/>
          </w:tcPr>
          <w:p>
            <w:pPr>
              <w:jc w:val="right"/>
              <w:ind w:right="1340"/>
              <w:spacing w:after="0"/>
              <w:rPr>
                <w:sz w:val="20"/>
                <w:szCs w:val="20"/>
                <w:color w:val="auto"/>
              </w:rPr>
            </w:pPr>
            <w:r>
              <w:rPr>
                <w:rFonts w:ascii="Arial" w:cs="Arial" w:eastAsia="Arial" w:hAnsi="Arial"/>
                <w:sz w:val="18"/>
                <w:szCs w:val="18"/>
                <w:b w:val="1"/>
                <w:bCs w:val="1"/>
                <w:color w:val="auto"/>
                <w:w w:val="96"/>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0"/>
              <w:spacing w:after="0"/>
              <w:rPr>
                <w:sz w:val="20"/>
                <w:szCs w:val="20"/>
                <w:color w:val="auto"/>
              </w:rPr>
            </w:pPr>
            <w:r>
              <w:rPr>
                <w:rFonts w:ascii="Arial" w:cs="Arial" w:eastAsia="Arial" w:hAnsi="Arial"/>
                <w:sz w:val="18"/>
                <w:szCs w:val="18"/>
                <w:color w:val="auto"/>
              </w:rPr>
              <w:t>CPS Originated Receivables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1,640.5</w:t>
            </w:r>
          </w:p>
        </w:tc>
        <w:tc>
          <w:tcPr>
            <w:tcW w:w="92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99.8%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1,207.7</w:t>
            </w:r>
          </w:p>
        </w:tc>
        <w:tc>
          <w:tcPr>
            <w:tcW w:w="32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Fireside</w:t>
            </w: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w:t>
            </w:r>
          </w:p>
        </w:tc>
        <w:tc>
          <w:tcPr>
            <w:tcW w:w="9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14.8</w:t>
            </w:r>
          </w:p>
        </w:tc>
        <w:tc>
          <w:tcPr>
            <w:tcW w:w="15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1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920" w:type="dxa"/>
            <w:vAlign w:val="bottom"/>
          </w:tcPr>
          <w:p>
            <w:pPr>
              <w:spacing w:after="0"/>
              <w:rPr>
                <w:sz w:val="18"/>
                <w:szCs w:val="18"/>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Third-Party Servicing Portfolios</w:t>
            </w: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w:t>
            </w:r>
          </w:p>
        </w:tc>
        <w:tc>
          <w:tcPr>
            <w:tcW w:w="92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4.9</w:t>
            </w:r>
          </w:p>
        </w:tc>
        <w:tc>
          <w:tcPr>
            <w:tcW w:w="15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820" w:type="dxa"/>
            <w:vAlign w:val="bottom"/>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3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3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ind w:right="40" w:firstLine="162"/>
        <w:spacing w:after="0" w:line="279" w:lineRule="auto"/>
        <w:rPr>
          <w:sz w:val="20"/>
          <w:szCs w:val="20"/>
          <w:color w:val="auto"/>
        </w:rPr>
      </w:pPr>
      <w:r>
        <w:rPr>
          <w:rFonts w:ascii="Arial" w:cs="Arial" w:eastAsia="Arial" w:hAnsi="Arial"/>
          <w:sz w:val="17"/>
          <w:szCs w:val="17"/>
          <w:color w:val="auto"/>
        </w:rPr>
        <w:t>At December 31, 2014, we were generating income and fees on a managed portfolio with an outstanding principal balance of $1,643.9 million (this amount includes $390,000 of automobile contracts on which we earn servicing fees and own a residual interest and also includes another $1.3 million of automobile contracts on which we earn base and incentive servicing fees), compared to a managed portfolio with an outstanding principal balance of $1,231.4 million as of December 31, 2013. At December 31, 2014 and 2013,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December 31, 2014</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December 31, 2013</w:t>
            </w:r>
          </w:p>
        </w:tc>
        <w:tc>
          <w:tcPr>
            <w:tcW w:w="0" w:type="dxa"/>
            <w:vAlign w:val="bottom"/>
          </w:tcPr>
          <w:p>
            <w:pPr>
              <w:spacing w:after="0"/>
              <w:rPr>
                <w:sz w:val="1"/>
                <w:szCs w:val="1"/>
                <w:color w:val="auto"/>
              </w:rPr>
            </w:pPr>
          </w:p>
        </w:tc>
      </w:tr>
      <w:tr>
        <w:trPr>
          <w:trHeight w:val="223"/>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12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Amount (1)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Amount (1)</w:t>
            </w:r>
          </w:p>
        </w:tc>
        <w:tc>
          <w:tcPr>
            <w:tcW w:w="13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 (2)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40" w:type="dxa"/>
            <w:vAlign w:val="bottom"/>
            <w:gridSpan w:val="5"/>
          </w:tcPr>
          <w:p>
            <w:pPr>
              <w:jc w:val="right"/>
              <w:ind w:right="1280"/>
              <w:spacing w:after="0"/>
              <w:rPr>
                <w:sz w:val="20"/>
                <w:szCs w:val="20"/>
                <w:color w:val="auto"/>
              </w:rPr>
            </w:pPr>
            <w:r>
              <w:rPr>
                <w:rFonts w:ascii="Arial" w:cs="Arial" w:eastAsia="Arial" w:hAnsi="Arial"/>
                <w:sz w:val="18"/>
                <w:szCs w:val="18"/>
                <w:b w:val="1"/>
                <w:bCs w:val="1"/>
                <w:color w:val="auto"/>
                <w:w w:val="98"/>
              </w:rPr>
              <w:t>($ in millions)</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1,640.9</w:t>
            </w:r>
          </w:p>
        </w:tc>
        <w:tc>
          <w:tcPr>
            <w:tcW w:w="9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1,211.8</w:t>
            </w:r>
          </w:p>
        </w:tc>
        <w:tc>
          <w:tcPr>
            <w:tcW w:w="15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Fireside</w:t>
            </w:r>
          </w:p>
        </w:tc>
        <w:tc>
          <w:tcPr>
            <w:tcW w:w="12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1.7</w:t>
            </w:r>
          </w:p>
        </w:tc>
        <w:tc>
          <w:tcPr>
            <w:tcW w:w="960" w:type="dxa"/>
            <w:vAlign w:val="bottom"/>
          </w:tcPr>
          <w:p>
            <w:pPr>
              <w:spacing w:after="0"/>
              <w:rPr>
                <w:sz w:val="18"/>
                <w:szCs w:val="18"/>
                <w:color w:val="auto"/>
              </w:rPr>
            </w:pPr>
          </w:p>
        </w:tc>
        <w:tc>
          <w:tcPr>
            <w:tcW w:w="780" w:type="dxa"/>
            <w:vAlign w:val="bottom"/>
            <w:gridSpan w:val="2"/>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Third Party Portfolio</w:t>
            </w:r>
          </w:p>
        </w:tc>
        <w:tc>
          <w:tcPr>
            <w:tcW w:w="12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w:t>
            </w:r>
          </w:p>
        </w:tc>
        <w:tc>
          <w:tcPr>
            <w:tcW w:w="96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w:t>
            </w:r>
          </w:p>
        </w:tc>
        <w:tc>
          <w:tcPr>
            <w:tcW w:w="152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1,643.9</w:t>
            </w:r>
          </w:p>
        </w:tc>
        <w:tc>
          <w:tcPr>
            <w:tcW w:w="3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1,231.4</w:t>
            </w:r>
          </w:p>
        </w:tc>
        <w:tc>
          <w:tcPr>
            <w:tcW w:w="3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ind w:right="180" w:firstLine="162"/>
        <w:spacing w:after="0" w:line="259" w:lineRule="auto"/>
        <w:rPr>
          <w:sz w:val="20"/>
          <w:szCs w:val="20"/>
          <w:color w:val="auto"/>
        </w:rPr>
      </w:pPr>
      <w:r>
        <w:rPr>
          <w:rFonts w:ascii="Arial" w:cs="Arial" w:eastAsia="Arial" w:hAnsi="Arial"/>
          <w:sz w:val="18"/>
          <w:szCs w:val="18"/>
          <w:color w:val="auto"/>
        </w:rPr>
        <w:t>Other income increased by $1.7 million, or 16.7%, to $12.1 million in the year ended December 31, 2014 from $10.4 million during the prior year. The increase consists of a net increase of $150,000 in the fair value of the receivables and debt associated with the Fireside portfolio acquisition, an increase of $971,000 in fees associated with direct mail and other related products and services that we offer to our dealers, an increase of $303,000 in sales tax refunds and an increase of $335,000 in payments from third-party payment processors.</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Our operating expenses consist largely of provision for credit losses, interest expense, employee costs and general and administrative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44" w:name="page45"/>
    <w:bookmarkEnd w:id="44"/>
    <w:p>
      <w:pPr>
        <w:ind w:right="60" w:firstLine="162"/>
        <w:spacing w:after="0" w:line="255" w:lineRule="auto"/>
        <w:rPr>
          <w:sz w:val="20"/>
          <w:szCs w:val="20"/>
          <w:color w:val="auto"/>
        </w:rPr>
      </w:pPr>
      <w:r>
        <w:rPr>
          <w:rFonts w:ascii="Arial" w:cs="Arial" w:eastAsia="Arial" w:hAnsi="Arial"/>
          <w:sz w:val="18"/>
          <w:szCs w:val="18"/>
          <w:color w:val="auto"/>
        </w:rPr>
        <w:t>During the year ended December 31, 2013, we recognized $7.8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 The discussion below omits the $7.8 million contingent liability expense from the year ended December 31, 2013 for comparative purposes.</w:t>
      </w:r>
    </w:p>
    <w:p>
      <w:pPr>
        <w:spacing w:after="0" w:line="193" w:lineRule="exact"/>
        <w:rPr>
          <w:sz w:val="20"/>
          <w:szCs w:val="20"/>
          <w:color w:val="auto"/>
        </w:rPr>
      </w:pPr>
    </w:p>
    <w:p>
      <w:pPr>
        <w:ind w:right="260" w:firstLine="162"/>
        <w:spacing w:after="0" w:line="259" w:lineRule="auto"/>
        <w:rPr>
          <w:sz w:val="20"/>
          <w:szCs w:val="20"/>
          <w:color w:val="auto"/>
        </w:rPr>
      </w:pPr>
      <w:r>
        <w:rPr>
          <w:rFonts w:ascii="Arial" w:cs="Arial" w:eastAsia="Arial" w:hAnsi="Arial"/>
          <w:sz w:val="18"/>
          <w:szCs w:val="18"/>
          <w:color w:val="auto"/>
        </w:rPr>
        <w:t>Total operating expenses were $248.0 million for the year ended December 31, 2014, compared to $210.8 million for the prior year, an increase of $37.3 million, or 17.7%. The increase is primarily due to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187"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Employee costs increased by $7.2 million or 16.7%, to $50.1 million during the year ended December 31, 2014, representing 20.2% of total operating expenses, from $43.0 million for the prior year, or 20.4%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years ended, December 31, 2014 and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Amount</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944.9</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764.1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59,276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48,995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w:t>
            </w: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1,231.4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124,074</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99,842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2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20" w:type="dxa"/>
            <w:vAlign w:val="bottom"/>
            <w:shd w:val="clear" w:color="auto" w:fill="EEEEEE"/>
          </w:tcPr>
          <w:p>
            <w:pPr>
              <w:spacing w:after="0"/>
              <w:rPr>
                <w:sz w:val="19"/>
                <w:szCs w:val="19"/>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$19.3 million, an increase of $2.9 million, or 17.8%, compared to the previous year and represented 7.8% of total operating expenses.</w:t>
      </w:r>
    </w:p>
    <w:p>
      <w:pPr>
        <w:spacing w:after="0" w:line="181"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Interest expense for the year ended December 31, 2014 decreased by $7.8 million to $50.4 million, or 13.4%, compared to $58.2 million in the previous year.</w:t>
      </w:r>
    </w:p>
    <w:p>
      <w:pPr>
        <w:spacing w:after="0" w:line="17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Interest expense on the Fireside portfolio credit facility decreased by $3.1 million compared to the prior year as the Fireside portfolio and the related debt have paid down to significantly lower levels over the last year.</w:t>
      </w:r>
    </w:p>
    <w:p>
      <w:pPr>
        <w:spacing w:after="0" w:line="17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Interest on securitization trust debt increased by $3.8 million, or 10.9%, for the year ended December 31, 2014 compared to the prior year. Although the average balance of securitization trust debt increased 37.9% to $1,298.0 million for the year ended December 31, 2014 from $941.6 million for the year ended December 31, 2013, the blended interest rates on new term securitizations since 2013 have been significantly lower than in previous years. As a result, during 2014, portions of our securitization trust debt that were outstanding at December 31, 2013 at higher blended interest rates were repaid as we added new securitization trust debt at significantly lower blended interest rates.</w:t>
      </w:r>
    </w:p>
    <w:p>
      <w:pPr>
        <w:spacing w:after="0" w:line="188"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Interest expense on senior secured debt and subordinated renewable notes decreased by $7.4 million, or 65.6%. This was due primarily to the repayment in full of $39.2 million in senior secured debt in the first quarter of 2014. In addition, we reduced the balance of our outstanding subordinated renewable notes by $3.9 million from $19.1 million at December 31, 2013 to $15.2 million at December 31, 2014. The reduction in interest expense was also a result of our decreasing the average interest rate on our subordinated renewable notes from 14.5% for the year ended December 31, 2013 to 12.9% for the year ended December 31, 2014.</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ind w:right="80" w:firstLine="162"/>
        <w:spacing w:after="0" w:line="277" w:lineRule="auto"/>
        <w:rPr>
          <w:sz w:val="20"/>
          <w:szCs w:val="20"/>
          <w:color w:val="auto"/>
        </w:rPr>
      </w:pPr>
      <w:r>
        <w:rPr>
          <w:rFonts w:ascii="Arial" w:cs="Arial" w:eastAsia="Arial" w:hAnsi="Arial"/>
          <w:sz w:val="18"/>
          <w:szCs w:val="18"/>
          <w:color w:val="auto"/>
        </w:rPr>
        <w:t>Interest expense on residual interest financing decreased $1.3 million in the year ended December 31, 2014 compared to the prior year. The decrease is due to the repayments on that facility of $6.8 million during the year.</w:t>
      </w:r>
    </w:p>
    <w:p>
      <w:pPr>
        <w:spacing w:after="0" w:line="170"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Interest expense on warehouse lines of credit increased by $214,000, or 4.3% for the year ended December 31, 2014 compared to the prior year. Although we increased our contract purchases by $180.9 million, or 23.7%, to $944.9 million for the year ended December 31, 2014 compared to the prior year, we attempt to minimize the use of our warehouse credit facilities and rely more on unrestricted cash balances to fund our contract purchases prior to securitization.</w:t>
      </w:r>
    </w:p>
    <w:p>
      <w:pPr>
        <w:spacing w:after="0" w:line="187" w:lineRule="exact"/>
        <w:rPr>
          <w:sz w:val="20"/>
          <w:szCs w:val="20"/>
          <w:color w:val="auto"/>
        </w:rPr>
      </w:pPr>
    </w:p>
    <w:p>
      <w:pPr>
        <w:ind w:right="400" w:firstLine="162"/>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2014 and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w w:val="91"/>
              </w:rPr>
              <w:t>Year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680"/>
              <w:spacing w:after="0" w:line="191" w:lineRule="exact"/>
              <w:rPr>
                <w:sz w:val="20"/>
                <w:szCs w:val="20"/>
                <w:color w:val="auto"/>
              </w:rPr>
            </w:pPr>
            <w:r>
              <w:rPr>
                <w:rFonts w:ascii="Arial" w:cs="Arial" w:eastAsia="Arial" w:hAnsi="Arial"/>
                <w:sz w:val="18"/>
                <w:szCs w:val="18"/>
                <w:b w:val="1"/>
                <w:bCs w:val="1"/>
                <w:color w:val="auto"/>
                <w:w w:val="98"/>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Balance (1)</w:t>
            </w: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0" w:type="dxa"/>
            <w:vAlign w:val="bottom"/>
            <w:tcBorders>
              <w:top w:val="single" w:sz="8" w:color="EEEEEE"/>
            </w:tcBorders>
            <w:shd w:val="clear" w:color="auto" w:fill="EEEEEE"/>
          </w:tcPr>
          <w:p>
            <w:pPr>
              <w:spacing w:after="0"/>
              <w:rPr>
                <w:sz w:val="13"/>
                <w:szCs w:val="13"/>
                <w:color w:val="auto"/>
              </w:rPr>
            </w:pPr>
          </w:p>
        </w:tc>
        <w:tc>
          <w:tcPr>
            <w:tcW w:w="120" w:type="dxa"/>
            <w:vAlign w:val="bottom"/>
            <w:tcBorders>
              <w:top w:val="single" w:sz="8" w:color="EEEEEE"/>
            </w:tcBorders>
            <w:shd w:val="clear" w:color="auto" w:fill="EEEEEE"/>
          </w:tcPr>
          <w:p>
            <w:pPr>
              <w:spacing w:after="0"/>
              <w:rPr>
                <w:sz w:val="13"/>
                <w:szCs w:val="13"/>
                <w:color w:val="auto"/>
              </w:rPr>
            </w:pPr>
          </w:p>
        </w:tc>
        <w:tc>
          <w:tcPr>
            <w:tcW w:w="2780" w:type="dxa"/>
            <w:vAlign w:val="bottom"/>
            <w:tcBorders>
              <w:top w:val="single" w:sz="8" w:color="EEEEEE"/>
            </w:tcBorders>
            <w:gridSpan w:val="3"/>
            <w:shd w:val="clear" w:color="auto" w:fill="EEEEEE"/>
          </w:tcPr>
          <w:p>
            <w:pPr>
              <w:jc w:val="center"/>
              <w:ind w:right="980"/>
              <w:spacing w:after="0" w:line="156" w:lineRule="exact"/>
              <w:rPr>
                <w:sz w:val="20"/>
                <w:szCs w:val="20"/>
                <w:color w:val="auto"/>
              </w:rPr>
            </w:pPr>
            <w:r>
              <w:rPr>
                <w:rFonts w:ascii="Arial" w:cs="Arial" w:eastAsia="Arial" w:hAnsi="Arial"/>
                <w:sz w:val="18"/>
                <w:szCs w:val="18"/>
                <w:b w:val="1"/>
                <w:bCs w:val="1"/>
                <w:color w:val="auto"/>
                <w:w w:val="89"/>
              </w:rPr>
              <w:t>Interest Earning Assets</w:t>
            </w:r>
          </w:p>
        </w:tc>
        <w:tc>
          <w:tcPr>
            <w:tcW w:w="120" w:type="dxa"/>
            <w:vAlign w:val="bottom"/>
            <w:tcBorders>
              <w:top w:val="single" w:sz="8" w:color="auto"/>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280" w:type="dxa"/>
            <w:vAlign w:val="bottom"/>
            <w:tcBorders>
              <w:top w:val="single" w:sz="8" w:color="EEEEEE"/>
            </w:tcBorders>
            <w:shd w:val="clear" w:color="auto" w:fill="EEEEEE"/>
          </w:tcPr>
          <w:p>
            <w:pPr>
              <w:spacing w:after="0"/>
              <w:rPr>
                <w:sz w:val="13"/>
                <w:szCs w:val="13"/>
                <w:color w:val="auto"/>
              </w:rPr>
            </w:pPr>
          </w:p>
        </w:tc>
        <w:tc>
          <w:tcPr>
            <w:tcW w:w="160" w:type="dxa"/>
            <w:vAlign w:val="bottom"/>
            <w:tcBorders>
              <w:top w:val="single" w:sz="8" w:color="auto"/>
            </w:tcBorders>
            <w:shd w:val="clear" w:color="auto" w:fill="EEEEEE"/>
          </w:tcPr>
          <w:p>
            <w:pPr>
              <w:spacing w:after="0"/>
              <w:rPr>
                <w:sz w:val="13"/>
                <w:szCs w:val="13"/>
                <w:color w:val="auto"/>
              </w:rPr>
            </w:pPr>
          </w:p>
        </w:tc>
        <w:tc>
          <w:tcPr>
            <w:tcW w:w="96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900" w:type="dxa"/>
            <w:vAlign w:val="bottom"/>
            <w:tcBorders>
              <w:top w:val="single" w:sz="8" w:color="auto"/>
            </w:tcBorders>
            <w:shd w:val="clear" w:color="auto" w:fill="EEEEEE"/>
          </w:tcPr>
          <w:p>
            <w:pPr>
              <w:spacing w:after="0"/>
              <w:rPr>
                <w:sz w:val="13"/>
                <w:szCs w:val="13"/>
                <w:color w:val="auto"/>
              </w:rPr>
            </w:pPr>
          </w:p>
        </w:tc>
        <w:tc>
          <w:tcPr>
            <w:tcW w:w="280" w:type="dxa"/>
            <w:vAlign w:val="bottom"/>
            <w:tcBorders>
              <w:top w:val="single" w:sz="8" w:color="EEEEEE"/>
            </w:tcBorders>
            <w:shd w:val="clear" w:color="auto" w:fill="EEEEEE"/>
          </w:tcPr>
          <w:p>
            <w:pPr>
              <w:spacing w:after="0"/>
              <w:rPr>
                <w:sz w:val="13"/>
                <w:szCs w:val="13"/>
                <w:color w:val="auto"/>
              </w:rPr>
            </w:pPr>
          </w:p>
        </w:tc>
        <w:tc>
          <w:tcPr>
            <w:tcW w:w="120" w:type="dxa"/>
            <w:vAlign w:val="bottom"/>
            <w:tcBorders>
              <w:top w:val="single" w:sz="8" w:color="auto"/>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260" w:type="dxa"/>
            <w:vAlign w:val="bottom"/>
            <w:tcBorders>
              <w:top w:val="single" w:sz="8" w:color="EEEEEE"/>
            </w:tcBorders>
            <w:shd w:val="clear" w:color="auto" w:fill="EEEEEE"/>
          </w:tcPr>
          <w:p>
            <w:pPr>
              <w:spacing w:after="0"/>
              <w:rPr>
                <w:sz w:val="13"/>
                <w:szCs w:val="13"/>
                <w:color w:val="auto"/>
              </w:rPr>
            </w:pPr>
          </w:p>
        </w:tc>
        <w:tc>
          <w:tcPr>
            <w:tcW w:w="180" w:type="dxa"/>
            <w:vAlign w:val="bottom"/>
            <w:tcBorders>
              <w:top w:val="single" w:sz="8" w:color="auto"/>
            </w:tcBorders>
            <w:shd w:val="clear" w:color="auto" w:fill="EEEEEE"/>
          </w:tcPr>
          <w:p>
            <w:pPr>
              <w:spacing w:after="0"/>
              <w:rPr>
                <w:sz w:val="13"/>
                <w:szCs w:val="13"/>
                <w:color w:val="auto"/>
              </w:rPr>
            </w:pPr>
          </w:p>
        </w:tc>
        <w:tc>
          <w:tcPr>
            <w:tcW w:w="960" w:type="dxa"/>
            <w:vAlign w:val="bottom"/>
            <w:tcBorders>
              <w:top w:val="single" w:sz="8" w:color="auto"/>
            </w:tcBorders>
            <w:shd w:val="clear" w:color="auto" w:fill="EEEEEE"/>
          </w:tcPr>
          <w:p>
            <w:pPr>
              <w:spacing w:after="0"/>
              <w:rPr>
                <w:sz w:val="13"/>
                <w:szCs w:val="13"/>
                <w:color w:val="auto"/>
              </w:rPr>
            </w:pPr>
          </w:p>
        </w:tc>
        <w:tc>
          <w:tcPr>
            <w:tcW w:w="220" w:type="dxa"/>
            <w:vAlign w:val="bottom"/>
            <w:tcBorders>
              <w:top w:val="single" w:sz="8" w:color="EEEEEE"/>
            </w:tcBorders>
            <w:shd w:val="clear" w:color="auto" w:fill="EEEEEE"/>
          </w:tcPr>
          <w:p>
            <w:pPr>
              <w:spacing w:after="0"/>
              <w:rPr>
                <w:sz w:val="13"/>
                <w:szCs w:val="13"/>
                <w:color w:val="auto"/>
              </w:rPr>
            </w:pPr>
          </w:p>
        </w:tc>
        <w:tc>
          <w:tcPr>
            <w:tcW w:w="900" w:type="dxa"/>
            <w:vAlign w:val="bottom"/>
            <w:tcBorders>
              <w:top w:val="single" w:sz="8" w:color="auto"/>
            </w:tcBorders>
            <w:shd w:val="clear" w:color="auto" w:fill="EEEEEE"/>
          </w:tcPr>
          <w:p>
            <w:pPr>
              <w:spacing w:after="0"/>
              <w:rPr>
                <w:sz w:val="13"/>
                <w:szCs w:val="13"/>
                <w:color w:val="auto"/>
              </w:rPr>
            </w:pPr>
          </w:p>
        </w:tc>
        <w:tc>
          <w:tcPr>
            <w:tcW w:w="16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800" w:type="dxa"/>
            <w:vAlign w:val="bottom"/>
            <w:tcBorders>
              <w:top w:val="single" w:sz="8" w:color="auto"/>
            </w:tcBorders>
            <w:shd w:val="clear" w:color="auto" w:fill="EEEEEE"/>
          </w:tcPr>
          <w:p>
            <w:pPr>
              <w:spacing w:after="0"/>
              <w:rPr>
                <w:sz w:val="2"/>
                <w:szCs w:val="2"/>
                <w:color w:val="auto"/>
              </w:rPr>
            </w:pPr>
          </w:p>
        </w:tc>
        <w:tc>
          <w:tcPr>
            <w:tcW w:w="140" w:type="dxa"/>
            <w:vAlign w:val="bottom"/>
            <w:tcBorders>
              <w:top w:val="single" w:sz="8" w:color="EEEEEE"/>
            </w:tcBorders>
            <w:shd w:val="clear" w:color="auto" w:fill="EEEEEE"/>
          </w:tcPr>
          <w:p>
            <w:pPr>
              <w:spacing w:after="0"/>
              <w:rPr>
                <w:sz w:val="2"/>
                <w:szCs w:val="2"/>
                <w:color w:val="auto"/>
              </w:rPr>
            </w:pPr>
          </w:p>
        </w:tc>
        <w:tc>
          <w:tcPr>
            <w:tcW w:w="84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02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96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900" w:type="dxa"/>
            <w:vAlign w:val="bottom"/>
            <w:tcBorders>
              <w:top w:val="single" w:sz="8" w:color="EEEEEE"/>
            </w:tcBorders>
            <w:shd w:val="clear" w:color="auto" w:fill="EEEEEE"/>
          </w:tcPr>
          <w:p>
            <w:pPr>
              <w:spacing w:after="0"/>
              <w:rPr>
                <w:sz w:val="2"/>
                <w:szCs w:val="2"/>
                <w:color w:val="auto"/>
              </w:rPr>
            </w:pPr>
          </w:p>
        </w:tc>
        <w:tc>
          <w:tcPr>
            <w:tcW w:w="280" w:type="dxa"/>
            <w:vAlign w:val="bottom"/>
            <w:tcBorders>
              <w:top w:val="single" w:sz="8" w:color="EEEEEE"/>
            </w:tcBorders>
            <w:shd w:val="clear" w:color="auto" w:fill="EEEEEE"/>
          </w:tcPr>
          <w:p>
            <w:pPr>
              <w:spacing w:after="0"/>
              <w:rPr>
                <w:sz w:val="2"/>
                <w:szCs w:val="2"/>
                <w:color w:val="auto"/>
              </w:rPr>
            </w:pPr>
          </w:p>
        </w:tc>
        <w:tc>
          <w:tcPr>
            <w:tcW w:w="120" w:type="dxa"/>
            <w:vAlign w:val="bottom"/>
            <w:tcBorders>
              <w:top w:val="single" w:sz="8" w:color="EEEEEE"/>
            </w:tcBorders>
            <w:shd w:val="clear" w:color="auto" w:fill="EEEEEE"/>
          </w:tcPr>
          <w:p>
            <w:pPr>
              <w:spacing w:after="0"/>
              <w:rPr>
                <w:sz w:val="2"/>
                <w:szCs w:val="2"/>
                <w:color w:val="auto"/>
              </w:rPr>
            </w:pPr>
          </w:p>
        </w:tc>
        <w:tc>
          <w:tcPr>
            <w:tcW w:w="1020" w:type="dxa"/>
            <w:vAlign w:val="bottom"/>
            <w:tcBorders>
              <w:top w:val="single" w:sz="8" w:color="EEEEEE"/>
            </w:tcBorders>
            <w:shd w:val="clear" w:color="auto" w:fill="EEEEEE"/>
          </w:tcPr>
          <w:p>
            <w:pPr>
              <w:spacing w:after="0"/>
              <w:rPr>
                <w:sz w:val="2"/>
                <w:szCs w:val="2"/>
                <w:color w:val="auto"/>
              </w:rPr>
            </w:pPr>
          </w:p>
        </w:tc>
        <w:tc>
          <w:tcPr>
            <w:tcW w:w="260" w:type="dxa"/>
            <w:vAlign w:val="bottom"/>
            <w:tcBorders>
              <w:top w:val="single" w:sz="8" w:color="EEEEEE"/>
            </w:tcBorders>
            <w:shd w:val="clear" w:color="auto" w:fill="EEEEEE"/>
          </w:tcPr>
          <w:p>
            <w:pPr>
              <w:spacing w:after="0"/>
              <w:rPr>
                <w:sz w:val="2"/>
                <w:szCs w:val="2"/>
                <w:color w:val="auto"/>
              </w:rPr>
            </w:pPr>
          </w:p>
        </w:tc>
        <w:tc>
          <w:tcPr>
            <w:tcW w:w="180" w:type="dxa"/>
            <w:vAlign w:val="bottom"/>
            <w:tcBorders>
              <w:top w:val="single" w:sz="8" w:color="EEEEEE"/>
            </w:tcBorders>
            <w:shd w:val="clear" w:color="auto" w:fill="EEEEEE"/>
          </w:tcPr>
          <w:p>
            <w:pPr>
              <w:spacing w:after="0"/>
              <w:rPr>
                <w:sz w:val="2"/>
                <w:szCs w:val="2"/>
                <w:color w:val="auto"/>
              </w:rPr>
            </w:pPr>
          </w:p>
        </w:tc>
        <w:tc>
          <w:tcPr>
            <w:tcW w:w="960" w:type="dxa"/>
            <w:vAlign w:val="bottom"/>
            <w:tcBorders>
              <w:top w:val="single" w:sz="8" w:color="EEEEEE"/>
            </w:tcBorders>
            <w:shd w:val="clear" w:color="auto" w:fill="EEEEEE"/>
          </w:tcPr>
          <w:p>
            <w:pPr>
              <w:spacing w:after="0"/>
              <w:rPr>
                <w:sz w:val="2"/>
                <w:szCs w:val="2"/>
                <w:color w:val="auto"/>
              </w:rPr>
            </w:pPr>
          </w:p>
        </w:tc>
        <w:tc>
          <w:tcPr>
            <w:tcW w:w="220" w:type="dxa"/>
            <w:vAlign w:val="bottom"/>
            <w:tcBorders>
              <w:top w:val="single" w:sz="8" w:color="EEEEEE"/>
            </w:tcBorders>
            <w:shd w:val="clear" w:color="auto" w:fill="EEEEEE"/>
          </w:tcPr>
          <w:p>
            <w:pPr>
              <w:spacing w:after="0"/>
              <w:rPr>
                <w:sz w:val="2"/>
                <w:szCs w:val="2"/>
                <w:color w:val="auto"/>
              </w:rPr>
            </w:pPr>
          </w:p>
        </w:tc>
        <w:tc>
          <w:tcPr>
            <w:tcW w:w="900" w:type="dxa"/>
            <w:vAlign w:val="bottom"/>
            <w:tcBorders>
              <w:top w:val="single" w:sz="8" w:color="EEEEEE"/>
            </w:tcBorders>
            <w:shd w:val="clear" w:color="auto" w:fill="EEEEEE"/>
          </w:tcPr>
          <w:p>
            <w:pPr>
              <w:spacing w:after="0"/>
              <w:rPr>
                <w:sz w:val="2"/>
                <w:szCs w:val="2"/>
                <w:color w:val="auto"/>
              </w:rPr>
            </w:pPr>
          </w:p>
        </w:tc>
        <w:tc>
          <w:tcPr>
            <w:tcW w:w="160" w:type="dxa"/>
            <w:vAlign w:val="bottom"/>
            <w:tcBorders>
              <w:top w:val="single" w:sz="8" w:color="EEEEEE"/>
            </w:tcBorders>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1,383,193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285,169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1,015,404</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225,268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2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5,919</w:t>
            </w:r>
          </w:p>
        </w:tc>
        <w:tc>
          <w:tcPr>
            <w:tcW w:w="16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1,565</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31,294</w:t>
            </w: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6,062</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1,389,112</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286,734</w:t>
            </w:r>
          </w:p>
        </w:tc>
        <w:tc>
          <w:tcPr>
            <w:tcW w:w="220" w:type="dxa"/>
            <w:vAlign w:val="bottom"/>
            <w:vMerge w:val="continue"/>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1,046,698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231,330</w:t>
            </w:r>
          </w:p>
        </w:tc>
        <w:tc>
          <w:tcPr>
            <w:tcW w:w="220" w:type="dxa"/>
            <w:vAlign w:val="bottom"/>
            <w:vMerge w:val="continue"/>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4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2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96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90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96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90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5"/>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52,596</w:t>
            </w: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5,217</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40,285</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5,003</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14,225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1,989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24,107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3,330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9"/>
              </w:rPr>
              <w:t>Debt secured by receivables measured at fair</w:t>
            </w: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5"/>
            <w:shd w:val="clear" w:color="auto" w:fill="EEEEEE"/>
          </w:tcPr>
          <w:p>
            <w:pPr>
              <w:ind w:left="80"/>
              <w:spacing w:after="0"/>
              <w:rPr>
                <w:sz w:val="20"/>
                <w:szCs w:val="20"/>
                <w:color w:val="auto"/>
              </w:rPr>
            </w:pPr>
            <w:r>
              <w:rPr>
                <w:rFonts w:ascii="Arial" w:cs="Arial" w:eastAsia="Arial" w:hAnsi="Arial"/>
                <w:sz w:val="18"/>
                <w:szCs w:val="18"/>
                <w:color w:val="auto"/>
              </w:rPr>
              <w:t>value</w:t>
            </w:r>
          </w:p>
        </w:tc>
        <w:tc>
          <w:tcPr>
            <w:tcW w:w="12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5,561</w:t>
            </w:r>
          </w:p>
        </w:tc>
        <w:tc>
          <w:tcPr>
            <w:tcW w:w="16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772</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27,506</w:t>
            </w:r>
          </w:p>
        </w:tc>
        <w:tc>
          <w:tcPr>
            <w:tcW w:w="1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3,877</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1,298,033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38,558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941,591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34,744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9,471</w:t>
            </w:r>
          </w:p>
        </w:tc>
        <w:tc>
          <w:tcPr>
            <w:tcW w:w="1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1,651</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41,906</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8,064</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17,074</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2,208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21,763</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3,161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180" w:type="dxa"/>
            <w:vAlign w:val="bottom"/>
            <w:gridSpan w:val="2"/>
            <w:vMerge w:val="restart"/>
            <w:shd w:val="clear" w:color="auto" w:fill="EEEEEE"/>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106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1,396,960</w:t>
            </w:r>
          </w:p>
        </w:tc>
        <w:tc>
          <w:tcPr>
            <w:tcW w:w="16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50,395</w:t>
            </w:r>
          </w:p>
        </w:tc>
        <w:tc>
          <w:tcPr>
            <w:tcW w:w="220" w:type="dxa"/>
            <w:vAlign w:val="bottom"/>
            <w:vMerge w:val="continue"/>
            <w:shd w:val="clear" w:color="auto" w:fill="EEEEEE"/>
          </w:tcPr>
          <w:p>
            <w:pPr>
              <w:spacing w:after="0"/>
              <w:rPr>
                <w:sz w:val="20"/>
                <w:szCs w:val="20"/>
                <w:color w:val="auto"/>
              </w:rPr>
            </w:pPr>
          </w:p>
        </w:tc>
        <w:tc>
          <w:tcPr>
            <w:tcW w:w="1180" w:type="dxa"/>
            <w:vAlign w:val="bottom"/>
            <w:gridSpan w:val="2"/>
            <w:vMerge w:val="continue"/>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1,097,158</w:t>
            </w: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58,179</w:t>
            </w:r>
          </w:p>
        </w:tc>
        <w:tc>
          <w:tcPr>
            <w:tcW w:w="220" w:type="dxa"/>
            <w:vAlign w:val="bottom"/>
            <w:vMerge w:val="continue"/>
            <w:shd w:val="clear" w:color="auto" w:fill="EEEEEE"/>
          </w:tcPr>
          <w:p>
            <w:pPr>
              <w:spacing w:after="0"/>
              <w:rPr>
                <w:sz w:val="20"/>
                <w:szCs w:val="20"/>
                <w:color w:val="auto"/>
              </w:rPr>
            </w:pPr>
          </w:p>
        </w:tc>
        <w:tc>
          <w:tcPr>
            <w:tcW w:w="1060" w:type="dxa"/>
            <w:vAlign w:val="bottom"/>
            <w:gridSpan w:val="2"/>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96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60" w:type="dxa"/>
            <w:vAlign w:val="bottom"/>
            <w:gridSpan w:val="6"/>
            <w:vMerge w:val="restart"/>
          </w:tcPr>
          <w:p>
            <w:pPr>
              <w:spacing w:after="0"/>
              <w:rPr>
                <w:sz w:val="20"/>
                <w:szCs w:val="20"/>
                <w:color w:val="auto"/>
              </w:rPr>
            </w:pPr>
            <w:r>
              <w:rPr>
                <w:rFonts w:ascii="Arial" w:cs="Arial" w:eastAsia="Arial" w:hAnsi="Arial"/>
                <w:sz w:val="18"/>
                <w:szCs w:val="18"/>
                <w:color w:val="auto"/>
              </w:rPr>
              <w:t>Net interest income/spread</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vMerge w:val="restart"/>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236,339</w:t>
            </w: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173,151</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60" w:type="dxa"/>
            <w:vAlign w:val="bottom"/>
            <w:gridSpan w:val="6"/>
            <w:vMerge w:val="continue"/>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Borders>
              <w:top w:val="single" w:sz="8" w:color="EEEEEE"/>
            </w:tcBorders>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margin (3)</w:t>
            </w: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180" w:type="dxa"/>
            <w:vAlign w:val="bottom"/>
            <w:tcBorders>
              <w:top w:val="single" w:sz="8" w:color="EEEEEE"/>
            </w:tcBorders>
            <w:gridSpan w:val="2"/>
            <w:shd w:val="clear" w:color="auto" w:fill="EEEEEE"/>
          </w:tcPr>
          <w:p>
            <w:pPr>
              <w:jc w:val="right"/>
              <w:ind w:right="120"/>
              <w:spacing w:after="0" w:line="196" w:lineRule="exact"/>
              <w:rPr>
                <w:sz w:val="20"/>
                <w:szCs w:val="20"/>
                <w:color w:val="auto"/>
              </w:rPr>
            </w:pPr>
            <w:r>
              <w:rPr>
                <w:rFonts w:ascii="Arial" w:cs="Arial" w:eastAsia="Arial" w:hAnsi="Arial"/>
                <w:sz w:val="18"/>
                <w:szCs w:val="18"/>
                <w:color w:val="auto"/>
              </w:rPr>
              <w:t>17.0%</w:t>
            </w:r>
          </w:p>
        </w:tc>
        <w:tc>
          <w:tcPr>
            <w:tcW w:w="120" w:type="dxa"/>
            <w:vAlign w:val="bottom"/>
            <w:tcBorders>
              <w:top w:val="single" w:sz="8" w:color="EEEEEE"/>
            </w:tcBorders>
            <w:shd w:val="clear" w:color="auto" w:fill="EEEEEE"/>
          </w:tcPr>
          <w:p>
            <w:pPr>
              <w:spacing w:after="0"/>
              <w:rPr>
                <w:sz w:val="17"/>
                <w:szCs w:val="17"/>
                <w:color w:val="auto"/>
              </w:rPr>
            </w:pPr>
          </w:p>
        </w:tc>
        <w:tc>
          <w:tcPr>
            <w:tcW w:w="102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96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060" w:type="dxa"/>
            <w:vAlign w:val="bottom"/>
            <w:tcBorders>
              <w:top w:val="single" w:sz="8" w:color="EEEEEE"/>
            </w:tcBorders>
            <w:gridSpan w:val="2"/>
            <w:shd w:val="clear" w:color="auto" w:fill="EEEEEE"/>
          </w:tcPr>
          <w:p>
            <w:pPr>
              <w:jc w:val="right"/>
              <w:ind w:right="20"/>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5"/>
          </w:tcPr>
          <w:p>
            <w:pPr>
              <w:spacing w:after="0" w:line="201" w:lineRule="exact"/>
              <w:rPr>
                <w:sz w:val="20"/>
                <w:szCs w:val="20"/>
                <w:color w:val="auto"/>
              </w:rPr>
            </w:pPr>
            <w:r>
              <w:rPr>
                <w:rFonts w:ascii="Arial" w:cs="Arial" w:eastAsia="Arial" w:hAnsi="Arial"/>
                <w:sz w:val="18"/>
                <w:szCs w:val="18"/>
                <w:color w:val="auto"/>
              </w:rPr>
              <w:t>Ratio of average interest earning assets to</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gridSpan w:val="5"/>
          </w:tcPr>
          <w:p>
            <w:pPr>
              <w:ind w:left="80"/>
              <w:spacing w:after="0"/>
              <w:rPr>
                <w:sz w:val="20"/>
                <w:szCs w:val="20"/>
                <w:color w:val="auto"/>
              </w:rPr>
            </w:pPr>
            <w:r>
              <w:rPr>
                <w:rFonts w:ascii="Arial" w:cs="Arial" w:eastAsia="Arial" w:hAnsi="Arial"/>
                <w:sz w:val="18"/>
                <w:szCs w:val="18"/>
                <w:color w:val="auto"/>
              </w:rPr>
              <w:t>average interest bearing liabilities</w:t>
            </w: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Average balances are based on month end balances except for warehouse lines of credit, which are based on daily balances.</w:t>
      </w:r>
    </w:p>
    <w:p>
      <w:pPr>
        <w:spacing w:after="0" w:line="198" w:lineRule="exact"/>
        <w:rPr>
          <w:rFonts w:ascii="Arial" w:cs="Arial" w:eastAsia="Arial" w:hAnsi="Arial"/>
          <w:sz w:val="18"/>
          <w:szCs w:val="18"/>
          <w:i w:val="1"/>
          <w:iCs w:val="1"/>
          <w:color w:val="auto"/>
        </w:rPr>
      </w:pPr>
    </w:p>
    <w:p>
      <w:pPr>
        <w:ind w:left="300" w:hanging="292"/>
        <w:spacing w:after="0"/>
        <w:tabs>
          <w:tab w:leader="none" w:pos="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Net of deferred fees and direct costs.</w:t>
      </w:r>
    </w:p>
    <w:p>
      <w:pPr>
        <w:spacing w:after="0" w:line="184" w:lineRule="exact"/>
        <w:rPr>
          <w:rFonts w:ascii="Arial" w:cs="Arial" w:eastAsia="Arial" w:hAnsi="Arial"/>
          <w:sz w:val="18"/>
          <w:szCs w:val="18"/>
          <w:i w:val="1"/>
          <w:iCs w:val="1"/>
          <w:color w:val="auto"/>
        </w:rPr>
      </w:pPr>
    </w:p>
    <w:p>
      <w:pPr>
        <w:ind w:left="300" w:hanging="292"/>
        <w:spacing w:after="0"/>
        <w:tabs>
          <w:tab w:leader="none" w:pos="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 net interest income divided by average interest earning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7"/>
          </w:tcPr>
          <w:p>
            <w:pPr>
              <w:jc w:val="center"/>
              <w:ind w:left="990"/>
              <w:spacing w:after="0"/>
              <w:rPr>
                <w:sz w:val="20"/>
                <w:szCs w:val="20"/>
                <w:color w:val="auto"/>
              </w:rPr>
            </w:pPr>
            <w:r>
              <w:rPr>
                <w:rFonts w:ascii="Arial" w:cs="Arial" w:eastAsia="Arial" w:hAnsi="Arial"/>
                <w:sz w:val="18"/>
                <w:szCs w:val="18"/>
                <w:b w:val="1"/>
                <w:bCs w:val="1"/>
                <w:color w:val="auto"/>
                <w:w w:val="90"/>
              </w:rPr>
              <w:t>Year Ended December 31, 2014</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8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90"/>
              </w:rPr>
              <w:t>Compared to December 31, 2013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w w:val="94"/>
              </w:rPr>
              <w:t>Change Due to</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88"/>
              </w:rPr>
              <w:t>Change Due to</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780" w:type="dxa"/>
            <w:vAlign w:val="bottom"/>
            <w:gridSpan w:val="4"/>
            <w:vMerge w:val="restart"/>
          </w:tcPr>
          <w:p>
            <w:pPr>
              <w:jc w:val="center"/>
              <w:ind w:right="740"/>
              <w:spacing w:after="0"/>
              <w:rPr>
                <w:sz w:val="20"/>
                <w:szCs w:val="20"/>
                <w:color w:val="auto"/>
              </w:rPr>
            </w:pPr>
            <w:r>
              <w:rPr>
                <w:rFonts w:ascii="Arial" w:cs="Arial" w:eastAsia="Arial" w:hAnsi="Arial"/>
                <w:sz w:val="18"/>
                <w:szCs w:val="18"/>
                <w:b w:val="1"/>
                <w:bCs w:val="1"/>
                <w:color w:val="auto"/>
                <w:w w:val="89"/>
              </w:rPr>
              <w:t>Interest Earning Assets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Total Change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Volume</w:t>
            </w: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780" w:type="dxa"/>
            <w:vAlign w:val="bottom"/>
            <w:gridSpan w:val="4"/>
            <w:vMerge w:val="continue"/>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2"/>
          </w:tcPr>
          <w:p>
            <w:pPr>
              <w:jc w:val="center"/>
              <w:ind w:right="46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7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59,901</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81,594</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(21,693)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(4,497)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(4,915)</w:t>
            </w:r>
          </w:p>
        </w:tc>
        <w:tc>
          <w:tcPr>
            <w:tcW w:w="1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72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55,404</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76,679</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(21,275)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gridSpan w:val="5"/>
          </w:tcPr>
          <w:p>
            <w:pPr>
              <w:jc w:val="center"/>
              <w:ind w:left="129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1,529</w:t>
            </w: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(1,365)</w:t>
            </w: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(3,105)</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(3,093)</w:t>
            </w: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3,814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13,152</w:t>
            </w: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(6,413)</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(6,241)</w:t>
            </w:r>
          </w:p>
        </w:tc>
        <w:tc>
          <w:tcPr>
            <w:tcW w:w="1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720" w:type="dxa"/>
            <w:vAlign w:val="bottom"/>
            <w:tcBorders>
              <w:top w:val="single" w:sz="8" w:color="EEEEEE"/>
            </w:tcBorders>
            <w:shd w:val="clear" w:color="auto" w:fill="EEEEEE"/>
          </w:tcPr>
          <w:p>
            <w:pPr>
              <w:spacing w:after="0"/>
              <w:rPr>
                <w:sz w:val="18"/>
                <w:szCs w:val="18"/>
                <w:color w:val="auto"/>
              </w:rPr>
            </w:pPr>
          </w:p>
        </w:tc>
        <w:tc>
          <w:tcPr>
            <w:tcW w:w="16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(7,784</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3,301</w:t>
            </w: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(11,085</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6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73,378</w:t>
            </w:r>
          </w:p>
        </w:tc>
        <w:tc>
          <w:tcPr>
            <w:tcW w:w="3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20" w:type="dxa"/>
            <w:vAlign w:val="bottom"/>
            <w:vMerge w:val="restart"/>
          </w:tcPr>
          <w:p>
            <w:pPr>
              <w:jc w:val="right"/>
              <w:ind w:right="6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46" w:name="page47"/>
    <w:bookmarkEnd w:id="46"/>
    <w:p>
      <w:pPr>
        <w:ind w:right="20" w:firstLine="162"/>
        <w:spacing w:after="0" w:line="276" w:lineRule="auto"/>
        <w:rPr>
          <w:sz w:val="20"/>
          <w:szCs w:val="20"/>
          <w:color w:val="auto"/>
        </w:rPr>
      </w:pPr>
      <w:r>
        <w:rPr>
          <w:rFonts w:ascii="Arial" w:cs="Arial" w:eastAsia="Arial" w:hAnsi="Arial"/>
          <w:sz w:val="17"/>
          <w:szCs w:val="17"/>
          <w:color w:val="auto"/>
        </w:rPr>
        <w:t>Provision for credit losses was $108.2 million for the year ended December 31, 2014, an increase of $31.4 million, or 40.8% compared to the prior year and represented 43.6%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$2.8 million, or 20.6%, to $16.1 million during the year ended December 31, 2014, compared to $13.4 million in the prior year, and represented 6.5% of total operating expenses. For the year ended December 31, 2014, we purchased 59,276 contracts representing $944.9 million in receivables compared to 48,995 contracts representing $764.1 million in receivables in the prior year.</w:t>
      </w:r>
    </w:p>
    <w:p>
      <w:pPr>
        <w:spacing w:after="0" w:line="193" w:lineRule="exact"/>
        <w:rPr>
          <w:sz w:val="20"/>
          <w:szCs w:val="20"/>
          <w:color w:val="auto"/>
        </w:rPr>
      </w:pPr>
    </w:p>
    <w:p>
      <w:pPr>
        <w:ind w:right="720" w:firstLine="162"/>
        <w:spacing w:after="0" w:line="277" w:lineRule="auto"/>
        <w:rPr>
          <w:sz w:val="20"/>
          <w:szCs w:val="20"/>
          <w:color w:val="auto"/>
        </w:rPr>
      </w:pPr>
      <w:r>
        <w:rPr>
          <w:rFonts w:ascii="Arial" w:cs="Arial" w:eastAsia="Arial" w:hAnsi="Arial"/>
          <w:sz w:val="18"/>
          <w:szCs w:val="18"/>
          <w:color w:val="auto"/>
        </w:rPr>
        <w:t>Occupancy expenses increased by $856,000 or 32.8%, to $3.5 million compared to $2.6 million in the previous year and represented 1.4% of total operating expenses. In April 2014, we established our fifth servicing center located in Las Vegas, Nevada.</w:t>
      </w:r>
    </w:p>
    <w:p>
      <w:pPr>
        <w:spacing w:after="0" w:line="17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Depreciation and amortization expenses decreased by $9,000 or 2.1%, to $428,000 compared to $437,000 in the previous year and represented 0.2% of total operating expenses.</w:t>
      </w:r>
    </w:p>
    <w:p>
      <w:pPr>
        <w:spacing w:after="0" w:line="170"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For the year ended December 31, 2014, we recorded income tax expense of $22.7 million, representing a 43.5% effective income tax rate. In the prior year, we recorded $16.2 million of income tax expense, also representing a 43.5%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right="20" w:firstLine="130"/>
        <w:spacing w:after="0" w:line="287" w:lineRule="auto"/>
        <w:rPr>
          <w:sz w:val="20"/>
          <w:szCs w:val="20"/>
          <w:color w:val="auto"/>
        </w:rPr>
      </w:pPr>
      <w:r>
        <w:rPr>
          <w:rFonts w:ascii="Arial" w:cs="Arial" w:eastAsia="Arial" w:hAnsi="Arial"/>
          <w:sz w:val="16"/>
          <w:szCs w:val="16"/>
          <w:color w:val="auto"/>
        </w:rPr>
        <w:t>Our business requires substantial cash to support purchases of automobile contracts and other operating activities. Our primary sources of cash have been cash flow from operating activities, including proceeds from term securitization transactions and other sales of automobile contracts, amounts borrowed under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securitized portfolios of automobile contracts in which we have retained a residual ownership interest and the related spread accounts. Our primary uses of cash have been the purchases of automobile contracts, repayment of securitization trust debt, repayment of amounts borrowed under warehouse credit facilities, operating expenses such as employee, interest, occupancy expenses and other general and administrative expenses, the establishment of spread accounts and initial overcollateralization, if any, and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portfolios and their related spread accounts), the rate of expansion or contraction in our managed portfolio, and the terms upon which we are able to purchase, sell, and borrow against automobile contracts.</w:t>
      </w:r>
    </w:p>
    <w:p>
      <w:pPr>
        <w:spacing w:after="0" w:line="173" w:lineRule="exact"/>
        <w:rPr>
          <w:sz w:val="20"/>
          <w:szCs w:val="20"/>
          <w:color w:val="auto"/>
        </w:rPr>
      </w:pPr>
    </w:p>
    <w:p>
      <w:pPr>
        <w:ind w:right="340" w:firstLine="130"/>
        <w:spacing w:after="0" w:line="286" w:lineRule="auto"/>
        <w:rPr>
          <w:sz w:val="20"/>
          <w:szCs w:val="20"/>
          <w:color w:val="auto"/>
        </w:rPr>
      </w:pPr>
      <w:r>
        <w:rPr>
          <w:rFonts w:ascii="Arial" w:cs="Arial" w:eastAsia="Arial" w:hAnsi="Arial"/>
          <w:sz w:val="17"/>
          <w:szCs w:val="17"/>
          <w:color w:val="auto"/>
        </w:rPr>
        <w:t>Net cash provided by operating activities for the years ended December 31, 2015, 2014 and 2013 was $187.6 million, $135.8 million and $99.4 million, respectively. Net cash from operating activities is generally provided by net income from operations adjusted for significant non-cash items such as our provision for credit losses, accretion of deferred acquisition fees and the $10.9 million gain on cancellation of debt in 2013.</w:t>
      </w:r>
    </w:p>
    <w:p>
      <w:pPr>
        <w:spacing w:after="0" w:line="166" w:lineRule="exact"/>
        <w:rPr>
          <w:sz w:val="20"/>
          <w:szCs w:val="20"/>
          <w:color w:val="auto"/>
        </w:rPr>
      </w:pPr>
    </w:p>
    <w:p>
      <w:pPr>
        <w:jc w:val="both"/>
        <w:ind w:firstLine="130"/>
        <w:spacing w:after="0" w:line="255" w:lineRule="auto"/>
        <w:rPr>
          <w:sz w:val="20"/>
          <w:szCs w:val="20"/>
          <w:color w:val="auto"/>
        </w:rPr>
      </w:pPr>
      <w:r>
        <w:rPr>
          <w:rFonts w:ascii="Arial" w:cs="Arial" w:eastAsia="Arial" w:hAnsi="Arial"/>
          <w:sz w:val="18"/>
          <w:szCs w:val="18"/>
          <w:color w:val="auto"/>
        </w:rPr>
        <w:t>Net cash used in investing activities for the years ended December 31, 2015, 2014 and 2013 was $441.3 million, $541.2 million and $409.6 million, respectively. Cash provided by investing activities primarily results from principal payments and other proceeds received on finance receivables held for investment. Cash used in investing activities generally relates to purchases of finance receivables. Purchases of finance receivables held for investment were $1,060.5 million, $944.9 million and $764.1 million in 2015, 2014 and 2013, respectively. The results for 2015 also reflect a decrease of $69.3 million in restricted cash. Our restricted cash balance at December 31, 2014 included $85.3 million from the proceeds of the sale of the asset-backed notes that were held by the trustee pending delivery of the remaining receivables. Since we did not do a securitization in December of 2015, there was no related amount of restricted cash representing the pre-funding proceeds.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ind w:right="120" w:firstLine="130"/>
        <w:spacing w:after="0" w:line="255" w:lineRule="auto"/>
        <w:rPr>
          <w:sz w:val="20"/>
          <w:szCs w:val="20"/>
          <w:color w:val="auto"/>
        </w:rPr>
      </w:pPr>
      <w:r>
        <w:rPr>
          <w:rFonts w:ascii="Arial" w:cs="Arial" w:eastAsia="Arial" w:hAnsi="Arial"/>
          <w:sz w:val="18"/>
          <w:szCs w:val="18"/>
          <w:color w:val="auto"/>
        </w:rPr>
        <w:t>Net cash provided by financing activities for the years ended December 31, 2015, 2014 and 2013 was $255.2 million, $401.1 million and $319.3 million, respectively. Cash used or provided by financing activities is primarily attributable to the repayment or issuance of debt, and in particular, securitization trust debt and portfolio acquisition financing. We issued $795.0 million in new securitization trust debt in 2015 compared to $923.0 million in 2014 and $778.0 million in 2013. The decrease in new securitization trust debt from 2014 to 2015 is the result of our forgoing what would have been our December 2015 securitization to January 2016. Repayments of securitization debt were $662.0 million, $502.2 million and $382.6 million in 2015, 2014 and 2013, respectively.</w:t>
      </w:r>
    </w:p>
    <w:p>
      <w:pPr>
        <w:spacing w:after="0" w:line="193" w:lineRule="exact"/>
        <w:rPr>
          <w:sz w:val="20"/>
          <w:szCs w:val="20"/>
          <w:color w:val="auto"/>
        </w:rPr>
      </w:pPr>
    </w:p>
    <w:p>
      <w:pPr>
        <w:ind w:right="140" w:firstLine="130"/>
        <w:spacing w:after="0" w:line="302" w:lineRule="auto"/>
        <w:rPr>
          <w:sz w:val="20"/>
          <w:szCs w:val="20"/>
          <w:color w:val="auto"/>
        </w:rPr>
      </w:pPr>
      <w:r>
        <w:rPr>
          <w:rFonts w:ascii="Arial" w:cs="Arial" w:eastAsia="Arial" w:hAnsi="Arial"/>
          <w:sz w:val="16"/>
          <w:szCs w:val="16"/>
          <w:color w:val="auto"/>
        </w:rPr>
        <w:t>We purchase automobile contracts from dealers for a cash price approximating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54" w:lineRule="exact"/>
        <w:rPr>
          <w:sz w:val="20"/>
          <w:szCs w:val="20"/>
          <w:color w:val="auto"/>
        </w:rPr>
      </w:pPr>
    </w:p>
    <w:p>
      <w:pPr>
        <w:ind w:firstLine="130"/>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ind w:firstLine="130"/>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December 31, 2015, we had unrestricted cash of $19.3 million. We had an aggregate of $103.5 million available under our three $100 million warehouse credit facilities (subject to available eligible collateral). During 2015 we completed three securitizations aggregating $795.0 million of receivables, and we intend to continue completing securitizations regularly during 2016, although there can be no assurance that we will be able to do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ind w:right="60" w:firstLine="130"/>
        <w:spacing w:after="0" w:line="271"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defaults or net losses related to the automobile contracts in the pool are below certain predetermined levels. In the event delinquencies, defaults or net losses on the automobile contracts exceed such levels, the terms of the securitization: (i) may require increased credit enhancement to be accumulated for the particular pool; or (ii) in certain circumstances, may permit the transfer of servicing on some or all of the automobile contracts to another servicer. There can be no assurance that collections from the related trusts will continue to generate sufficient cash. Moreover, some of our spread account balances are pledged as collateral to our residual interest financing and, under certain circumstances, releases from our spread account balances could be diverted to repay such residual interest financing.</w:t>
      </w:r>
    </w:p>
    <w:p>
      <w:pPr>
        <w:spacing w:after="0" w:line="179" w:lineRule="exact"/>
        <w:rPr>
          <w:sz w:val="20"/>
          <w:szCs w:val="20"/>
          <w:color w:val="auto"/>
        </w:rPr>
      </w:pPr>
    </w:p>
    <w:p>
      <w:pPr>
        <w:ind w:right="620" w:firstLine="130"/>
        <w:spacing w:after="0" w:line="279" w:lineRule="auto"/>
        <w:rPr>
          <w:sz w:val="20"/>
          <w:szCs w:val="20"/>
          <w:color w:val="auto"/>
        </w:rPr>
      </w:pPr>
      <w:r>
        <w:rPr>
          <w:rFonts w:ascii="Arial" w:cs="Arial" w:eastAsia="Arial" w:hAnsi="Arial"/>
          <w:sz w:val="17"/>
          <w:szCs w:val="17"/>
          <w:color w:val="auto"/>
        </w:rPr>
        <w:t>We have and will continue to have a substantial amount of indebtedness. At December 31, 2015, we had approximately $1,952.2 million of debt outstanding. Such debt consisted primarily of $1,731.6 million of securitization trust debt, $196.5 million of warehouse lines of credit, $9.0 million of residual interest financing and $15.1 million in subordinated renewable notes. We are also currently offering the subordinated notes to the public on a continuous basis, and such notes have maturities that range from three months to 10 years.</w:t>
      </w:r>
    </w:p>
    <w:p>
      <w:pPr>
        <w:spacing w:after="0" w:line="171" w:lineRule="exact"/>
        <w:rPr>
          <w:sz w:val="20"/>
          <w:szCs w:val="20"/>
          <w:color w:val="auto"/>
        </w:rPr>
      </w:pPr>
    </w:p>
    <w:p>
      <w:pPr>
        <w:ind w:right="280" w:firstLine="130"/>
        <w:spacing w:after="0" w:line="259" w:lineRule="auto"/>
        <w:rPr>
          <w:sz w:val="20"/>
          <w:szCs w:val="20"/>
          <w:color w:val="auto"/>
        </w:rPr>
      </w:pPr>
      <w:r>
        <w:rPr>
          <w:rFonts w:ascii="Arial" w:cs="Arial" w:eastAsia="Arial" w:hAnsi="Arial"/>
          <w:sz w:val="18"/>
          <w:szCs w:val="18"/>
          <w:color w:val="auto"/>
        </w:rPr>
        <w:t>Our recent operating results include pre-tax earnings of $61.4 million, $52.2 million, $37.2 million and $9.2 million in 2015, 2014, 2013 and 2012, respectively,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7" w:lineRule="exact"/>
        <w:rPr>
          <w:sz w:val="20"/>
          <w:szCs w:val="20"/>
          <w:color w:val="auto"/>
        </w:rPr>
      </w:pPr>
    </w:p>
    <w:p>
      <w:pPr>
        <w:jc w:val="both"/>
        <w:ind w:right="120" w:firstLine="130"/>
        <w:spacing w:after="0" w:line="264" w:lineRule="auto"/>
        <w:rPr>
          <w:sz w:val="20"/>
          <w:szCs w:val="20"/>
          <w:color w:val="auto"/>
        </w:rPr>
      </w:pPr>
      <w:r>
        <w:rPr>
          <w:rFonts w:ascii="Arial" w:cs="Arial" w:eastAsia="Arial" w:hAnsi="Arial"/>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Failure to pay our indebtedness when due could have a material adverse effect and may require us to issue additional debt or equity securities.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our material contractual obligations as of December 31, 2015 (dollars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b w:val="1"/>
                <w:bCs w:val="1"/>
                <w:color w:val="auto"/>
                <w:w w:val="92"/>
              </w:rPr>
              <w:t>Payment Due by Period (1)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85"/>
              </w:rPr>
              <w:t>Less than</w:t>
            </w:r>
          </w:p>
        </w:tc>
        <w:tc>
          <w:tcPr>
            <w:tcW w:w="1700" w:type="dxa"/>
            <w:vAlign w:val="bottom"/>
            <w:gridSpan w:val="3"/>
          </w:tcPr>
          <w:p>
            <w:pPr>
              <w:ind w:left="360"/>
              <w:spacing w:after="0" w:line="205" w:lineRule="exact"/>
              <w:rPr>
                <w:sz w:val="20"/>
                <w:szCs w:val="20"/>
                <w:color w:val="auto"/>
              </w:rPr>
            </w:pPr>
            <w:r>
              <w:rPr>
                <w:rFonts w:ascii="Arial" w:cs="Arial" w:eastAsia="Arial" w:hAnsi="Arial"/>
                <w:sz w:val="18"/>
                <w:szCs w:val="18"/>
                <w:b w:val="1"/>
                <w:bCs w:val="1"/>
                <w:color w:val="auto"/>
              </w:rPr>
              <w:t>2 to 3</w:t>
            </w:r>
          </w:p>
        </w:tc>
        <w:tc>
          <w:tcPr>
            <w:tcW w:w="106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4 to 5</w:t>
            </w: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1 Year</w:t>
            </w:r>
          </w:p>
        </w:tc>
        <w:tc>
          <w:tcPr>
            <w:tcW w:w="1700" w:type="dxa"/>
            <w:vAlign w:val="bottom"/>
            <w:gridSpan w:val="3"/>
          </w:tcPr>
          <w:p>
            <w:pPr>
              <w:ind w:left="360"/>
              <w:spacing w:after="0"/>
              <w:rPr>
                <w:sz w:val="20"/>
                <w:szCs w:val="20"/>
                <w:color w:val="auto"/>
              </w:rPr>
            </w:pPr>
            <w:r>
              <w:rPr>
                <w:rFonts w:ascii="Arial" w:cs="Arial" w:eastAsia="Arial" w:hAnsi="Arial"/>
                <w:sz w:val="18"/>
                <w:szCs w:val="18"/>
                <w:b w:val="1"/>
                <w:bCs w:val="1"/>
                <w:color w:val="auto"/>
              </w:rPr>
              <w:t>Years</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Years</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5 Years</w:t>
            </w:r>
          </w:p>
        </w:tc>
      </w:tr>
      <w:tr>
        <w:trPr>
          <w:trHeight w:val="210"/>
        </w:trPr>
        <w:tc>
          <w:tcPr>
            <w:tcW w:w="20" w:type="dxa"/>
            <w:vAlign w:val="bottom"/>
          </w:tcPr>
          <w:p>
            <w:pPr>
              <w:spacing w:after="0"/>
              <w:rPr>
                <w:sz w:val="18"/>
                <w:szCs w:val="18"/>
                <w:color w:val="auto"/>
              </w:rPr>
            </w:pPr>
          </w:p>
        </w:tc>
        <w:tc>
          <w:tcPr>
            <w:tcW w:w="19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5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24,180</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12,310</w:t>
            </w:r>
          </w:p>
        </w:tc>
        <w:tc>
          <w:tcPr>
            <w:tcW w:w="20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9,533</w:t>
            </w: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618</w:t>
            </w:r>
          </w:p>
        </w:tc>
        <w:tc>
          <w:tcPr>
            <w:tcW w:w="22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Operating Leases</w:t>
            </w:r>
          </w:p>
        </w:tc>
        <w:tc>
          <w:tcPr>
            <w:tcW w:w="7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33,341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4,713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11,528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9,413</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340" w:right="80" w:hanging="332"/>
        <w:spacing w:after="0" w:line="254" w:lineRule="auto"/>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$1,731.6 million as of December 31, 2015, is omitted from this table because it becomes due as and when the related receivables balance is reduced by payments and charge-offs. Expected payments, which will depend on the performance of such receivables, as to which there can be no assurance, are $669.2 million in 2016, $506.5 million in 2017, $315.4 million in 2018, $172.2 million in 2019, $64.3 million in 2020, and $4.0 million in 2021.</w:t>
      </w:r>
    </w:p>
    <w:p>
      <w:pPr>
        <w:spacing w:after="0" w:line="2" w:lineRule="exact"/>
        <w:rPr>
          <w:rFonts w:ascii="Arial" w:cs="Arial" w:eastAsia="Arial" w:hAnsi="Arial"/>
          <w:sz w:val="18"/>
          <w:szCs w:val="18"/>
          <w:i w:val="1"/>
          <w:iCs w:val="1"/>
          <w:color w:val="auto"/>
        </w:rPr>
      </w:pPr>
    </w:p>
    <w:p>
      <w:pPr>
        <w:ind w:left="340" w:hanging="332"/>
        <w:spacing w:after="0"/>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includes residual interest debt and subordinated renewable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debt that is due in 2016, we anticipate repaying it with a combination of cash flows from operations and the potential issuance of new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ind w:right="100" w:firstLine="130"/>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6"/>
          <w:szCs w:val="16"/>
          <w:i w:val="1"/>
          <w:iCs w:val="1"/>
          <w:color w:val="auto"/>
        </w:rPr>
        <w:t xml:space="preserve">Facility Established in December 2010. </w:t>
      </w:r>
      <w:r>
        <w:rPr>
          <w:rFonts w:ascii="Arial" w:cs="Arial" w:eastAsia="Arial" w:hAnsi="Arial"/>
          <w:sz w:val="16"/>
          <w:szCs w:val="16"/>
          <w:color w:val="auto"/>
        </w:rPr>
        <w:t>In December 2010 we entered into a $100 million two-year warehouse credit line with affiliates of Goldman, Sachs</w:t>
      </w:r>
    </w:p>
    <w:p>
      <w:pPr>
        <w:spacing w:after="0" w:line="46" w:lineRule="exact"/>
        <w:rPr>
          <w:sz w:val="20"/>
          <w:szCs w:val="20"/>
          <w:color w:val="auto"/>
        </w:rPr>
      </w:pPr>
    </w:p>
    <w:p>
      <w:pPr>
        <w:ind w:right="60" w:firstLine="8"/>
        <w:spacing w:after="0" w:line="292" w:lineRule="auto"/>
        <w:tabs>
          <w:tab w:leader="none" w:pos="1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 and Fortress Investment Group. The facility was structured to allow us to fund a portion of the purchase price of automobile contracts by borrowing from a credit facility to our consolidated subsidiary Page Six Funding LLC. The facility provided for advances up to 88% of eligible finance receivables and the loans under it accrued interest at a rate of one-month LIBOR plus 5.73% per annum, with a minimum rate of 6.73% per annum. In March 2013, this facility was amended to extend the revolving period to March 2015 and to include an amortization period through March 2017 for any receivables pledged to the facility at the end of the revolving period. In March 2015, the revolving period was extended to April of 2015. We repaid the facility in full in April 2015.</w:t>
      </w:r>
    </w:p>
    <w:p>
      <w:pPr>
        <w:spacing w:after="0" w:line="163" w:lineRule="exact"/>
        <w:rPr>
          <w:sz w:val="20"/>
          <w:szCs w:val="20"/>
          <w:color w:val="auto"/>
        </w:rPr>
      </w:pPr>
    </w:p>
    <w:p>
      <w:pPr>
        <w:ind w:right="160" w:firstLine="130"/>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an additional $100 million one-year warehouse credit line with Citibank, N.A. The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is structured to allow us to fund a portion of the purchase price of automobile contracts by borrowing from a credit facility to our consolidated subsidiary Page Eight Funding, LLC. The facility provides for effective advances up to 88.0% of eligible finance receivables. The loans under the facility accrue interest at one-month LIBOR plus 5.50% per annum, with a minimum rate of 6.25% per annum. In August 2014, this facility was amended to extend the revolving period to August 2016 and to include an amortization period through August 2017 for any receivables pledged to the facility at the end of the revolving period. At December 31, 2015 there was $73.9 million outstanding under this facility.</w:t>
      </w:r>
    </w:p>
    <w:p>
      <w:pPr>
        <w:spacing w:after="0" w:line="178" w:lineRule="exact"/>
        <w:rPr>
          <w:sz w:val="20"/>
          <w:szCs w:val="20"/>
          <w:color w:val="auto"/>
        </w:rPr>
      </w:pPr>
    </w:p>
    <w:p>
      <w:pPr>
        <w:ind w:right="20" w:firstLine="130"/>
        <w:spacing w:after="0" w:line="255" w:lineRule="auto"/>
        <w:rPr>
          <w:sz w:val="20"/>
          <w:szCs w:val="20"/>
          <w:color w:val="auto"/>
        </w:rPr>
      </w:pPr>
      <w:r>
        <w:rPr>
          <w:rFonts w:ascii="Arial" w:cs="Arial" w:eastAsia="Arial" w:hAnsi="Arial"/>
          <w:sz w:val="18"/>
          <w:szCs w:val="18"/>
          <w:i w:val="1"/>
          <w:iCs w:val="1"/>
          <w:color w:val="auto"/>
        </w:rPr>
        <w:t xml:space="preserve">Facility Established in April 2015. </w:t>
      </w:r>
      <w:r>
        <w:rPr>
          <w:rFonts w:ascii="Arial" w:cs="Arial" w:eastAsia="Arial" w:hAnsi="Arial"/>
          <w:sz w:val="18"/>
          <w:szCs w:val="18"/>
          <w:color w:val="auto"/>
        </w:rPr>
        <w:t>On April 17, 2015, we entered into an additional $100 million one-year warehouse credit line with Fortress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Group. The facility is structured to allow us to fund a portion of the purchase price of automobile contracts by borrowing from a credit facility to our consolidated subsidiary Page Six Funding, LLC. The facility provides for effective advances up to 88.0% of eligible finance receivables. The loans under the facility accrue interest at one-month LIBOR plus 5.50% per annum, with a minimum rate of 6.50% per annum. The revolving period terminates in April 2017 followed by an amortization period through April 2019 for any receivables pledged to the facility at the end of the revolving period. At December 31, 2015 there was $91.5 million outstanding under this facility.</w:t>
      </w:r>
    </w:p>
    <w:p>
      <w:pPr>
        <w:spacing w:after="0" w:line="193" w:lineRule="exact"/>
        <w:rPr>
          <w:sz w:val="20"/>
          <w:szCs w:val="20"/>
          <w:color w:val="auto"/>
        </w:rPr>
      </w:pPr>
    </w:p>
    <w:p>
      <w:pPr>
        <w:ind w:firstLine="130"/>
        <w:spacing w:after="0" w:line="255" w:lineRule="auto"/>
        <w:rPr>
          <w:sz w:val="20"/>
          <w:szCs w:val="20"/>
          <w:color w:val="auto"/>
        </w:rPr>
      </w:pPr>
      <w:r>
        <w:rPr>
          <w:rFonts w:ascii="Arial" w:cs="Arial" w:eastAsia="Arial" w:hAnsi="Arial"/>
          <w:sz w:val="18"/>
          <w:szCs w:val="18"/>
          <w:i w:val="1"/>
          <w:iCs w:val="1"/>
          <w:color w:val="auto"/>
        </w:rPr>
        <w:t xml:space="preserve">Facility Established in November 2015. </w:t>
      </w:r>
      <w:r>
        <w:rPr>
          <w:rFonts w:ascii="Arial" w:cs="Arial" w:eastAsia="Arial" w:hAnsi="Arial"/>
          <w:sz w:val="18"/>
          <w:szCs w:val="18"/>
          <w:color w:val="auto"/>
        </w:rPr>
        <w:t>On November 24, 2015, we entered into an additional $100 million one-year warehouse credit line with affiliates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Suisse Group and Ares Management LP. The facility is structured to allow us to fund a portion of the purchase price of automobile contracts by borrowing from a credit facility to our consolidated subsidiary Page Nine Funding, LLC. The facility provides for effective advances up to 88.0% of eligible finance receivables, or up to 80.0% for certain other receivables. The loans under the facility accrue interest at a commercial paper rate plus 6.75% per annum, with a minimum rate of 7.75% per annum. The revolving period terminates in November 2017 followed by an amortization period through November 2019 for any receivables pledged to the facility at the end of the revolving period. At December 31, 2015 there was $31.0 million outstanding under this facility.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60" w:firstLine="130"/>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ind w:firstLine="130"/>
        <w:spacing w:after="0" w:line="297"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ind w:right="260" w:firstLine="130"/>
        <w:spacing w:after="0" w:line="277" w:lineRule="auto"/>
        <w:rPr>
          <w:sz w:val="20"/>
          <w:szCs w:val="20"/>
          <w:color w:val="auto"/>
        </w:rPr>
      </w:pPr>
      <w:r>
        <w:rPr>
          <w:rFonts w:ascii="Arial" w:cs="Arial" w:eastAsia="Arial" w:hAnsi="Arial"/>
          <w:sz w:val="18"/>
          <w:szCs w:val="18"/>
          <w:color w:val="auto"/>
        </w:rPr>
        <w:t>Over the period from January 1, 2013 through December 31, 2015 we have managed our capitalization by issuing and refinancing debt as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2014</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center"/>
              <w:ind w:right="160"/>
              <w:spacing w:after="0"/>
              <w:rPr>
                <w:sz w:val="20"/>
                <w:szCs w:val="20"/>
                <w:color w:val="auto"/>
              </w:rPr>
            </w:pPr>
            <w:r>
              <w:rPr>
                <w:rFonts w:ascii="Arial" w:cs="Arial" w:eastAsia="Arial" w:hAnsi="Arial"/>
                <w:sz w:val="18"/>
                <w:szCs w:val="18"/>
                <w:color w:val="auto"/>
                <w:w w:val="91"/>
              </w:rPr>
              <w:t>(Dollars 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Beginning balance</w:t>
            </w:r>
          </w:p>
        </w:tc>
        <w:tc>
          <w:tcPr>
            <w:tcW w:w="12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12,327</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19,096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(3,285)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(6,769)</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9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9,042</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12,327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19,096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Beginning balance</w:t>
            </w:r>
          </w:p>
        </w:tc>
        <w:tc>
          <w:tcPr>
            <w:tcW w:w="12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1,598,496</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1,177,559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792,497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795,000</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923,000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(661,960)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(502,193)</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Amortization of discount</w:t>
            </w:r>
          </w:p>
        </w:tc>
        <w:tc>
          <w:tcPr>
            <w:tcW w:w="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Cancellation of debt</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9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SENIOR SECURED DEBT, RELATED PARTY:</w:t>
            </w:r>
          </w:p>
        </w:tc>
        <w:tc>
          <w:tcPr>
            <w:tcW w:w="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Beginning balance</w:t>
            </w:r>
          </w:p>
        </w:tc>
        <w:tc>
          <w:tcPr>
            <w:tcW w:w="12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38,559</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Issuances</w:t>
            </w:r>
          </w:p>
        </w:tc>
        <w:tc>
          <w:tcPr>
            <w:tcW w:w="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(39,182)</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Debt discount net of amortization</w:t>
            </w:r>
          </w:p>
        </w:tc>
        <w:tc>
          <w:tcPr>
            <w:tcW w:w="9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38,559</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rPr>
              <w:t>SUBORDINATED RENEWABLE NOTES: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122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15,233</w:t>
            </w:r>
          </w:p>
        </w:tc>
        <w:tc>
          <w:tcPr>
            <w:tcW w:w="5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19,142</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Issuances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1,551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w:t>
            </w:r>
          </w:p>
        </w:tc>
        <w:tc>
          <w:tcPr>
            <w:tcW w:w="9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(1,646)</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(4,488)</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Ending balance</w:t>
            </w:r>
          </w:p>
        </w:tc>
        <w:tc>
          <w:tcPr>
            <w:tcW w:w="9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15,138</w:t>
            </w:r>
          </w:p>
        </w:tc>
        <w:tc>
          <w:tcPr>
            <w:tcW w:w="140" w:type="dxa"/>
            <w:vAlign w:val="bottom"/>
            <w:tcBorders>
              <w:bottom w:val="single" w:sz="8" w:color="EEEEEE"/>
            </w:tcBorders>
          </w:tcPr>
          <w:p>
            <w:pPr>
              <w:spacing w:after="0"/>
              <w:rPr>
                <w:sz w:val="22"/>
                <w:szCs w:val="22"/>
                <w:color w:val="auto"/>
              </w:rPr>
            </w:pPr>
          </w:p>
        </w:tc>
        <w:tc>
          <w:tcPr>
            <w:tcW w:w="20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15,233</w:t>
            </w:r>
          </w:p>
        </w:tc>
        <w:tc>
          <w:tcPr>
            <w:tcW w:w="34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b w:val="1"/>
                <w:bCs w:val="1"/>
                <w:color w:val="auto"/>
                <w:w w:val="99"/>
              </w:rPr>
              <w:t>DEBT SECURED BY RECEIVABLES MEASURED AT FAIR VALUE:</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122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1,250</w:t>
            </w:r>
          </w:p>
        </w:tc>
        <w:tc>
          <w:tcPr>
            <w:tcW w:w="5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13,117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(12,456)</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Accretion of premium</w:t>
            </w:r>
          </w:p>
        </w:tc>
        <w:tc>
          <w:tcPr>
            <w:tcW w:w="9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712</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tcPr>
          <w:p>
            <w:pPr>
              <w:ind w:left="160"/>
              <w:spacing w:after="0"/>
              <w:rPr>
                <w:sz w:val="20"/>
                <w:szCs w:val="20"/>
                <w:color w:val="auto"/>
              </w:rPr>
            </w:pPr>
            <w:r>
              <w:rPr>
                <w:rFonts w:ascii="Arial" w:cs="Arial" w:eastAsia="Arial" w:hAnsi="Arial"/>
                <w:sz w:val="18"/>
                <w:szCs w:val="18"/>
                <w:color w:val="auto"/>
              </w:rPr>
              <w:t>Mark to fair value</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9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1,250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20" w:type="dxa"/>
            <w:vAlign w:val="bottom"/>
            <w:vMerge w:val="restart"/>
          </w:tcPr>
          <w:p>
            <w:pPr>
              <w:jc w:val="right"/>
              <w:ind w:right="610"/>
              <w:spacing w:after="0"/>
              <w:rPr>
                <w:sz w:val="20"/>
                <w:szCs w:val="20"/>
                <w:color w:val="auto"/>
              </w:rPr>
            </w:pPr>
            <w:r>
              <w:rPr>
                <w:rFonts w:ascii="Arial" w:cs="Arial" w:eastAsia="Arial" w:hAnsi="Arial"/>
                <w:sz w:val="18"/>
                <w:szCs w:val="18"/>
                <w:color w:val="auto"/>
                <w:w w:val="99"/>
              </w:rPr>
              <w:t>48</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50" w:name="page51"/>
    <w:bookmarkEnd w:id="50"/>
    <w:p>
      <w:pPr>
        <w:ind w:left="140"/>
        <w:spacing w:after="0"/>
        <w:rPr>
          <w:sz w:val="20"/>
          <w:szCs w:val="20"/>
          <w:color w:val="auto"/>
        </w:rPr>
      </w:pPr>
      <w:r>
        <w:rPr>
          <w:rFonts w:ascii="Arial" w:cs="Arial" w:eastAsia="Arial" w:hAnsi="Arial"/>
          <w:sz w:val="18"/>
          <w:szCs w:val="18"/>
          <w:i w:val="1"/>
          <w:iCs w:val="1"/>
          <w:color w:val="auto"/>
        </w:rPr>
        <w:t>Residual Interest Financing.</w:t>
      </w:r>
    </w:p>
    <w:p>
      <w:pPr>
        <w:spacing w:after="0" w:line="225" w:lineRule="exact"/>
        <w:rPr>
          <w:sz w:val="20"/>
          <w:szCs w:val="20"/>
          <w:color w:val="auto"/>
        </w:rPr>
      </w:pPr>
    </w:p>
    <w:p>
      <w:pPr>
        <w:jc w:val="both"/>
        <w:ind w:right="20" w:firstLine="130"/>
        <w:spacing w:after="0" w:line="286" w:lineRule="auto"/>
        <w:rPr>
          <w:sz w:val="20"/>
          <w:szCs w:val="20"/>
          <w:color w:val="auto"/>
        </w:rPr>
      </w:pPr>
      <w:r>
        <w:rPr>
          <w:rFonts w:ascii="Arial" w:cs="Arial" w:eastAsia="Arial" w:hAnsi="Arial"/>
          <w:sz w:val="17"/>
          <w:szCs w:val="17"/>
          <w:color w:val="auto"/>
        </w:rPr>
        <w:t>In April 2013, we established a five-year $20 million term residual facility. The facility is secured by eligible residual interests in two previously securitized pools of automobile receivables. The facility provides for effective advances up to 70.0% of the related borrowing base. Notes issued under the facility accrue interest at one-month LIBOR plus 11.75% per annum. At December 31, 2015, there was $9.0 million outstanding under this facility.</w:t>
      </w:r>
    </w:p>
    <w:p>
      <w:pPr>
        <w:spacing w:after="0" w:line="166" w:lineRule="exact"/>
        <w:rPr>
          <w:sz w:val="20"/>
          <w:szCs w:val="20"/>
          <w:color w:val="auto"/>
        </w:rPr>
      </w:pPr>
    </w:p>
    <w:p>
      <w:pPr>
        <w:ind w:right="180" w:firstLine="130"/>
        <w:spacing w:after="0" w:line="297" w:lineRule="auto"/>
        <w:rPr>
          <w:sz w:val="20"/>
          <w:szCs w:val="20"/>
          <w:color w:val="auto"/>
        </w:rPr>
      </w:pPr>
      <w:r>
        <w:rPr>
          <w:rFonts w:ascii="Arial" w:cs="Arial" w:eastAsia="Arial" w:hAnsi="Arial"/>
          <w:sz w:val="16"/>
          <w:szCs w:val="16"/>
          <w:i w:val="1"/>
          <w:iCs w:val="1"/>
          <w:color w:val="auto"/>
        </w:rPr>
        <w:t xml:space="preserve">Securitization Trust Debt. </w:t>
      </w:r>
      <w:r>
        <w:rPr>
          <w:rFonts w:ascii="Arial" w:cs="Arial" w:eastAsia="Arial" w:hAnsi="Arial"/>
          <w:sz w:val="16"/>
          <w:szCs w:val="16"/>
          <w:color w:val="auto"/>
        </w:rPr>
        <w:t>From July 2003 through April 2008, we treated all securitizations of automobile contracts as secured financings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purposes, and the asset-backed securities issued in such securitizations remain on our consolidated balance sheet as securitization trust debt. Our September 2008 and the re-securitization of the remaining receivables from such transaction in September 2010 were each structured as a sale for financial accounting purposes and the asset-backed securities issued in those transactions have not been and are not on our consolidated balance sheet. Since 2011 all 18 of our securitizations have been treated as secured financings and make up $1,731.6 million of our securitization trust debt at December 31, 2015.</w:t>
      </w:r>
    </w:p>
    <w:p>
      <w:pPr>
        <w:spacing w:after="0" w:line="158" w:lineRule="exact"/>
        <w:rPr>
          <w:sz w:val="20"/>
          <w:szCs w:val="20"/>
          <w:color w:val="auto"/>
        </w:rPr>
      </w:pPr>
    </w:p>
    <w:p>
      <w:pPr>
        <w:ind w:firstLine="130"/>
        <w:spacing w:after="0" w:line="257" w:lineRule="auto"/>
        <w:rPr>
          <w:sz w:val="20"/>
          <w:szCs w:val="20"/>
          <w:color w:val="auto"/>
        </w:rPr>
      </w:pPr>
      <w:r>
        <w:rPr>
          <w:rFonts w:ascii="Arial" w:cs="Arial" w:eastAsia="Arial" w:hAnsi="Arial"/>
          <w:sz w:val="18"/>
          <w:szCs w:val="18"/>
          <w:i w:val="1"/>
          <w:iCs w:val="1"/>
          <w:color w:val="auto"/>
        </w:rPr>
        <w:t xml:space="preserve">Subordinated Renewable Notes Debt. </w:t>
      </w:r>
      <w:r>
        <w:rPr>
          <w:rFonts w:ascii="Arial" w:cs="Arial" w:eastAsia="Arial" w:hAnsi="Arial"/>
          <w:sz w:val="18"/>
          <w:szCs w:val="18"/>
          <w:color w:val="auto"/>
        </w:rPr>
        <w:t>In June 2005, we began issuing registered subordinated renewable notes in an ongoing offering to the public. Upon</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 At December 31, 2015 there were $15.1 million of such notes outstanding.</w:t>
      </w:r>
    </w:p>
    <w:p>
      <w:pPr>
        <w:spacing w:after="0" w:line="188" w:lineRule="exact"/>
        <w:rPr>
          <w:sz w:val="20"/>
          <w:szCs w:val="20"/>
          <w:color w:val="auto"/>
        </w:rPr>
      </w:pPr>
    </w:p>
    <w:p>
      <w:pPr>
        <w:jc w:val="both"/>
        <w:ind w:right="440" w:firstLine="130"/>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2015,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130"/>
        <w:spacing w:after="0" w:line="286"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to be inaccurate.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130"/>
        <w:spacing w:after="0" w:line="290" w:lineRule="auto"/>
        <w:rPr>
          <w:sz w:val="20"/>
          <w:szCs w:val="20"/>
          <w:color w:val="auto"/>
        </w:rPr>
      </w:pPr>
      <w:r>
        <w:rPr>
          <w:rFonts w:ascii="Arial" w:cs="Arial" w:eastAsia="Arial" w:hAnsi="Arial"/>
          <w:sz w:val="16"/>
          <w:szCs w:val="16"/>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ind w:firstLine="130"/>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240" w:firstLine="130"/>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80" w:firstLine="130"/>
        <w:spacing w:after="0" w:line="270"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management of the Company has evaluated the effectiveness of the design and operation of the Company’s disclosure controls and procedures, as defined in Rules 13a-15(e) and 15d-15(e) under the Securities Exchange Act of 1934 (the "Exchange Act") as of December 31, 2015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78" w:lineRule="exact"/>
        <w:rPr>
          <w:sz w:val="20"/>
          <w:szCs w:val="20"/>
          <w:color w:val="auto"/>
        </w:rPr>
      </w:pPr>
    </w:p>
    <w:p>
      <w:pPr>
        <w:ind w:right="60" w:firstLine="130"/>
        <w:spacing w:after="0" w:line="264"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December 31, 2015, there were no changes in our internal control over financial reporting that have materially affected, or are reasonably likely to materially affect, our internal control over financial reporting.</w:t>
      </w:r>
    </w:p>
    <w:p>
      <w:pPr>
        <w:spacing w:after="0" w:line="181" w:lineRule="exact"/>
        <w:rPr>
          <w:sz w:val="20"/>
          <w:szCs w:val="20"/>
          <w:color w:val="auto"/>
        </w:rPr>
      </w:pPr>
    </w:p>
    <w:p>
      <w:pPr>
        <w:ind w:right="320" w:firstLine="130"/>
        <w:spacing w:after="0" w:line="312"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We are responsible for establishing and maintaining adequate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47" w:lineRule="exact"/>
        <w:rPr>
          <w:sz w:val="20"/>
          <w:szCs w:val="20"/>
          <w:color w:val="auto"/>
        </w:rPr>
      </w:pPr>
    </w:p>
    <w:p>
      <w:pPr>
        <w:ind w:right="660" w:firstLine="130"/>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47" w:lineRule="exact"/>
        <w:rPr>
          <w:sz w:val="20"/>
          <w:szCs w:val="20"/>
          <w:color w:val="auto"/>
        </w:rPr>
      </w:pPr>
    </w:p>
    <w:p>
      <w:pPr>
        <w:ind w:right="100" w:firstLine="130"/>
        <w:spacing w:after="0" w:line="302" w:lineRule="auto"/>
        <w:rPr>
          <w:sz w:val="20"/>
          <w:szCs w:val="20"/>
          <w:color w:val="auto"/>
        </w:rPr>
      </w:pPr>
      <w:r>
        <w:rPr>
          <w:rFonts w:ascii="Arial" w:cs="Arial" w:eastAsia="Arial" w:hAnsi="Arial"/>
          <w:sz w:val="16"/>
          <w:szCs w:val="16"/>
          <w:color w:val="auto"/>
        </w:rPr>
        <w:t>Management, with the participation of the chief executive and chief financial officers, assessed the effectiveness of our internal control over financial reporting as of December 31, 2015. In making this assessment, we used the criteria set forth by the Committee of Sponsoring Organizations of the Treadway Commission (COSO) in the 2013 Internal Control — Integrated Framework. Based on this assessment, management, with the participation of the chief executive and chief financial officers, believes that, as of December 31, 2015, our internal control over financial reporting is effective based on those criteria.</w:t>
      </w:r>
    </w:p>
    <w:p>
      <w:pPr>
        <w:spacing w:after="0" w:line="154" w:lineRule="exact"/>
        <w:rPr>
          <w:sz w:val="20"/>
          <w:szCs w:val="20"/>
          <w:color w:val="auto"/>
        </w:rPr>
      </w:pPr>
    </w:p>
    <w:p>
      <w:pPr>
        <w:ind w:right="760" w:firstLine="130"/>
        <w:spacing w:after="0" w:line="277" w:lineRule="auto"/>
        <w:rPr>
          <w:sz w:val="20"/>
          <w:szCs w:val="20"/>
          <w:color w:val="auto"/>
        </w:rPr>
      </w:pPr>
      <w:r>
        <w:rPr>
          <w:rFonts w:ascii="Arial" w:cs="Arial" w:eastAsia="Arial" w:hAnsi="Arial"/>
          <w:sz w:val="18"/>
          <w:szCs w:val="18"/>
          <w:color w:val="auto"/>
        </w:rPr>
        <w:t>Our internal control over financial reporting as of December 31, 2015, has been audited by Crowe Horwath LLP, an independent registered public accounting firm, as stated in their report which is included herein.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2" w:name="page53"/>
    <w:bookmarkEnd w:id="52"/>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ind w:firstLine="130"/>
        <w:spacing w:after="0" w:line="264"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2016 (the "2016 Proxy Statement"). The 2016 Proxy Statement will be filed not later than April 30, 2016. Information regarding executive officers of the registrant appears in Part I of this report, and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2016 Proxy Statement.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2016 Proxy Statement.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2016 Proxy Statement.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Incorporated by reference to the 2016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688" w:right="5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20" w:firstLine="130"/>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i w:val="1"/>
                <w:iCs w:val="1"/>
                <w:color w:val="auto"/>
              </w:rPr>
              <w:t>Exhibit</w:t>
            </w:r>
          </w:p>
        </w:tc>
        <w:tc>
          <w:tcPr>
            <w:tcW w:w="1560" w:type="dxa"/>
            <w:vAlign w:val="bottom"/>
          </w:tcPr>
          <w:p>
            <w:pPr>
              <w:spacing w:after="0"/>
              <w:rPr>
                <w:sz w:val="18"/>
                <w:szCs w:val="18"/>
                <w:color w:val="auto"/>
              </w:rPr>
            </w:pPr>
          </w:p>
        </w:tc>
        <w:tc>
          <w:tcPr>
            <w:tcW w:w="898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i w:val="1"/>
                <w:iCs w:val="1"/>
                <w:color w:val="auto"/>
              </w:rPr>
              <w:t>Number</w:t>
            </w:r>
          </w:p>
        </w:tc>
        <w:tc>
          <w:tcPr>
            <w:tcW w:w="1560" w:type="dxa"/>
            <w:vAlign w:val="bottom"/>
          </w:tcPr>
          <w:p>
            <w:pPr>
              <w:ind w:left="280"/>
              <w:spacing w:after="0"/>
              <w:rPr>
                <w:sz w:val="20"/>
                <w:szCs w:val="20"/>
                <w:color w:val="auto"/>
              </w:rPr>
            </w:pPr>
            <w:r>
              <w:rPr>
                <w:rFonts w:ascii="Arial" w:cs="Arial" w:eastAsia="Arial" w:hAnsi="Arial"/>
                <w:sz w:val="18"/>
                <w:szCs w:val="18"/>
                <w:i w:val="1"/>
                <w:iCs w:val="1"/>
                <w:color w:val="auto"/>
              </w:rPr>
              <w:t>Description</w:t>
            </w:r>
          </w:p>
        </w:tc>
        <w:tc>
          <w:tcPr>
            <w:tcW w:w="8980" w:type="dxa"/>
            <w:vAlign w:val="bottom"/>
          </w:tcPr>
          <w:p>
            <w:pPr>
              <w:ind w:left="420"/>
              <w:spacing w:after="0"/>
              <w:rPr>
                <w:sz w:val="20"/>
                <w:szCs w:val="20"/>
                <w:color w:val="auto"/>
              </w:rPr>
            </w:pPr>
            <w:r>
              <w:rPr>
                <w:rFonts w:ascii="Arial" w:cs="Arial" w:eastAsia="Arial" w:hAnsi="Arial"/>
                <w:sz w:val="18"/>
                <w:szCs w:val="18"/>
                <w:i w:val="1"/>
                <w:iCs w:val="1"/>
                <w:color w:val="auto"/>
              </w:rPr>
              <w:t>(“**” indicates compensatory plan or agreement.)</w:t>
            </w:r>
          </w:p>
        </w:tc>
      </w:tr>
      <w:tr>
        <w:trPr>
          <w:trHeight w:val="216"/>
        </w:trPr>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3.1</w:t>
            </w:r>
          </w:p>
        </w:tc>
        <w:tc>
          <w:tcPr>
            <w:tcW w:w="10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Restated Articles of Incorporation (Exhibit 3.1 to Form 10-K filed March 31, 2009)</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gridSpan w:val="2"/>
          </w:tcPr>
          <w:p>
            <w:pPr>
              <w:ind w:left="280"/>
              <w:spacing w:after="0"/>
              <w:rPr>
                <w:sz w:val="20"/>
                <w:szCs w:val="20"/>
                <w:color w:val="auto"/>
              </w:rPr>
            </w:pPr>
            <w:r>
              <w:rPr>
                <w:rFonts w:ascii="Arial" w:cs="Arial" w:eastAsia="Arial" w:hAnsi="Arial"/>
                <w:sz w:val="18"/>
                <w:szCs w:val="18"/>
                <w:color w:val="auto"/>
              </w:rPr>
              <w:t>Certificate of Designation re Series B Preferred (Exhibit 3.1.1 to Form 8-K filed by the registrant on December 30, 2010)</w:t>
            </w:r>
          </w:p>
        </w:tc>
      </w:tr>
      <w:tr>
        <w:trPr>
          <w:trHeight w:val="216"/>
        </w:trPr>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3.2</w:t>
            </w:r>
          </w:p>
        </w:tc>
        <w:tc>
          <w:tcPr>
            <w:tcW w:w="10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Amended and Restated Bylaws (Exhibit 3.3 to Form 8-K filed July 20, 2009)</w:t>
            </w:r>
          </w:p>
        </w:tc>
      </w:tr>
    </w:tbl>
    <w:p>
      <w:pPr>
        <w:ind w:left="1160" w:right="20" w:hanging="1152"/>
        <w:spacing w:after="0" w:line="255"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Instruments defining the rights of holders of long-term debt of certain consolidated subsidiaries of the registrant are omitted pursuant to the exclusion set forth in subdivisions (b)(iv)(iii)(A) and (b)(v) of Item 601 of Regulation S-K (17 CFR 229.601). The registrant agrees to provide copies of such instruments to the United States Securities and Exchange Commission upon request.</w:t>
      </w:r>
    </w:p>
    <w:tbl>
      <w:tblPr>
        <w:tblLayout w:type="fixed"/>
        <w:tblInd w:w="0" w:type="dxa"/>
        <w:tblCellMar>
          <w:top w:w="0" w:type="dxa"/>
          <w:left w:w="0" w:type="dxa"/>
          <w:bottom w:w="0" w:type="dxa"/>
          <w:right w:w="0" w:type="dxa"/>
        </w:tblCellMar>
      </w:tblPr>
      <w:tr>
        <w:trPr>
          <w:trHeight w:val="205"/>
        </w:trPr>
        <w:tc>
          <w:tcPr>
            <w:tcW w:w="860" w:type="dxa"/>
            <w:vAlign w:val="bottom"/>
            <w:shd w:val="clear" w:color="auto" w:fill="EEEEEE"/>
          </w:tcPr>
          <w:p>
            <w:pPr>
              <w:spacing w:after="0" w:line="205" w:lineRule="exact"/>
              <w:rPr>
                <w:sz w:val="20"/>
                <w:szCs w:val="20"/>
                <w:color w:val="auto"/>
              </w:rPr>
            </w:pPr>
            <w:r>
              <w:rPr>
                <w:rFonts w:ascii="Arial" w:cs="Arial" w:eastAsia="Arial" w:hAnsi="Arial"/>
                <w:sz w:val="18"/>
                <w:szCs w:val="18"/>
                <w:color w:val="auto"/>
              </w:rPr>
              <w:t>4.1</w:t>
            </w:r>
          </w:p>
        </w:tc>
        <w:tc>
          <w:tcPr>
            <w:tcW w:w="10560" w:type="dxa"/>
            <w:vAlign w:val="bottom"/>
            <w:shd w:val="clear" w:color="auto" w:fill="EEEEEE"/>
          </w:tcPr>
          <w:p>
            <w:pPr>
              <w:ind w:left="300"/>
              <w:spacing w:after="0" w:line="205" w:lineRule="exact"/>
              <w:rPr>
                <w:sz w:val="20"/>
                <w:szCs w:val="20"/>
                <w:color w:val="auto"/>
              </w:rPr>
            </w:pPr>
            <w:r>
              <w:rPr>
                <w:rFonts w:ascii="Arial" w:cs="Arial" w:eastAsia="Arial" w:hAnsi="Arial"/>
                <w:sz w:val="18"/>
                <w:szCs w:val="18"/>
                <w:color w:val="auto"/>
              </w:rPr>
              <w:t>Form of Indenture re Renewable Unsecured Subordinated Notes (“RUS Notes”). (Exhibit 4.1 to Form S-2, no. 333-121913)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4.2.1</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RUS Notes (Exhibit 4.2 to Form S-2, no. 333-121913)</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4.3</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6"/>
              </w:rPr>
              <w:t>Form of Indenture re additional Renewable Unsecured Subordinated Notes (“ARUS Notes”) (Exhibit 4.1 to Form S-1, no. 333-168976)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4.3.1</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ARUS Notes (Exhibit 4.2 to Form S-1, no. 333-168976)</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4.4</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Supplement dated December 7, 2010 to Indenture re ARUS Notes (Exhibit 4.3 to Form S-1, no. 333-168976)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4.4</w:t>
            </w:r>
          </w:p>
        </w:tc>
        <w:tc>
          <w:tcPr>
            <w:tcW w:w="10560" w:type="dxa"/>
            <w:vAlign w:val="bottom"/>
          </w:tcPr>
          <w:p>
            <w:pPr>
              <w:ind w:left="300"/>
              <w:spacing w:after="0"/>
              <w:rPr>
                <w:sz w:val="20"/>
                <w:szCs w:val="20"/>
                <w:color w:val="auto"/>
              </w:rPr>
            </w:pPr>
            <w:r>
              <w:rPr>
                <w:rFonts w:ascii="Arial" w:cs="Arial" w:eastAsia="Arial" w:hAnsi="Arial"/>
                <w:sz w:val="18"/>
                <w:szCs w:val="18"/>
                <w:color w:val="auto"/>
              </w:rPr>
              <w:t>Supplement dated January 22, 2014 to Indenture re ARUS Notes (Exhibit 4.4 to Form S-1, no. 333-190766)</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4.61</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5"/>
              </w:rPr>
              <w:t>Indenture re Notes issued by CPS Auto Receivables Trust 2015-B (exhibit 4.61 to Form 8-K/A filed by the registrant on June 26, 2015)</w:t>
            </w: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4.62</w:t>
            </w:r>
          </w:p>
        </w:tc>
        <w:tc>
          <w:tcPr>
            <w:tcW w:w="10560" w:type="dxa"/>
            <w:vAlign w:val="bottom"/>
          </w:tcPr>
          <w:p>
            <w:pPr>
              <w:ind w:left="300"/>
              <w:spacing w:after="0" w:line="201" w:lineRule="exact"/>
              <w:rPr>
                <w:sz w:val="20"/>
                <w:szCs w:val="20"/>
                <w:color w:val="auto"/>
              </w:rPr>
            </w:pPr>
            <w:r>
              <w:rPr>
                <w:rFonts w:ascii="Arial" w:cs="Arial" w:eastAsia="Arial" w:hAnsi="Arial"/>
                <w:sz w:val="18"/>
                <w:szCs w:val="18"/>
                <w:color w:val="auto"/>
                <w:w w:val="90"/>
              </w:rPr>
              <w:t>Sale and Servicing Agreement dated as of June 1, 2015, related to notes issued by CPS Auto Receivables Trust 2015-B (exhibit 4.62 to Form</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8-K/A filed by the registrant on June 26, 2015)</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4.63</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2"/>
              </w:rPr>
              <w:t>Indenture re Notes issued by CPS Auto Receivables Trust 2015-C (exhibit 4.63 to Form 8-K filed by the registrant on September 22, 2015)</w:t>
            </w: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4.64</w:t>
            </w:r>
          </w:p>
        </w:tc>
        <w:tc>
          <w:tcPr>
            <w:tcW w:w="10560" w:type="dxa"/>
            <w:vAlign w:val="bottom"/>
          </w:tcPr>
          <w:p>
            <w:pPr>
              <w:ind w:left="300"/>
              <w:spacing w:after="0" w:line="201" w:lineRule="exact"/>
              <w:rPr>
                <w:sz w:val="20"/>
                <w:szCs w:val="20"/>
                <w:color w:val="auto"/>
              </w:rPr>
            </w:pPr>
            <w:r>
              <w:rPr>
                <w:rFonts w:ascii="Arial" w:cs="Arial" w:eastAsia="Arial" w:hAnsi="Arial"/>
                <w:sz w:val="18"/>
                <w:szCs w:val="18"/>
                <w:color w:val="auto"/>
                <w:w w:val="90"/>
              </w:rPr>
              <w:t>Sale and Servicing Agreement dated as of September 1, 2015, related to notes issued by CPS Auto Receivables Trust 2015-C (exhibit 4.64 to</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Form 8-K filed by the registrant on September 22, 2015)</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10.2</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1997 Long-Term Incentive Stock Plan ("1997 Plan") (Exhibit 10.20 to Form S-2, no. 333-121913) **</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10.2.1</w:t>
            </w:r>
          </w:p>
        </w:tc>
        <w:tc>
          <w:tcPr>
            <w:tcW w:w="10560" w:type="dxa"/>
            <w:vAlign w:val="bottom"/>
          </w:tcPr>
          <w:p>
            <w:pPr>
              <w:ind w:left="300"/>
              <w:spacing w:after="0"/>
              <w:rPr>
                <w:sz w:val="20"/>
                <w:szCs w:val="20"/>
                <w:color w:val="auto"/>
              </w:rPr>
            </w:pPr>
            <w:r>
              <w:rPr>
                <w:rFonts w:ascii="Arial" w:cs="Arial" w:eastAsia="Arial" w:hAnsi="Arial"/>
                <w:sz w:val="18"/>
                <w:szCs w:val="18"/>
                <w:color w:val="auto"/>
              </w:rPr>
              <w:t>Form of Option Agreement under 1997 Plan (Exhibit 10.2.1 to Form 10-K filed March 13, 2006) **</w:t>
            </w:r>
          </w:p>
        </w:tc>
      </w:tr>
      <w:tr>
        <w:trPr>
          <w:trHeight w:val="202"/>
        </w:trPr>
        <w:tc>
          <w:tcPr>
            <w:tcW w:w="8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10.14</w:t>
            </w:r>
          </w:p>
        </w:tc>
        <w:tc>
          <w:tcPr>
            <w:tcW w:w="1056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4"/>
              </w:rPr>
              <w:t>2006 Long-Term Equity Incentive Plan as amended May 18, 2015 (Incorporated by reference to pages A-1 through A-10 of the definitive</w:t>
            </w:r>
          </w:p>
        </w:tc>
      </w:tr>
      <w:tr>
        <w:trPr>
          <w:trHeight w:val="230"/>
        </w:trPr>
        <w:tc>
          <w:tcPr>
            <w:tcW w:w="860" w:type="dxa"/>
            <w:vAlign w:val="bottom"/>
            <w:shd w:val="clear" w:color="auto" w:fill="EEEEEE"/>
          </w:tcPr>
          <w:p>
            <w:pPr>
              <w:spacing w:after="0"/>
              <w:rPr>
                <w:sz w:val="20"/>
                <w:szCs w:val="20"/>
                <w:color w:val="auto"/>
              </w:rPr>
            </w:pP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proxy statement filed by the registrant on April 27, 2015)**</w:t>
            </w: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10.14.1</w:t>
            </w:r>
          </w:p>
        </w:tc>
        <w:tc>
          <w:tcPr>
            <w:tcW w:w="10560" w:type="dxa"/>
            <w:vAlign w:val="bottom"/>
          </w:tcPr>
          <w:p>
            <w:pPr>
              <w:ind w:left="300"/>
              <w:spacing w:after="0" w:line="201" w:lineRule="exact"/>
              <w:rPr>
                <w:sz w:val="20"/>
                <w:szCs w:val="20"/>
                <w:color w:val="auto"/>
              </w:rPr>
            </w:pPr>
            <w:r>
              <w:rPr>
                <w:rFonts w:ascii="Arial" w:cs="Arial" w:eastAsia="Arial" w:hAnsi="Arial"/>
                <w:sz w:val="18"/>
                <w:szCs w:val="18"/>
                <w:color w:val="auto"/>
                <w:w w:val="97"/>
              </w:rPr>
              <w:t>Form of Option Agreement under the 2006 Long-Term Equity Incentive Plan (Exhibit 10.14.1 to registrant's Form 10-K filed March 9,</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2007)**</w:t>
            </w:r>
          </w:p>
        </w:tc>
      </w:tr>
      <w:tr>
        <w:trPr>
          <w:trHeight w:val="202"/>
        </w:trPr>
        <w:tc>
          <w:tcPr>
            <w:tcW w:w="8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10.14.2</w:t>
            </w:r>
          </w:p>
        </w:tc>
        <w:tc>
          <w:tcPr>
            <w:tcW w:w="1056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3"/>
              </w:rPr>
              <w:t>Form of Option Agreement under the 2006 Long-Term Equity Incentive Plan (Exhibit 99.(D)(2) to registrant's Schedule TO filed November</w:t>
            </w:r>
          </w:p>
        </w:tc>
      </w:tr>
      <w:tr>
        <w:trPr>
          <w:trHeight w:val="230"/>
        </w:trPr>
        <w:tc>
          <w:tcPr>
            <w:tcW w:w="860" w:type="dxa"/>
            <w:vAlign w:val="bottom"/>
            <w:shd w:val="clear" w:color="auto" w:fill="EEEEEE"/>
          </w:tcPr>
          <w:p>
            <w:pPr>
              <w:spacing w:after="0"/>
              <w:rPr>
                <w:sz w:val="20"/>
                <w:szCs w:val="20"/>
                <w:color w:val="auto"/>
              </w:rPr>
            </w:pP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12, 2009)**</w:t>
            </w: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10.14.2</w:t>
            </w:r>
          </w:p>
        </w:tc>
        <w:tc>
          <w:tcPr>
            <w:tcW w:w="10560" w:type="dxa"/>
            <w:vAlign w:val="bottom"/>
          </w:tcPr>
          <w:p>
            <w:pPr>
              <w:ind w:left="300"/>
              <w:spacing w:after="0" w:line="201" w:lineRule="exact"/>
              <w:rPr>
                <w:sz w:val="20"/>
                <w:szCs w:val="20"/>
                <w:color w:val="auto"/>
              </w:rPr>
            </w:pPr>
            <w:r>
              <w:rPr>
                <w:rFonts w:ascii="Arial" w:cs="Arial" w:eastAsia="Arial" w:hAnsi="Arial"/>
                <w:sz w:val="18"/>
                <w:szCs w:val="18"/>
                <w:color w:val="auto"/>
                <w:w w:val="93"/>
              </w:rPr>
              <w:t>Form of Option Agreement under the 2006 Long-Term Equity Incentive Plan (Exhibit 99.(D)(3) to registrant's Schedule TO filed November</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12, 2009)**</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10.23</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7"/>
              </w:rPr>
              <w:t>Warrant dated July 10, 2008, issued to Citigroup Global Markets Inc. (Exhibit 10.23 to registrant's Form 10-Q filed August 11, 2008)</w:t>
            </w: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10.61</w:t>
            </w:r>
          </w:p>
        </w:tc>
        <w:tc>
          <w:tcPr>
            <w:tcW w:w="10560" w:type="dxa"/>
            <w:vAlign w:val="bottom"/>
          </w:tcPr>
          <w:p>
            <w:pPr>
              <w:ind w:left="300"/>
              <w:spacing w:after="0" w:line="201" w:lineRule="exact"/>
              <w:rPr>
                <w:sz w:val="20"/>
                <w:szCs w:val="20"/>
                <w:color w:val="auto"/>
              </w:rPr>
            </w:pPr>
            <w:r>
              <w:rPr>
                <w:rFonts w:ascii="Arial" w:cs="Arial" w:eastAsia="Arial" w:hAnsi="Arial"/>
                <w:sz w:val="18"/>
                <w:szCs w:val="18"/>
                <w:color w:val="auto"/>
                <w:w w:val="93"/>
              </w:rPr>
              <w:t>Revolving Credit Agreement dated April 17, 2015 among the registrant, its subsidiary Page Six Funding, LLC, and Fortress Credit Co LLC</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("Fortress") (Exhibit 10.61 to registrant's Form 8-K filed April 23, 2015)</w:t>
            </w:r>
          </w:p>
        </w:tc>
      </w:tr>
      <w:tr>
        <w:trPr>
          <w:trHeight w:val="202"/>
        </w:trPr>
        <w:tc>
          <w:tcPr>
            <w:tcW w:w="8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10.62</w:t>
            </w:r>
          </w:p>
        </w:tc>
        <w:tc>
          <w:tcPr>
            <w:tcW w:w="1056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3"/>
              </w:rPr>
              <w:t>Receivables Purchase Agreement dated April 17, 2015 between the registrant and its subsidiary Page Six Funding, LLC (Exhibit 10.62 to</w:t>
            </w:r>
          </w:p>
        </w:tc>
      </w:tr>
      <w:tr>
        <w:trPr>
          <w:trHeight w:val="230"/>
        </w:trPr>
        <w:tc>
          <w:tcPr>
            <w:tcW w:w="860" w:type="dxa"/>
            <w:vAlign w:val="bottom"/>
            <w:shd w:val="clear" w:color="auto" w:fill="EEEEEE"/>
          </w:tcPr>
          <w:p>
            <w:pPr>
              <w:spacing w:after="0"/>
              <w:rPr>
                <w:sz w:val="20"/>
                <w:szCs w:val="20"/>
                <w:color w:val="auto"/>
              </w:rPr>
            </w:pP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registrant's Form 8-K filed April 23, 2015)</w:t>
            </w: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10.63</w:t>
            </w:r>
          </w:p>
        </w:tc>
        <w:tc>
          <w:tcPr>
            <w:tcW w:w="10560" w:type="dxa"/>
            <w:vAlign w:val="bottom"/>
          </w:tcPr>
          <w:p>
            <w:pPr>
              <w:ind w:left="300"/>
              <w:spacing w:after="0" w:line="201" w:lineRule="exact"/>
              <w:rPr>
                <w:sz w:val="20"/>
                <w:szCs w:val="20"/>
                <w:color w:val="auto"/>
              </w:rPr>
            </w:pPr>
            <w:r>
              <w:rPr>
                <w:rFonts w:ascii="Arial" w:cs="Arial" w:eastAsia="Arial" w:hAnsi="Arial"/>
                <w:sz w:val="18"/>
                <w:szCs w:val="18"/>
                <w:color w:val="auto"/>
                <w:w w:val="91"/>
              </w:rPr>
              <w:t>Third Amended and Restated Credit Agreement dated December 2, 2014 among the registrant, its subsidiary Page Eight Funding, LLC, and</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Citibank, N.A. (to be filed by amendment)</w:t>
            </w:r>
          </w:p>
        </w:tc>
      </w:tr>
      <w:tr>
        <w:trPr>
          <w:trHeight w:val="202"/>
        </w:trPr>
        <w:tc>
          <w:tcPr>
            <w:tcW w:w="8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10.64</w:t>
            </w:r>
          </w:p>
        </w:tc>
        <w:tc>
          <w:tcPr>
            <w:tcW w:w="10560" w:type="dxa"/>
            <w:vAlign w:val="bottom"/>
            <w:shd w:val="clear" w:color="auto" w:fill="EEEEEE"/>
          </w:tcPr>
          <w:p>
            <w:pPr>
              <w:ind w:left="300"/>
              <w:spacing w:after="0" w:line="201" w:lineRule="exact"/>
              <w:rPr>
                <w:sz w:val="20"/>
                <w:szCs w:val="20"/>
                <w:color w:val="auto"/>
              </w:rPr>
            </w:pPr>
            <w:r>
              <w:rPr>
                <w:rFonts w:ascii="Arial" w:cs="Arial" w:eastAsia="Arial" w:hAnsi="Arial"/>
                <w:sz w:val="18"/>
                <w:szCs w:val="18"/>
                <w:color w:val="auto"/>
                <w:w w:val="91"/>
              </w:rPr>
              <w:t>Revolving Credit Agreement dated November 24, 2015 among the registrant, its subsidiary Page Nine Funding, LLC, Credit Suisse AG, New</w:t>
            </w:r>
          </w:p>
        </w:tc>
      </w:tr>
      <w:tr>
        <w:trPr>
          <w:trHeight w:val="230"/>
        </w:trPr>
        <w:tc>
          <w:tcPr>
            <w:tcW w:w="860" w:type="dxa"/>
            <w:vAlign w:val="bottom"/>
            <w:shd w:val="clear" w:color="auto" w:fill="EEEEEE"/>
          </w:tcPr>
          <w:p>
            <w:pPr>
              <w:spacing w:after="0"/>
              <w:rPr>
                <w:sz w:val="20"/>
                <w:szCs w:val="20"/>
                <w:color w:val="auto"/>
              </w:rPr>
            </w:pP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York Branch, and Ares Agent Services, L.P. (to be filed by amendment)</w:t>
            </w:r>
          </w:p>
        </w:tc>
      </w:tr>
      <w:tr>
        <w:trPr>
          <w:trHeight w:val="202"/>
        </w:trPr>
        <w:tc>
          <w:tcPr>
            <w:tcW w:w="860" w:type="dxa"/>
            <w:vAlign w:val="bottom"/>
          </w:tcPr>
          <w:p>
            <w:pPr>
              <w:spacing w:after="0" w:line="201" w:lineRule="exact"/>
              <w:rPr>
                <w:sz w:val="20"/>
                <w:szCs w:val="20"/>
                <w:color w:val="auto"/>
              </w:rPr>
            </w:pPr>
            <w:r>
              <w:rPr>
                <w:rFonts w:ascii="Arial" w:cs="Arial" w:eastAsia="Arial" w:hAnsi="Arial"/>
                <w:sz w:val="18"/>
                <w:szCs w:val="18"/>
                <w:color w:val="auto"/>
              </w:rPr>
              <w:t>10.65</w:t>
            </w:r>
          </w:p>
        </w:tc>
        <w:tc>
          <w:tcPr>
            <w:tcW w:w="10560" w:type="dxa"/>
            <w:vAlign w:val="bottom"/>
          </w:tcPr>
          <w:p>
            <w:pPr>
              <w:ind w:left="300"/>
              <w:spacing w:after="0" w:line="201" w:lineRule="exact"/>
              <w:rPr>
                <w:sz w:val="20"/>
                <w:szCs w:val="20"/>
                <w:color w:val="auto"/>
              </w:rPr>
            </w:pPr>
            <w:r>
              <w:rPr>
                <w:rFonts w:ascii="Arial" w:cs="Arial" w:eastAsia="Arial" w:hAnsi="Arial"/>
                <w:sz w:val="18"/>
                <w:szCs w:val="18"/>
                <w:color w:val="auto"/>
                <w:w w:val="90"/>
              </w:rPr>
              <w:t>Receivables Purchase Agreement dated November 24, 2015 between the registrant and its subsidiary Page Nine Funding, LLC (to be filed by</w:t>
            </w:r>
          </w:p>
        </w:tc>
      </w:tr>
      <w:tr>
        <w:trPr>
          <w:trHeight w:val="230"/>
        </w:trPr>
        <w:tc>
          <w:tcPr>
            <w:tcW w:w="86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amendment)</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14</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Registrant’s Code of Ethics for Senior Financial Officers (Exhibit 14 to Form 10-K filed March 13, 2006)</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21</w:t>
            </w:r>
          </w:p>
        </w:tc>
        <w:tc>
          <w:tcPr>
            <w:tcW w:w="10560" w:type="dxa"/>
            <w:vAlign w:val="bottom"/>
          </w:tcPr>
          <w:p>
            <w:pPr>
              <w:ind w:left="300"/>
              <w:spacing w:after="0"/>
              <w:rPr>
                <w:sz w:val="20"/>
                <w:szCs w:val="20"/>
                <w:color w:val="auto"/>
              </w:rPr>
            </w:pPr>
            <w:r>
              <w:rPr>
                <w:rFonts w:ascii="Arial" w:cs="Arial" w:eastAsia="Arial" w:hAnsi="Arial"/>
                <w:sz w:val="18"/>
                <w:szCs w:val="18"/>
                <w:color w:val="auto"/>
              </w:rPr>
              <w:t>List of subsidiaries of the registrant (Exhibit 21 to Form 10-K filed March 10, 2014)</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23.1</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Consent of Crowe Horwath LLP (filed herewith)</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300"/>
              <w:spacing w:after="0"/>
              <w:rPr>
                <w:sz w:val="20"/>
                <w:szCs w:val="20"/>
                <w:color w:val="auto"/>
              </w:rPr>
            </w:pPr>
            <w:r>
              <w:rPr>
                <w:rFonts w:ascii="Arial" w:cs="Arial" w:eastAsia="Arial" w:hAnsi="Arial"/>
                <w:sz w:val="18"/>
                <w:szCs w:val="18"/>
                <w:color w:val="auto"/>
              </w:rPr>
              <w:t>Rule 13a-14(a) certification by chief executive officer (filed herewith)</w:t>
            </w:r>
          </w:p>
        </w:tc>
      </w:tr>
      <w:tr>
        <w:trPr>
          <w:trHeight w:val="216"/>
        </w:trPr>
        <w:tc>
          <w:tcPr>
            <w:tcW w:w="860" w:type="dxa"/>
            <w:vAlign w:val="bottom"/>
            <w:shd w:val="clear" w:color="auto" w:fill="EEEEEE"/>
          </w:tcPr>
          <w:p>
            <w:pPr>
              <w:spacing w:after="0"/>
              <w:rPr>
                <w:sz w:val="20"/>
                <w:szCs w:val="20"/>
                <w:color w:val="auto"/>
              </w:rPr>
            </w:pPr>
            <w:r>
              <w:rPr>
                <w:rFonts w:ascii="Arial" w:cs="Arial" w:eastAsia="Arial" w:hAnsi="Arial"/>
                <w:sz w:val="18"/>
                <w:szCs w:val="18"/>
                <w:color w:val="auto"/>
              </w:rPr>
              <w:t>31.2</w:t>
            </w:r>
          </w:p>
        </w:tc>
        <w:tc>
          <w:tcPr>
            <w:tcW w:w="105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Rule 13a-14(a) certification by chief financial officer (filed herewith)</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10560" w:type="dxa"/>
            <w:vAlign w:val="bottom"/>
          </w:tcPr>
          <w:p>
            <w:pPr>
              <w:ind w:left="300"/>
              <w:spacing w:after="0"/>
              <w:rPr>
                <w:sz w:val="20"/>
                <w:szCs w:val="20"/>
                <w:color w:val="auto"/>
              </w:rPr>
            </w:pPr>
            <w:r>
              <w:rPr>
                <w:rFonts w:ascii="Arial" w:cs="Arial" w:eastAsia="Arial" w:hAnsi="Arial"/>
                <w:sz w:val="18"/>
                <w:szCs w:val="18"/>
                <w:color w:val="auto"/>
              </w:rPr>
              <w:t>Section 1350 certification (filed herewith)</w:t>
            </w:r>
          </w:p>
        </w:tc>
      </w:tr>
      <w:tr>
        <w:trPr>
          <w:trHeight w:val="418"/>
        </w:trPr>
        <w:tc>
          <w:tcPr>
            <w:tcW w:w="86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ind w:left="478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68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8880" w:type="dxa"/>
            <w:vAlign w:val="bottom"/>
            <w:gridSpan w:val="2"/>
          </w:tcPr>
          <w:p>
            <w:pPr>
              <w:ind w:left="148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rPr>
              <w:t>March 9, 2016</w:t>
            </w:r>
          </w:p>
        </w:tc>
        <w:tc>
          <w:tcPr>
            <w:tcW w:w="2160" w:type="dxa"/>
            <w:vAlign w:val="bottom"/>
          </w:tcPr>
          <w:p>
            <w:pPr>
              <w:ind w:left="1480"/>
              <w:spacing w:after="0"/>
              <w:rPr>
                <w:sz w:val="20"/>
                <w:szCs w:val="20"/>
                <w:color w:val="auto"/>
              </w:rPr>
            </w:pPr>
            <w:r>
              <w:rPr>
                <w:rFonts w:ascii="Arial" w:cs="Arial" w:eastAsia="Arial" w:hAnsi="Arial"/>
                <w:sz w:val="18"/>
                <w:szCs w:val="18"/>
                <w:color w:val="auto"/>
              </w:rPr>
              <w:t>By:</w:t>
            </w:r>
          </w:p>
        </w:tc>
        <w:tc>
          <w:tcPr>
            <w:tcW w:w="6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CHARLES E. BRADLEY, JR.</w:t>
            </w:r>
          </w:p>
        </w:tc>
      </w:tr>
      <w:tr>
        <w:trPr>
          <w:trHeight w:val="224"/>
        </w:trPr>
        <w:tc>
          <w:tcPr>
            <w:tcW w:w="25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120" w:firstLine="13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March 9, 2016</w:t>
            </w:r>
          </w:p>
        </w:tc>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CHARLES E. BRADLEY, JR.</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48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March 9, 2016</w:t>
            </w:r>
          </w:p>
        </w:tc>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CHRIS A. ADAMS</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9, 2016</w:t>
            </w:r>
          </w:p>
        </w:tc>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BRIAN J. RAYHILL</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9, 2016</w:t>
            </w:r>
          </w:p>
        </w:tc>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WILLIAM B. ROBERTS</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9, 2016</w:t>
            </w:r>
          </w:p>
        </w:tc>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GREGORY S. WASHER</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9, 2016</w:t>
            </w:r>
          </w:p>
        </w:tc>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DANIEL S. WOOD</w:t>
            </w:r>
          </w:p>
        </w:tc>
      </w:tr>
      <w:tr>
        <w:trPr>
          <w:trHeight w:val="224"/>
        </w:trPr>
        <w:tc>
          <w:tcPr>
            <w:tcW w:w="480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9, 2016</w:t>
            </w:r>
          </w:p>
        </w:tc>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 JEFFREY P. FRITZ</w:t>
            </w:r>
          </w:p>
        </w:tc>
      </w:tr>
      <w:tr>
        <w:trPr>
          <w:trHeight w:val="195"/>
        </w:trPr>
        <w:tc>
          <w:tcPr>
            <w:tcW w:w="480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 xml:space="preserve">Jeffrey P. Fritz, Executive </w:t>
            </w:r>
            <w:r>
              <w:rPr>
                <w:rFonts w:ascii="Arial" w:cs="Arial" w:eastAsia="Arial" w:hAnsi="Arial"/>
                <w:sz w:val="18"/>
                <w:szCs w:val="18"/>
                <w:i w:val="1"/>
                <w:iCs w:val="1"/>
                <w:color w:val="auto"/>
              </w:rPr>
              <w:t>Vice President and Chief Financial Officer</w:t>
            </w:r>
          </w:p>
        </w:tc>
      </w:tr>
      <w:tr>
        <w:trPr>
          <w:trHeight w:val="230"/>
        </w:trPr>
        <w:tc>
          <w:tcPr>
            <w:tcW w:w="48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Page</w:t>
            </w:r>
          </w:p>
        </w:tc>
      </w:tr>
      <w:tr>
        <w:trPr>
          <w:trHeight w:val="194"/>
        </w:trPr>
        <w:tc>
          <w:tcPr>
            <w:tcW w:w="10420" w:type="dxa"/>
            <w:vAlign w:val="bottom"/>
          </w:tcPr>
          <w:p>
            <w:pPr>
              <w:spacing w:after="0"/>
              <w:rPr>
                <w:sz w:val="16"/>
                <w:szCs w:val="16"/>
                <w:color w:val="auto"/>
              </w:rPr>
            </w:pPr>
          </w:p>
        </w:tc>
        <w:tc>
          <w:tcPr>
            <w:tcW w:w="10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7"/>
              </w:rPr>
              <w:t>Reference</w:t>
            </w:r>
          </w:p>
        </w:tc>
      </w:tr>
      <w:tr>
        <w:trPr>
          <w:trHeight w:val="75"/>
        </w:trPr>
        <w:tc>
          <w:tcPr>
            <w:tcW w:w="10420" w:type="dxa"/>
            <w:vAlign w:val="bottom"/>
          </w:tcPr>
          <w:p>
            <w:pPr>
              <w:spacing w:after="0"/>
              <w:rPr>
                <w:sz w:val="6"/>
                <w:szCs w:val="6"/>
                <w:color w:val="auto"/>
              </w:rPr>
            </w:pPr>
          </w:p>
        </w:tc>
        <w:tc>
          <w:tcPr>
            <w:tcW w:w="7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r>
      <w:tr>
        <w:trPr>
          <w:trHeight w:val="304"/>
        </w:trPr>
        <w:tc>
          <w:tcPr>
            <w:tcW w:w="104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00" w:type="dxa"/>
            <w:vAlign w:val="bottom"/>
            <w:tcBorders>
              <w:bottom w:val="single" w:sz="8" w:color="EEEEEE"/>
            </w:tcBorders>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F-2</w:t>
            </w:r>
          </w:p>
        </w:tc>
      </w:tr>
      <w:tr>
        <w:trPr>
          <w:trHeight w:val="270"/>
        </w:trPr>
        <w:tc>
          <w:tcPr>
            <w:tcW w:w="10420" w:type="dxa"/>
            <w:vAlign w:val="bottom"/>
          </w:tcPr>
          <w:p>
            <w:pPr>
              <w:spacing w:after="0"/>
              <w:rPr>
                <w:sz w:val="20"/>
                <w:szCs w:val="20"/>
                <w:color w:val="auto"/>
              </w:rPr>
            </w:pPr>
            <w:r>
              <w:rPr>
                <w:rFonts w:ascii="Arial" w:cs="Arial" w:eastAsia="Arial" w:hAnsi="Arial"/>
                <w:sz w:val="18"/>
                <w:szCs w:val="18"/>
                <w:color w:val="auto"/>
              </w:rPr>
              <w:t>Consolidated Balance Sheets as of December 31, 2015 and 2014</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F-3</w:t>
            </w:r>
          </w:p>
        </w:tc>
      </w:tr>
      <w:tr>
        <w:trPr>
          <w:trHeight w:val="54"/>
        </w:trPr>
        <w:tc>
          <w:tcPr>
            <w:tcW w:w="10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104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Consolidated Statements of Income for the years ended December 31, 2015, 2014 and 2013</w:t>
            </w:r>
          </w:p>
        </w:tc>
        <w:tc>
          <w:tcPr>
            <w:tcW w:w="1000" w:type="dxa"/>
            <w:vAlign w:val="bottom"/>
            <w:tcBorders>
              <w:bottom w:val="single" w:sz="8" w:color="EEEEEE"/>
            </w:tcBorders>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F-4</w:t>
            </w:r>
          </w:p>
        </w:tc>
      </w:tr>
      <w:tr>
        <w:trPr>
          <w:trHeight w:val="270"/>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2015, 2014 and 2013</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F-5</w:t>
            </w:r>
          </w:p>
        </w:tc>
      </w:tr>
      <w:tr>
        <w:trPr>
          <w:trHeight w:val="54"/>
        </w:trPr>
        <w:tc>
          <w:tcPr>
            <w:tcW w:w="10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104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Consolidated Statements of Shareholders’ Equity for the years ended December 31, 2015, 2014 and 2013</w:t>
            </w:r>
          </w:p>
        </w:tc>
        <w:tc>
          <w:tcPr>
            <w:tcW w:w="1000" w:type="dxa"/>
            <w:vAlign w:val="bottom"/>
            <w:tcBorders>
              <w:bottom w:val="single" w:sz="8" w:color="EEEEEE"/>
            </w:tcBorders>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F-6</w:t>
            </w:r>
          </w:p>
        </w:tc>
      </w:tr>
      <w:tr>
        <w:trPr>
          <w:trHeight w:val="270"/>
        </w:trPr>
        <w:tc>
          <w:tcPr>
            <w:tcW w:w="104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F-7</w:t>
            </w:r>
          </w:p>
        </w:tc>
      </w:tr>
      <w:tr>
        <w:trPr>
          <w:trHeight w:val="54"/>
        </w:trPr>
        <w:tc>
          <w:tcPr>
            <w:tcW w:w="10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70"/>
        </w:trPr>
        <w:tc>
          <w:tcPr>
            <w:tcW w:w="10420" w:type="dxa"/>
            <w:vAlign w:val="bottom"/>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100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8"/>
              </w:rPr>
              <w:t>F-9</w:t>
            </w:r>
          </w:p>
        </w:tc>
      </w:tr>
      <w:tr>
        <w:trPr>
          <w:trHeight w:val="54"/>
        </w:trPr>
        <w:tc>
          <w:tcPr>
            <w:tcW w:w="10420" w:type="dxa"/>
            <w:vAlign w:val="bottom"/>
            <w:shd w:val="clear" w:color="auto" w:fill="EEEEEE"/>
          </w:tcPr>
          <w:p>
            <w:pPr>
              <w:spacing w:after="0"/>
              <w:rPr>
                <w:sz w:val="4"/>
                <w:szCs w:val="4"/>
                <w:color w:val="auto"/>
              </w:rPr>
            </w:pPr>
          </w:p>
        </w:tc>
        <w:tc>
          <w:tcPr>
            <w:tcW w:w="760" w:type="dxa"/>
            <w:vAlign w:val="bottom"/>
            <w:shd w:val="clear" w:color="auto" w:fill="EEEEEE"/>
          </w:tcPr>
          <w:p>
            <w:pPr>
              <w:spacing w:after="0"/>
              <w:rPr>
                <w:sz w:val="4"/>
                <w:szCs w:val="4"/>
                <w:color w:val="auto"/>
              </w:rPr>
            </w:pPr>
          </w:p>
        </w:tc>
        <w:tc>
          <w:tcPr>
            <w:tcW w:w="240" w:type="dxa"/>
            <w:vAlign w:val="bottom"/>
            <w:shd w:val="clear" w:color="auto" w:fill="EEEEEE"/>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balance sheets of Consumer Portfolio Services, Inc. and Subsidiaries (the Company) as of December 31, 2015 and 2014, and the related consolidated statements of income, comprehensive income, shareholders' equity and cash flows for each of the years in the three-year period ended December 31, 2015. We also have audited the Company's internal control over financial reporting as of December 31, 2015, based on criteria established in the 2013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Consumer Portfolio Services, Inc. and Subsidiaries as of December 31, 2015 and 2014, and the results of its operations and its cash flows for each of the years in the three-year period ended December 31, 2015 in conformity with accounting principles generally accepted in the United States of America. Also in our opinion, Consumer Portfolio Services, Inc. maintained, in all material respects, effective internal control over financial reporting as of December 31, 2015, based on criteria established in the 2013 Internal Control – Integrated Framework issued by the Committee of Sponsoring Organizations of the Treadway Commission.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CROWE HORWATH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Sherman Oaks,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19,322</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106,054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1,985,093</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1,595,956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(75,603)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(61,460)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1,909,490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1,534,496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1,715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13,982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37,597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31,547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23,139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2,142,907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29,509</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196,461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9,042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Debt secured by receivables measured at fair value</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1,598,496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15,138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1,981,748</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1,705,805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25,616,460 and 25,540,640 shares issued</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and outstanding at December 31, 2015 and 2014, respectively</w:t>
            </w: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81,337</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86,472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51,791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(6,650)</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161,159</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2,142,907</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1,833,058</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EEEEEE"/>
            </w:tcBorders>
          </w:tcPr>
          <w:p>
            <w:pPr>
              <w:spacing w:after="0"/>
              <w:rPr>
                <w:sz w:val="19"/>
                <w:szCs w:val="19"/>
                <w:color w:val="auto"/>
              </w:rPr>
            </w:pPr>
          </w:p>
        </w:tc>
        <w:tc>
          <w:tcPr>
            <w:tcW w:w="8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EEEEEE"/>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349,912</w:t>
            </w:r>
          </w:p>
        </w:tc>
        <w:tc>
          <w:tcPr>
            <w:tcW w:w="80" w:type="dxa"/>
            <w:vAlign w:val="bottom"/>
          </w:tcPr>
          <w:p>
            <w:pPr>
              <w:spacing w:after="0"/>
              <w:rPr>
                <w:sz w:val="18"/>
                <w:szCs w:val="18"/>
                <w:color w:val="auto"/>
              </w:rPr>
            </w:pPr>
          </w:p>
        </w:tc>
        <w:tc>
          <w:tcPr>
            <w:tcW w:w="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286,734</w:t>
            </w:r>
          </w:p>
        </w:tc>
        <w:tc>
          <w:tcPr>
            <w:tcW w:w="4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319</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13,419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12,146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Gain on cancellation of debt</w:t>
            </w:r>
          </w:p>
        </w:tc>
        <w:tc>
          <w:tcPr>
            <w:tcW w:w="8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EEEEEE"/>
            </w:tcBorders>
          </w:tcPr>
          <w:p>
            <w:pPr>
              <w:spacing w:after="0"/>
              <w:rPr>
                <w:sz w:val="18"/>
                <w:szCs w:val="18"/>
                <w:color w:val="auto"/>
              </w:rPr>
            </w:pPr>
          </w:p>
        </w:tc>
        <w:tc>
          <w:tcPr>
            <w:tcW w:w="8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363,650</w:t>
            </w:r>
          </w:p>
        </w:tc>
        <w:tc>
          <w:tcPr>
            <w:tcW w:w="80" w:type="dxa"/>
            <w:vAlign w:val="bottom"/>
            <w:tcBorders>
              <w:bottom w:val="single" w:sz="8" w:color="EEEEEE"/>
            </w:tcBorders>
          </w:tcPr>
          <w:p>
            <w:pPr>
              <w:spacing w:after="0"/>
              <w:rPr>
                <w:sz w:val="18"/>
                <w:szCs w:val="18"/>
                <w:color w:val="auto"/>
              </w:rPr>
            </w:pPr>
          </w:p>
        </w:tc>
        <w:tc>
          <w:tcPr>
            <w:tcW w:w="28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300,256</w:t>
            </w:r>
          </w:p>
        </w:tc>
        <w:tc>
          <w:tcPr>
            <w:tcW w:w="2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255,775</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59,556</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50,129</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20,160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19,254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57,745</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50,395</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142,618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108,228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contingent liabilities</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Marketing</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17,470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16,116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4,082</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3,464</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637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EEEEEE"/>
            </w:tcBorders>
            <w:shd w:val="clear" w:color="auto" w:fill="EEEEEE"/>
          </w:tcPr>
          <w:p>
            <w:pPr>
              <w:spacing w:after="0"/>
              <w:rPr>
                <w:sz w:val="18"/>
                <w:szCs w:val="18"/>
                <w:color w:val="auto"/>
              </w:rPr>
            </w:pPr>
          </w:p>
        </w:tc>
        <w:tc>
          <w:tcPr>
            <w:tcW w:w="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302,268</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248,014</w:t>
            </w:r>
          </w:p>
        </w:tc>
        <w:tc>
          <w:tcPr>
            <w:tcW w:w="2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218,602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61,382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52,242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26,701</w:t>
            </w:r>
          </w:p>
        </w:tc>
        <w:tc>
          <w:tcPr>
            <w:tcW w:w="28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22,726</w:t>
            </w:r>
          </w:p>
        </w:tc>
        <w:tc>
          <w:tcPr>
            <w:tcW w:w="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16,168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34,681</w:t>
            </w:r>
          </w:p>
        </w:tc>
        <w:tc>
          <w:tcPr>
            <w:tcW w:w="80" w:type="dxa"/>
            <w:vAlign w:val="bottom"/>
            <w:tcBorders>
              <w:bottom w:val="single" w:sz="8" w:color="EEEEEE"/>
            </w:tcBorders>
          </w:tcPr>
          <w:p>
            <w:pPr>
              <w:spacing w:after="0"/>
              <w:rPr>
                <w:sz w:val="22"/>
                <w:szCs w:val="22"/>
                <w:color w:val="auto"/>
              </w:rPr>
            </w:pPr>
          </w:p>
        </w:tc>
        <w:tc>
          <w:tcPr>
            <w:tcW w:w="28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29,516</w:t>
            </w:r>
          </w:p>
        </w:tc>
        <w:tc>
          <w:tcPr>
            <w:tcW w:w="26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Earnings per share: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1.34</w:t>
            </w:r>
          </w:p>
        </w:tc>
        <w:tc>
          <w:tcPr>
            <w:tcW w:w="6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1.18</w:t>
            </w:r>
          </w:p>
        </w:tc>
        <w:tc>
          <w:tcPr>
            <w:tcW w:w="4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25,935</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25,040</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31,584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32,032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31,574</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1"/>
              </w:rPr>
              <w:t>Year Ended December 31,</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34,681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29,516</w:t>
            </w:r>
          </w:p>
        </w:tc>
        <w:tc>
          <w:tcPr>
            <w:tcW w:w="34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21,005</w:t>
            </w:r>
          </w:p>
        </w:tc>
        <w:tc>
          <w:tcPr>
            <w:tcW w:w="100" w:type="dxa"/>
            <w:vAlign w:val="bottom"/>
            <w:shd w:val="clear" w:color="auto" w:fill="EEEEEE"/>
          </w:tcPr>
          <w:p>
            <w:pPr>
              <w:spacing w:after="0"/>
              <w:rPr>
                <w:sz w:val="18"/>
                <w:szCs w:val="18"/>
                <w:color w:val="auto"/>
              </w:rPr>
            </w:pP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w w:val="92"/>
              </w:rPr>
              <w:t>Other comprehensive income (loss); change in funded status of pension plan,</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700" w:type="dxa"/>
            <w:vAlign w:val="bottom"/>
          </w:tcPr>
          <w:p>
            <w:pPr>
              <w:ind w:left="180"/>
              <w:spacing w:after="0"/>
              <w:rPr>
                <w:sz w:val="20"/>
                <w:szCs w:val="20"/>
                <w:color w:val="auto"/>
              </w:rPr>
            </w:pPr>
            <w:r>
              <w:rPr>
                <w:rFonts w:ascii="Arial" w:cs="Arial" w:eastAsia="Arial" w:hAnsi="Arial"/>
                <w:sz w:val="18"/>
                <w:szCs w:val="18"/>
                <w:color w:val="auto"/>
              </w:rPr>
              <w:t>net of ($1,016), ($2,654) and $3,044 in tax for 2015, 2014 and 2013,</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57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(3,956)</w:t>
            </w:r>
          </w:p>
        </w:tc>
        <w:tc>
          <w:tcPr>
            <w:tcW w:w="34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r>
      <w:tr>
        <w:trPr>
          <w:trHeight w:val="223"/>
        </w:trPr>
        <w:tc>
          <w:tcPr>
            <w:tcW w:w="57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60" w:type="dxa"/>
            <w:vAlign w:val="bottom"/>
            <w:tcBorders>
              <w:top w:val="single" w:sz="8" w:color="auto"/>
              <w:bottom w:val="single" w:sz="8" w:color="auto"/>
            </w:tcBorders>
            <w:shd w:val="clear" w:color="auto" w:fill="EEEEEE"/>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33,082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25,560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040" w:type="dxa"/>
            <w:vAlign w:val="bottom"/>
            <w:gridSpan w:val="5"/>
          </w:tcPr>
          <w:p>
            <w:pPr>
              <w:jc w:val="right"/>
              <w:ind w:right="10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Retained</w:t>
            </w:r>
          </w:p>
        </w:tc>
        <w:tc>
          <w:tcPr>
            <w:tcW w:w="120" w:type="dxa"/>
            <w:vAlign w:val="bottom"/>
          </w:tcPr>
          <w:p>
            <w:pPr>
              <w:spacing w:after="0"/>
              <w:rPr>
                <w:sz w:val="20"/>
                <w:szCs w:val="20"/>
                <w:color w:val="auto"/>
              </w:rPr>
            </w:pPr>
          </w:p>
        </w:tc>
        <w:tc>
          <w:tcPr>
            <w:tcW w:w="13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Comprehensive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Loss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2013</w:t>
            </w: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19,839</w:t>
            </w:r>
          </w:p>
        </w:tc>
        <w:tc>
          <w:tcPr>
            <w:tcW w:w="2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65,678</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(5,637)</w:t>
            </w:r>
          </w:p>
        </w:tc>
        <w:tc>
          <w:tcPr>
            <w:tcW w:w="14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61,311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Common stock issued upon exercise of options and</w:t>
            </w:r>
          </w:p>
        </w:tc>
        <w:tc>
          <w:tcPr>
            <w:tcW w:w="1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warrants</w:t>
            </w: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4,177</w:t>
            </w:r>
          </w:p>
        </w:tc>
        <w:tc>
          <w:tcPr>
            <w:tcW w:w="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3,297</w:t>
            </w:r>
          </w:p>
        </w:tc>
        <w:tc>
          <w:tcPr>
            <w:tcW w:w="2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4,542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3,864</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Reclassification of warrants from debt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21,005</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21,005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December 31, 2013</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24,016</w:t>
            </w:r>
          </w:p>
        </w:tc>
        <w:tc>
          <w:tcPr>
            <w:tcW w:w="24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73,422</w:t>
            </w:r>
          </w:p>
        </w:tc>
        <w:tc>
          <w:tcPr>
            <w:tcW w:w="26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22,275</w:t>
            </w: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14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94,602</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upon exercise of options and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1,525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3,256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(3,956)</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29,516</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29,516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December 31, 2014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25,541</w:t>
            </w:r>
          </w:p>
        </w:tc>
        <w:tc>
          <w:tcPr>
            <w:tcW w:w="240" w:type="dxa"/>
            <w:vAlign w:val="bottom"/>
            <w:tcBorders>
              <w:bottom w:val="single" w:sz="8" w:color="EEEEE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80,513</w:t>
            </w:r>
          </w:p>
        </w:tc>
        <w:tc>
          <w:tcPr>
            <w:tcW w:w="26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51,791</w:t>
            </w:r>
          </w:p>
        </w:tc>
        <w:tc>
          <w:tcPr>
            <w:tcW w:w="10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14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127,253</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upon exercise of options and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warrants</w:t>
            </w:r>
          </w:p>
        </w:tc>
        <w:tc>
          <w:tcPr>
            <w:tcW w:w="1280" w:type="dxa"/>
            <w:vAlign w:val="bottom"/>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Repurchase of common stock</w:t>
            </w:r>
          </w:p>
        </w:tc>
        <w:tc>
          <w:tcPr>
            <w:tcW w:w="15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(1,064)</w:t>
            </w:r>
          </w:p>
        </w:tc>
        <w:tc>
          <w:tcPr>
            <w:tcW w:w="2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(5,926)</w:t>
            </w: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(1,599)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5,024</w:t>
            </w: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34,681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2015</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25,617</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81,337</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86,472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(6,650</w:t>
            </w:r>
          </w:p>
        </w:tc>
        <w:tc>
          <w:tcPr>
            <w:tcW w:w="14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161,159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1"/>
              </w:rPr>
              <w:t>Year Ended 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EEEEEE"/>
            </w:tcBorders>
          </w:tcPr>
          <w:p>
            <w:pPr>
              <w:spacing w:after="0"/>
              <w:rPr>
                <w:sz w:val="19"/>
                <w:szCs w:val="19"/>
                <w:color w:val="auto"/>
              </w:rPr>
            </w:pPr>
          </w:p>
        </w:tc>
        <w:tc>
          <w:tcPr>
            <w:tcW w:w="2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34,681</w:t>
            </w:r>
          </w:p>
        </w:tc>
        <w:tc>
          <w:tcPr>
            <w:tcW w:w="6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29,516</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7"/>
              </w:rPr>
              <w:t>Adjustments to reconcile net income to net cash provided by operating</w:t>
            </w:r>
          </w:p>
        </w:tc>
        <w:tc>
          <w:tcPr>
            <w:tcW w:w="2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Accretion of deferred acquisition fees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(8,954)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(16,213)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5"/>
              </w:rPr>
              <w:t>Accretion of purchase discount on receivables measured at fair value</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(283)</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Amortization of discount on securitization trust debt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Amortization of discount on senior secured debt, related party</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623</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1,992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ind w:left="340"/>
              <w:spacing w:after="0" w:line="201" w:lineRule="exact"/>
              <w:rPr>
                <w:sz w:val="20"/>
                <w:szCs w:val="20"/>
                <w:color w:val="auto"/>
              </w:rPr>
            </w:pPr>
            <w:r>
              <w:rPr>
                <w:rFonts w:ascii="Arial" w:cs="Arial" w:eastAsia="Arial" w:hAnsi="Arial"/>
                <w:sz w:val="18"/>
                <w:szCs w:val="18"/>
                <w:color w:val="auto"/>
                <w:w w:val="94"/>
              </w:rPr>
              <w:t>Accretion of premium on debt secured by receivables measured at fair</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520"/>
              <w:spacing w:after="0"/>
              <w:rPr>
                <w:sz w:val="20"/>
                <w:szCs w:val="20"/>
                <w:color w:val="auto"/>
              </w:rPr>
            </w:pPr>
            <w:r>
              <w:rPr>
                <w:rFonts w:ascii="Arial" w:cs="Arial" w:eastAsia="Arial" w:hAnsi="Arial"/>
                <w:sz w:val="18"/>
                <w:szCs w:val="18"/>
                <w:color w:val="auto"/>
              </w:rPr>
              <w:t>value</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Mark to fair value on debt secured by receivables at fair value</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(123)</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Mark to fair value of receivables at fair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637</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428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6,767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Provision for credit losses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142,618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108,228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76,869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Provision for contingent liabilities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3,835</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3,864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Interest income on residual assets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340"/>
              <w:spacing w:after="0"/>
              <w:rPr>
                <w:sz w:val="20"/>
                <w:szCs w:val="20"/>
                <w:color w:val="auto"/>
              </w:rPr>
            </w:pPr>
            <w:r>
              <w:rPr>
                <w:rFonts w:ascii="Arial" w:cs="Arial" w:eastAsia="Arial" w:hAnsi="Arial"/>
                <w:sz w:val="18"/>
                <w:szCs w:val="18"/>
                <w:color w:val="auto"/>
              </w:rPr>
              <w:t>Gain on cancellation of debt</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(8,175)</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(4,702)</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(1,925)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520"/>
              <w:spacing w:after="0"/>
              <w:rPr>
                <w:sz w:val="20"/>
                <w:szCs w:val="20"/>
                <w:color w:val="auto"/>
              </w:rPr>
            </w:pPr>
            <w:r>
              <w:rPr>
                <w:rFonts w:ascii="Arial" w:cs="Arial" w:eastAsia="Arial" w:hAnsi="Arial"/>
                <w:sz w:val="18"/>
                <w:szCs w:val="18"/>
                <w:color w:val="auto"/>
              </w:rPr>
              <w:t>Deferred tax assets, net</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5,250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16,368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16,425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5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(7,135)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EEEEEE"/>
            </w:tcBorders>
            <w:shd w:val="clear" w:color="auto" w:fill="EEEEEE"/>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187,555</w:t>
            </w:r>
          </w:p>
        </w:tc>
        <w:tc>
          <w:tcPr>
            <w:tcW w:w="10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135,827</w:t>
            </w: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99,372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Purchases of finance receivables held for investment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(1,060,538)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(944,944)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(764,087)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received on finance receivables held for investment</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551,880</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433,870</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337,095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Payments on receivables portfolio at fair value</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13,122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received on residual interest in securitizations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1,158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3,970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Change in repossessions held in inventory</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(2,369)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Decreases (increases) in restricted cash and cash equivalents, net</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69,328</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(43,098)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(27,839)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Purchase of furniture and equipment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(1,191)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(823)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EEEEEE"/>
            </w:tcBorders>
            <w:shd w:val="clear" w:color="auto" w:fill="EEEEEE"/>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(441,287</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(541,156</w:t>
            </w:r>
          </w:p>
        </w:tc>
        <w:tc>
          <w:tcPr>
            <w:tcW w:w="340" w:type="dxa"/>
            <w:vAlign w:val="bottom"/>
            <w:tcBorders>
              <w:top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(409,566</w:t>
            </w:r>
          </w:p>
        </w:tc>
        <w:tc>
          <w:tcPr>
            <w:tcW w:w="10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Proceeds from issuance of securitization trust debt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923,000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subordinated renewable notes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579</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1,276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Proceeds from issuance of senior secured debt, related party</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Payments on subordinated renewable notes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(1,646)</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(4,488)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Net proceeds from (repayments of) warehouse lines of credit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47,387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Net proceeds from (repayments of) residual interest financing debt</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(3,285)</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(6,769)</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5,323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Repayment of securitization trust debt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(661,960)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(502,193)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(382,591)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Repayment of debt secured by receivables measured at fair value</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(12,456)</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(45,969)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Repayment of senior secured debt, related party</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(39,182)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Payment of financing costs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(8,637)</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(8,058)</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(5,926)</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options and warrants</w:t>
            </w:r>
          </w:p>
        </w:tc>
        <w:tc>
          <w:tcPr>
            <w:tcW w:w="2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3,256</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3,297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bottom w:val="single" w:sz="8" w:color="EEEEEE"/>
            </w:tcBorders>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255,195</w:t>
            </w:r>
          </w:p>
        </w:tc>
        <w:tc>
          <w:tcPr>
            <w:tcW w:w="100" w:type="dxa"/>
            <w:vAlign w:val="bottom"/>
            <w:tcBorders>
              <w:bottom w:val="single" w:sz="8" w:color="EEEEEE"/>
            </w:tcBorders>
          </w:tcPr>
          <w:p>
            <w:pPr>
              <w:spacing w:after="0"/>
              <w:rPr>
                <w:sz w:val="18"/>
                <w:szCs w:val="18"/>
                <w:color w:val="auto"/>
              </w:rPr>
            </w:pPr>
          </w:p>
        </w:tc>
        <w:tc>
          <w:tcPr>
            <w:tcW w:w="26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401,076</w:t>
            </w:r>
          </w:p>
        </w:tc>
        <w:tc>
          <w:tcPr>
            <w:tcW w:w="34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319,340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(4,253)</w:t>
            </w:r>
          </w:p>
        </w:tc>
        <w:tc>
          <w:tcPr>
            <w:tcW w:w="3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9,146</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17,859</w:t>
            </w:r>
          </w:p>
        </w:tc>
        <w:tc>
          <w:tcPr>
            <w:tcW w:w="26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22,112</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12,966</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085"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40" w:type="dxa"/>
            <w:vAlign w:val="bottom"/>
            <w:tcBorders>
              <w:bottom w:val="single" w:sz="8" w:color="EEEEEE"/>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2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1260" w:type="dxa"/>
            <w:vAlign w:val="bottom"/>
            <w:gridSpan w:val="2"/>
            <w:shd w:val="clear" w:color="auto" w:fill="EEEEEE"/>
          </w:tcPr>
          <w:p>
            <w:pPr>
              <w:jc w:val="right"/>
              <w:ind w:right="87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4"/>
              </w:rPr>
              <w:t>50,019</w:t>
            </w:r>
          </w:p>
        </w:tc>
        <w:tc>
          <w:tcPr>
            <w:tcW w:w="6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45,914</w:t>
            </w:r>
          </w:p>
        </w:tc>
        <w:tc>
          <w:tcPr>
            <w:tcW w:w="4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50,663</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13,690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6,520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2,277</w:t>
            </w:r>
          </w:p>
        </w:tc>
      </w:tr>
      <w:tr>
        <w:trPr>
          <w:trHeight w:val="216"/>
        </w:trPr>
        <w:tc>
          <w:tcPr>
            <w:tcW w:w="5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Non-cash financing activities: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Pension benefit obligation, net</w:t>
            </w:r>
          </w:p>
        </w:tc>
        <w:tc>
          <w:tcPr>
            <w:tcW w:w="2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3,956</w:t>
            </w:r>
          </w:p>
        </w:tc>
        <w:tc>
          <w:tcPr>
            <w:tcW w:w="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(4,542)</w:t>
            </w:r>
          </w:p>
        </w:tc>
      </w:tr>
      <w:tr>
        <w:trPr>
          <w:trHeight w:val="202"/>
        </w:trPr>
        <w:tc>
          <w:tcPr>
            <w:tcW w:w="5640" w:type="dxa"/>
            <w:vAlign w:val="bottom"/>
          </w:tcPr>
          <w:p>
            <w:pPr>
              <w:ind w:left="360"/>
              <w:spacing w:after="0" w:line="201" w:lineRule="exact"/>
              <w:rPr>
                <w:sz w:val="20"/>
                <w:szCs w:val="20"/>
                <w:color w:val="auto"/>
              </w:rPr>
            </w:pPr>
            <w:r>
              <w:rPr>
                <w:rFonts w:ascii="Arial" w:cs="Arial" w:eastAsia="Arial" w:hAnsi="Arial"/>
                <w:sz w:val="18"/>
                <w:szCs w:val="18"/>
                <w:color w:val="auto"/>
                <w:w w:val="95"/>
              </w:rPr>
              <w:t>Derivative warrants reclassified from liabilities to common stock upon</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40" w:type="dxa"/>
            <w:vAlign w:val="bottom"/>
          </w:tcPr>
          <w:p>
            <w:pPr>
              <w:ind w:left="5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right="60" w:firstLine="130"/>
        <w:spacing w:after="0" w:line="273" w:lineRule="auto"/>
        <w:rPr>
          <w:sz w:val="20"/>
          <w:szCs w:val="20"/>
          <w:color w:val="auto"/>
        </w:rPr>
      </w:pPr>
      <w:r>
        <w:rPr>
          <w:rFonts w:ascii="Arial" w:cs="Arial" w:eastAsia="Arial" w:hAnsi="Arial"/>
          <w:sz w:val="17"/>
          <w:szCs w:val="17"/>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Dealers located in California, Texas, Ohio, Florida and Georgia represented 8.9%, 7.9%, 6.5%, 5.3% and 5.2%, respectively, of contracts purchased during 2015 compared with 8.7%, 10.0%, 5.7%, 5.0%, and 4.4% respectively in 2014. No other state had a concentration in excess of 5.0% in 2015. We specialize in contracts with vehicle purchasers who generally would not be expected to qualify for traditional financing provided by commercial banks or automobile manufacturers’ captive finance companies.</w:t>
      </w:r>
    </w:p>
    <w:p>
      <w:pPr>
        <w:spacing w:after="0" w:line="178" w:lineRule="exact"/>
        <w:rPr>
          <w:sz w:val="20"/>
          <w:szCs w:val="20"/>
          <w:color w:val="auto"/>
        </w:rPr>
      </w:pPr>
    </w:p>
    <w:p>
      <w:pPr>
        <w:ind w:right="20" w:firstLine="130"/>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140" w:firstLine="130"/>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0" w:firstLine="130"/>
        <w:spacing w:after="0" w:line="297" w:lineRule="auto"/>
        <w:rPr>
          <w:sz w:val="20"/>
          <w:szCs w:val="20"/>
          <w:color w:val="auto"/>
        </w:rPr>
      </w:pPr>
      <w:r>
        <w:rPr>
          <w:rFonts w:ascii="Arial" w:cs="Arial" w:eastAsia="Arial" w:hAnsi="Arial"/>
          <w:sz w:val="16"/>
          <w:szCs w:val="16"/>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2015, our unrestricted cash balance was $19.3 million, which exceeded the minimum amounts required by our financial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ind w:right="260" w:firstLine="130"/>
        <w:spacing w:after="0" w:line="273" w:lineRule="auto"/>
        <w:rPr>
          <w:sz w:val="20"/>
          <w:szCs w:val="20"/>
          <w:color w:val="auto"/>
        </w:rPr>
      </w:pPr>
      <w:r>
        <w:rPr>
          <w:rFonts w:ascii="Arial" w:cs="Arial" w:eastAsia="Arial" w:hAnsi="Arial"/>
          <w:sz w:val="17"/>
          <w:szCs w:val="17"/>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178"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right="20" w:firstLine="130"/>
        <w:spacing w:after="0" w:line="288" w:lineRule="auto"/>
        <w:rPr>
          <w:sz w:val="20"/>
          <w:szCs w:val="20"/>
          <w:color w:val="auto"/>
        </w:rPr>
      </w:pPr>
      <w:r>
        <w:rPr>
          <w:rFonts w:ascii="Arial" w:cs="Arial" w:eastAsia="Arial" w:hAnsi="Arial"/>
          <w:sz w:val="16"/>
          <w:szCs w:val="16"/>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probable incurred credit losses that can be reasonably estimated in our portfolio of finance receivable contracts. For each monthly pool of contracts that we purchase, we begin establishing the allowance in the month of acquisition and increase it over the subsequent 11 months, through a provision for credit losses charged to our Consolidated Statement of Income.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ind w:right="100" w:firstLine="130"/>
        <w:spacing w:after="0" w:line="264" w:lineRule="auto"/>
        <w:rPr>
          <w:sz w:val="20"/>
          <w:szCs w:val="20"/>
          <w:color w:val="auto"/>
        </w:rPr>
      </w:pPr>
      <w:r>
        <w:rPr>
          <w:rFonts w:ascii="Arial" w:cs="Arial" w:eastAsia="Arial" w:hAnsi="Arial"/>
          <w:sz w:val="18"/>
          <w:szCs w:val="18"/>
          <w:color w:val="auto"/>
        </w:rPr>
        <w:t>In September 2011, we acquired $217.8 million of finance receivables from Fireside Bank for a purchase price of $201.3 million. The receivables were acquired by our wholly-owned special purpose subsidiary, CPS Fender Receivables, LLC, which issued a note for $197.3 million, with a fair value of $196.5 million.</w:t>
      </w:r>
    </w:p>
    <w:p>
      <w:pPr>
        <w:spacing w:after="0" w:line="181" w:lineRule="exact"/>
        <w:rPr>
          <w:sz w:val="20"/>
          <w:szCs w:val="20"/>
          <w:color w:val="auto"/>
        </w:rPr>
      </w:pPr>
    </w:p>
    <w:p>
      <w:pPr>
        <w:ind w:right="20" w:firstLine="130"/>
        <w:spacing w:after="0" w:line="269" w:lineRule="auto"/>
        <w:rPr>
          <w:sz w:val="20"/>
          <w:szCs w:val="20"/>
          <w:color w:val="auto"/>
        </w:rPr>
      </w:pPr>
      <w:r>
        <w:rPr>
          <w:rFonts w:ascii="Arial" w:cs="Arial" w:eastAsia="Arial" w:hAnsi="Arial"/>
          <w:sz w:val="17"/>
          <w:szCs w:val="17"/>
          <w:color w:val="auto"/>
        </w:rPr>
        <w:t>The receivables we acquired are pledged as collateral for debt that was structured specifically for the acquisition of this portfolio. Since the Fireside receivables were originated by another entity with its own underwriting guidelines and procedures, we elected to account for the Fireside receivables and the related debt secured by those receivables at their estimated fair values so that changes in fair value will be reflected in our results of operations as they occur.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 Interest income from the receivables and interest expense on the debt are included in interest income and interest expense, respectively. Changes to the fair value of the receivables and debt are also included in interest income and interest expense,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ind w:firstLine="130"/>
        <w:spacing w:after="0" w:line="255" w:lineRule="auto"/>
        <w:rPr>
          <w:sz w:val="20"/>
          <w:szCs w:val="20"/>
          <w:color w:val="auto"/>
        </w:rPr>
      </w:pPr>
      <w:r>
        <w:rPr>
          <w:rFonts w:ascii="Arial" w:cs="Arial" w:eastAsia="Arial" w:hAnsi="Arial"/>
          <w:sz w:val="18"/>
          <w:szCs w:val="18"/>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ind w:right="80" w:firstLine="130"/>
        <w:spacing w:after="0" w:line="264"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Dealer acquisition fees and deferred origination costs are applied to the carrying value of finance receivables and are accreted into earnings as an adjustment to the yield over the estimated life of the Contract using the interest method.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ind w:right="40" w:firstLine="130"/>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Consolidated Balance Sheets are repossessed vehicles pending sale of $12.8 million and $10.4 million at December 31, 2015 and 2014,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We sell contracts we acquire to a wholly-owned SPS, which has been established for the limited purpose of buying and reselling our contracts. The SPS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then transfers the same contracts to another entity, typically a statutory trust ("Trust"). The Trust issues interest-bearing asset-backed securities ("Notes"),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equal to or less than the aggregate principal balance of the contracts. We typically sell these contracts to the Trust at face value and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recourse, except representations and warranties that we make to the Trust that are similar to those provided to us by the Dealer. One or more investors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"Noteholders") purchase the Notes issued by the Trust; the proceeds from the sale of the Notes are then used to purchase the contracts from us. We may retain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sell subordinated Notes issued by the Trust. In addition, we have provided "Credit Enhancement" for the benefit of the Noteholders in three forms: (1)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initial cash deposit to a bank account (a "Spread Account") held by the Trust, (2) overcollateralization of the Notes, where the principal balance of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issued is less than the principal balance of the contracts, and (3) in the form of subordinated Notes. The agreements governing the securitization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(collectively referred to as the "Securitization Agreements") require that the initial level of Credit Enhancement be supplemented by a portion of collections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contracts until the level of Credit Enhancement reaches specified levels, which are then maintained. The specified levels are generally computed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the principal amount remaining unpaid under the related contracts. The specified levels at which the Credit Enhancement is to be maintained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vary depending on the performance of the portfolios of contracts held by the Trusts and on other conditions. Such levels have increased and decreased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based on performance of the various portfolios, and have also varied from one Trust to another.</w:t>
      </w:r>
    </w:p>
    <w:p>
      <w:pPr>
        <w:spacing w:after="0" w:line="211"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ind w:right="40" w:firstLine="130"/>
        <w:spacing w:after="0" w:line="259" w:lineRule="auto"/>
        <w:rPr>
          <w:sz w:val="20"/>
          <w:szCs w:val="20"/>
          <w:color w:val="auto"/>
        </w:rPr>
      </w:pPr>
      <w:r>
        <w:rPr>
          <w:rFonts w:ascii="Arial" w:cs="Arial" w:eastAsia="Arial" w:hAnsi="Arial"/>
          <w:sz w:val="18"/>
          <w:szCs w:val="18"/>
          <w:color w:val="auto"/>
        </w:rPr>
        <w:t>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87" w:lineRule="exact"/>
        <w:rPr>
          <w:sz w:val="20"/>
          <w:szCs w:val="20"/>
          <w:color w:val="auto"/>
        </w:rPr>
      </w:pPr>
    </w:p>
    <w:p>
      <w:pPr>
        <w:ind w:right="80" w:firstLine="130"/>
        <w:spacing w:after="0" w:line="272" w:lineRule="auto"/>
        <w:rPr>
          <w:sz w:val="20"/>
          <w:szCs w:val="20"/>
          <w:color w:val="auto"/>
        </w:rPr>
      </w:pPr>
      <w:r>
        <w:rPr>
          <w:rFonts w:ascii="Arial" w:cs="Arial" w:eastAsia="Arial" w:hAnsi="Arial"/>
          <w:sz w:val="17"/>
          <w:szCs w:val="17"/>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the premium paid to the Note Insurer, if any,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80" w:firstLine="130"/>
        <w:spacing w:after="0" w:line="270"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all of our term securitizations we have transferred the receivables (through a subsidiary) to the securitization Trust. We report the assets and liabilities of the securitization Trust on our Consolidated Balance Sheet. The Noteholders’ and the related securitization Trusts’ recourse against us for failure of the contract obligors to make payments on a timely basis is limited, in general, to our Finance Receivables, and Spread Accounts.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ind w:right="100" w:firstLine="130"/>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ind w:right="180" w:firstLine="130"/>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ind w:right="160" w:firstLine="130"/>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Other Income</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5420" w:type="dxa"/>
            <w:vAlign w:val="bottom"/>
            <w:gridSpan w:val="2"/>
          </w:tcPr>
          <w:p>
            <w:pPr>
              <w:ind w:left="140"/>
              <w:spacing w:after="0"/>
              <w:rPr>
                <w:sz w:val="20"/>
                <w:szCs w:val="20"/>
                <w:color w:val="auto"/>
              </w:rPr>
            </w:pPr>
            <w:r>
              <w:rPr>
                <w:rFonts w:ascii="Arial" w:cs="Arial" w:eastAsia="Arial" w:hAnsi="Arial"/>
                <w:sz w:val="18"/>
                <w:szCs w:val="18"/>
                <w:color w:val="auto"/>
                <w:w w:val="93"/>
              </w:rPr>
              <w:t>The following table presents the primary components of Other Income:</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46"/>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145"/>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60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8,927</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7,975</w:t>
            </w:r>
          </w:p>
        </w:tc>
        <w:tc>
          <w:tcPr>
            <w:tcW w:w="60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7,004</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1,079</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Sales tax refunds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w:t>
            </w:r>
          </w:p>
        </w:tc>
        <w:tc>
          <w:tcPr>
            <w:tcW w:w="30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13,419</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12,146</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10,405</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831"/>
        </w:trPr>
        <w:tc>
          <w:tcPr>
            <w:tcW w:w="11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rPr>
              <w:t>F-12</w:t>
            </w: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illustrates the computation of basic and diluted earnings per share:</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0" w:type="dxa"/>
            <w:vAlign w:val="bottom"/>
            <w:gridSpan w:val="8"/>
          </w:tcPr>
          <w:p>
            <w:pPr>
              <w:jc w:val="right"/>
              <w:ind w:right="730"/>
              <w:spacing w:after="0"/>
              <w:rPr>
                <w:sz w:val="20"/>
                <w:szCs w:val="20"/>
                <w:color w:val="auto"/>
              </w:rPr>
            </w:pPr>
            <w:r>
              <w:rPr>
                <w:rFonts w:ascii="Arial" w:cs="Arial" w:eastAsia="Arial" w:hAnsi="Arial"/>
                <w:sz w:val="18"/>
                <w:szCs w:val="18"/>
                <w:b w:val="1"/>
                <w:bCs w:val="1"/>
                <w:color w:val="auto"/>
              </w:rPr>
              <w:t>(In thousands, except per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Numerator for basic and diluted earnings per share</w:t>
            </w:r>
          </w:p>
        </w:tc>
        <w:tc>
          <w:tcPr>
            <w:tcW w:w="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34,681</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29,516</w:t>
            </w:r>
          </w:p>
        </w:tc>
        <w:tc>
          <w:tcPr>
            <w:tcW w:w="320" w:type="dxa"/>
            <w:vAlign w:val="bottom"/>
          </w:tcPr>
          <w:p>
            <w:pPr>
              <w:spacing w:after="0"/>
              <w:rPr>
                <w:sz w:val="24"/>
                <w:szCs w:val="24"/>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tcBorders>
              <w:top w:val="single" w:sz="8" w:color="EEEEEE"/>
            </w:tcBorders>
            <w:shd w:val="clear" w:color="auto" w:fill="EEEEEE"/>
          </w:tcPr>
          <w:p>
            <w:pPr>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30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tcBorders>
            <w:shd w:val="clear" w:color="auto" w:fill="EEEEEE"/>
          </w:tcPr>
          <w:p>
            <w:pPr>
              <w:spacing w:after="0"/>
              <w:rPr>
                <w:sz w:val="17"/>
                <w:szCs w:val="17"/>
                <w:color w:val="auto"/>
              </w:rPr>
            </w:pPr>
          </w:p>
        </w:tc>
        <w:tc>
          <w:tcPr>
            <w:tcW w:w="10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Denominator for basic earnings per share - weighted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w w:val="94"/>
              </w:rPr>
              <w:t>average number of common shares outstanding during</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the year</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25,935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25,040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Incremental common shares attributable to exercise of</w:t>
            </w:r>
          </w:p>
        </w:tc>
        <w:tc>
          <w:tcPr>
            <w:tcW w:w="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outstanding options and warrants</w:t>
            </w:r>
          </w:p>
        </w:tc>
        <w:tc>
          <w:tcPr>
            <w:tcW w:w="240" w:type="dxa"/>
            <w:vAlign w:val="bottom"/>
            <w:shd w:val="clear" w:color="auto" w:fill="EEEEEE"/>
          </w:tcPr>
          <w:p>
            <w:pPr>
              <w:spacing w:after="0"/>
              <w:rPr>
                <w:sz w:val="21"/>
                <w:szCs w:val="21"/>
                <w:color w:val="auto"/>
              </w:rPr>
            </w:pPr>
          </w:p>
        </w:tc>
        <w:tc>
          <w:tcPr>
            <w:tcW w:w="260" w:type="dxa"/>
            <w:vAlign w:val="bottom"/>
            <w:tcBorders>
              <w:bottom w:val="single" w:sz="8" w:color="auto"/>
            </w:tcBorders>
            <w:shd w:val="clear" w:color="auto" w:fill="EEEEEE"/>
          </w:tcPr>
          <w:p>
            <w:pPr>
              <w:spacing w:after="0"/>
              <w:rPr>
                <w:sz w:val="21"/>
                <w:szCs w:val="21"/>
                <w:color w:val="auto"/>
              </w:rPr>
            </w:pP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5,649</w:t>
            </w:r>
          </w:p>
        </w:tc>
        <w:tc>
          <w:tcPr>
            <w:tcW w:w="300" w:type="dxa"/>
            <w:vAlign w:val="bottom"/>
            <w:shd w:val="clear" w:color="auto" w:fill="EEEEEE"/>
          </w:tcPr>
          <w:p>
            <w:pPr>
              <w:spacing w:after="0"/>
              <w:rPr>
                <w:sz w:val="21"/>
                <w:szCs w:val="21"/>
                <w:color w:val="auto"/>
              </w:rPr>
            </w:pPr>
          </w:p>
        </w:tc>
        <w:tc>
          <w:tcPr>
            <w:tcW w:w="280" w:type="dxa"/>
            <w:vAlign w:val="bottom"/>
            <w:tcBorders>
              <w:bottom w:val="single" w:sz="8" w:color="auto"/>
            </w:tcBorders>
            <w:shd w:val="clear" w:color="auto" w:fill="EEEEEE"/>
          </w:tcPr>
          <w:p>
            <w:pPr>
              <w:spacing w:after="0"/>
              <w:rPr>
                <w:sz w:val="21"/>
                <w:szCs w:val="21"/>
                <w:color w:val="auto"/>
              </w:rPr>
            </w:pPr>
          </w:p>
        </w:tc>
        <w:tc>
          <w:tcPr>
            <w:tcW w:w="10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6,992</w:t>
            </w:r>
          </w:p>
        </w:tc>
        <w:tc>
          <w:tcPr>
            <w:tcW w:w="320" w:type="dxa"/>
            <w:vAlign w:val="bottom"/>
            <w:shd w:val="clear" w:color="auto" w:fill="EEEEEE"/>
          </w:tcPr>
          <w:p>
            <w:pPr>
              <w:spacing w:after="0"/>
              <w:rPr>
                <w:sz w:val="21"/>
                <w:szCs w:val="21"/>
                <w:color w:val="auto"/>
              </w:rPr>
            </w:pPr>
          </w:p>
        </w:tc>
        <w:tc>
          <w:tcPr>
            <w:tcW w:w="20" w:type="dxa"/>
            <w:vAlign w:val="bottom"/>
            <w:shd w:val="clear" w:color="auto" w:fill="EEEEEE"/>
          </w:tcPr>
          <w:p>
            <w:pPr>
              <w:spacing w:after="0"/>
              <w:rPr>
                <w:sz w:val="21"/>
                <w:szCs w:val="21"/>
                <w:color w:val="auto"/>
              </w:rPr>
            </w:pPr>
          </w:p>
        </w:tc>
        <w:tc>
          <w:tcPr>
            <w:tcW w:w="260" w:type="dxa"/>
            <w:vAlign w:val="bottom"/>
            <w:tcBorders>
              <w:bottom w:val="single" w:sz="8" w:color="auto"/>
            </w:tcBorders>
            <w:shd w:val="clear" w:color="auto" w:fill="EEEEEE"/>
          </w:tcPr>
          <w:p>
            <w:pPr>
              <w:spacing w:after="0"/>
              <w:rPr>
                <w:sz w:val="21"/>
                <w:szCs w:val="21"/>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10,036</w:t>
            </w:r>
          </w:p>
        </w:tc>
        <w:tc>
          <w:tcPr>
            <w:tcW w:w="10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Denominator for diluted earnings per share</w:t>
            </w:r>
          </w:p>
        </w:tc>
        <w:tc>
          <w:tcPr>
            <w:tcW w:w="240" w:type="dxa"/>
            <w:vAlign w:val="bottom"/>
            <w:tcBorders>
              <w:bottom w:val="single" w:sz="8" w:color="EEEEE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31,584</w:t>
            </w:r>
          </w:p>
        </w:tc>
        <w:tc>
          <w:tcPr>
            <w:tcW w:w="300" w:type="dxa"/>
            <w:vAlign w:val="bottom"/>
            <w:tcBorders>
              <w:bottom w:val="single" w:sz="8" w:color="EEEEEE"/>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32,032</w:t>
            </w:r>
          </w:p>
        </w:tc>
        <w:tc>
          <w:tcPr>
            <w:tcW w:w="32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1.34</w:t>
            </w:r>
          </w:p>
        </w:tc>
        <w:tc>
          <w:tcPr>
            <w:tcW w:w="30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auto"/>
            </w:tcBorders>
            <w:shd w:val="clear" w:color="auto" w:fill="EEEEEE"/>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1.18</w:t>
            </w:r>
          </w:p>
        </w:tc>
        <w:tc>
          <w:tcPr>
            <w:tcW w:w="32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auto"/>
            </w:tcBorders>
            <w:shd w:val="clear" w:color="auto" w:fill="EEEEEE"/>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0.98</w:t>
            </w: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w:t>
            </w:r>
          </w:p>
        </w:tc>
        <w:tc>
          <w:tcPr>
            <w:tcW w:w="3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0.92</w:t>
            </w:r>
          </w:p>
        </w:tc>
        <w:tc>
          <w:tcPr>
            <w:tcW w:w="3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40" w:firstLine="130"/>
        <w:spacing w:after="0" w:line="277" w:lineRule="auto"/>
        <w:rPr>
          <w:sz w:val="20"/>
          <w:szCs w:val="20"/>
          <w:color w:val="auto"/>
        </w:rPr>
      </w:pPr>
      <w:r>
        <w:rPr>
          <w:rFonts w:ascii="Arial" w:cs="Arial" w:eastAsia="Arial" w:hAnsi="Arial"/>
          <w:sz w:val="18"/>
          <w:szCs w:val="18"/>
          <w:color w:val="auto"/>
        </w:rPr>
        <w:t>Incremental shares of 6.8 million, 4.5 million and 2.1 million related to stock options and warrants have been excluded from the diluted earnings per share calculation for the years ended December 31, 2015, 2014 and 2013, respectively, because the effect is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Costs related to the issuance of debt are deferred and amortized using the interest method over the contractual or expected term of the related debt.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130"/>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ind w:firstLine="130"/>
        <w:spacing w:after="0" w:line="264" w:lineRule="auto"/>
        <w:rPr>
          <w:sz w:val="20"/>
          <w:szCs w:val="20"/>
          <w:color w:val="auto"/>
        </w:rPr>
      </w:pPr>
      <w:r>
        <w:rPr>
          <w:rFonts w:ascii="Arial" w:cs="Arial" w:eastAsia="Arial" w:hAnsi="Arial"/>
          <w:sz w:val="18"/>
          <w:szCs w:val="18"/>
          <w:color w:val="auto"/>
        </w:rPr>
        <w:t>We recognize compensation costs in the financial statements for all share-based payments granted subsequent to January 1, 2006 based on the grant date fair value estimated in accordance with the provisions of ASC 718 “Stock Compensation”. Compensation cost is recognized over the required service period, generally defined as the vesting period.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130"/>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determining appropriate reserves for contingent liabilities, valuing finance receivables measured at fair value and the related debt, accreting net acquisition fees, amortizing deferred costs, and recording deferred tax assets and reserves for uncertain tax positions. These are material estimates that could be susceptible to changes in the near term and, accordingly,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right="380" w:firstLine="130"/>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jc w:val="both"/>
        <w:ind w:right="300" w:firstLine="130"/>
        <w:spacing w:after="0" w:line="302" w:lineRule="auto"/>
        <w:rPr>
          <w:sz w:val="20"/>
          <w:szCs w:val="20"/>
          <w:color w:val="auto"/>
        </w:rPr>
      </w:pPr>
      <w:r>
        <w:rPr>
          <w:rFonts w:ascii="Arial" w:cs="Arial" w:eastAsia="Arial" w:hAnsi="Arial"/>
          <w:sz w:val="16"/>
          <w:szCs w:val="16"/>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2015 we were in compliance with all such financial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Cancellation of Debt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 April 2013, we repurchased the outstanding Class D notes from our first 2008 securitization for a cash payment of $6.1 million and a new 5% note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$5.3 million due in June 2014. The Class D notes were held by the same related party that held our senior secured debt. On the date we repurchased the Class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 notes, the Class D note holder owned 10.5% of our outstanding common stock and warrants to purchase an additional 1.9 million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 subsequently exercised our “clean-up call” option and repurchased the remaining collateral from the related securitization trust. The aggregate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consideration for the Class D notes was $10.9 million less than our carrying value of the Class D notes at the time of the repurchase.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 of the Class D notes and the termination of the securitization trust, we realized a gain of $10.9 million for the year ended December 31, 2013.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jc w:val="both"/>
        <w:ind w:right="60" w:firstLine="130"/>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right="100" w:firstLine="130"/>
        <w:spacing w:after="0" w:line="259" w:lineRule="auto"/>
        <w:rPr>
          <w:sz w:val="20"/>
          <w:szCs w:val="20"/>
          <w:color w:val="auto"/>
        </w:rPr>
      </w:pPr>
      <w:r>
        <w:rPr>
          <w:rFonts w:ascii="Arial" w:cs="Arial" w:eastAsia="Arial" w:hAnsi="Arial"/>
          <w:sz w:val="18"/>
          <w:szCs w:val="18"/>
          <w:color w:val="auto"/>
        </w:rPr>
        <w:t>In 2013, we recognized $7.8 million in contingent liability expenses to either record or increase the amounts we believed represented our best estimate of probable incurred losses related to various matters. The amount was allocated in part to a long running case (“Pardee”) in which we were sued for indemnity, and also to more recent matters. In September 2014 we reached a settlement of the Pardee case, pursuant to which we paid $5.99 million and all claims against us were fully and finally discharged.</w:t>
      </w:r>
    </w:p>
    <w:p>
      <w:pPr>
        <w:spacing w:after="0" w:line="187" w:lineRule="exact"/>
        <w:rPr>
          <w:sz w:val="20"/>
          <w:szCs w:val="20"/>
          <w:color w:val="auto"/>
        </w:rPr>
      </w:pPr>
    </w:p>
    <w:p>
      <w:pPr>
        <w:ind w:right="60" w:firstLine="130"/>
        <w:spacing w:after="0" w:line="255" w:lineRule="auto"/>
        <w:rPr>
          <w:sz w:val="20"/>
          <w:szCs w:val="20"/>
          <w:color w:val="auto"/>
        </w:rPr>
      </w:pPr>
      <w:r>
        <w:rPr>
          <w:rFonts w:ascii="Arial" w:cs="Arial" w:eastAsia="Arial" w:hAnsi="Arial"/>
          <w:sz w:val="18"/>
          <w:szCs w:val="18"/>
          <w:color w:val="auto"/>
        </w:rPr>
        <w:t>The more recent matters included two California class action suits where we were the defendant, and a governmental inquiry in which the United States Federal Trade Commission (“FTC”) had informally proposed that we refrain from certain allegedly unfair trade practices, and make restitutionary payments into a consumer relief fund. In May 2014, the FTC announced its agreement to settle the matter by filing a lawsuit against us, and requesting, with our consent, that the court enter an agreed judgment against us. The lawsuit arose out of the FTC’s inquiry into our business practices. Under the agreed settlement, we made approximately $1.9 million of restitutionary payments and $1.6 million of account adjustments to our customers in September 2014, and paid a $2 million penalty to the federal government in June 2014, and implemented procedural changes, all pursuant to a consent decree entered by the court in June 2014.</w:t>
      </w:r>
    </w:p>
    <w:p>
      <w:pPr>
        <w:spacing w:after="0" w:line="189" w:lineRule="exact"/>
        <w:rPr>
          <w:sz w:val="20"/>
          <w:szCs w:val="20"/>
          <w:color w:val="auto"/>
        </w:rPr>
      </w:pPr>
    </w:p>
    <w:p>
      <w:pPr>
        <w:ind w:right="20" w:firstLine="130"/>
        <w:spacing w:after="0" w:line="277" w:lineRule="auto"/>
        <w:rPr>
          <w:sz w:val="20"/>
          <w:szCs w:val="20"/>
          <w:color w:val="auto"/>
        </w:rPr>
      </w:pPr>
      <w:r>
        <w:rPr>
          <w:rFonts w:ascii="Arial" w:cs="Arial" w:eastAsia="Arial" w:hAnsi="Arial"/>
          <w:sz w:val="18"/>
          <w:szCs w:val="18"/>
          <w:color w:val="auto"/>
        </w:rPr>
        <w:t>We have recorded a liability as of December 31, 2015, which represents our best estimate of probable incurred losses for legal contingencies. The amount of losses that may ultimately be incurred cannot be estimated with certainty.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11" w:lineRule="exact"/>
        <w:rPr>
          <w:sz w:val="20"/>
          <w:szCs w:val="20"/>
          <w:color w:val="auto"/>
        </w:rPr>
      </w:pPr>
    </w:p>
    <w:p>
      <w:pPr>
        <w:ind w:right="60" w:firstLine="130"/>
        <w:spacing w:after="0" w:line="255" w:lineRule="auto"/>
        <w:rPr>
          <w:sz w:val="20"/>
          <w:szCs w:val="20"/>
          <w:color w:val="auto"/>
        </w:rPr>
      </w:pPr>
      <w:r>
        <w:rPr>
          <w:rFonts w:ascii="Arial" w:cs="Arial" w:eastAsia="Arial" w:hAnsi="Arial"/>
          <w:sz w:val="18"/>
          <w:szCs w:val="18"/>
          <w:color w:val="auto"/>
        </w:rPr>
        <w:t>In August 2015, the Financial Accounting Standard Board (FASB) issued Accounting Standard Update (ASU) No. 2015-14, Revenue from Contracts with Customers (Topic 606) (ASU 2015-14). In May 2014, the FASB issued Accounting Standards Update No. 2014-09, Revenue from Contracts with Customers (Topic 606), with an original effective date for annual reporting periods beginning after December 15, 2016. The core principle of ASU 2014-09 is that an entity should recognize revenue to depict the transfer of promised goods or services to customers in an amount that reflects the consideration to which the entity expects to be entitled in exchange for those goods or services. ASU 2015-14 deferred the effective date of ASU 2014-09 to annual periods and interim periods within those annual periods beginning after December 15, 2017. The Company is currently evaluating the effects of ASU 2015-14 on its financial statements and disclosures, if any.</w:t>
      </w:r>
    </w:p>
    <w:p>
      <w:pPr>
        <w:spacing w:after="0" w:line="189" w:lineRule="exact"/>
        <w:rPr>
          <w:sz w:val="20"/>
          <w:szCs w:val="20"/>
          <w:color w:val="auto"/>
        </w:rPr>
      </w:pPr>
    </w:p>
    <w:p>
      <w:pPr>
        <w:ind w:firstLine="130"/>
        <w:spacing w:after="0" w:line="269" w:lineRule="auto"/>
        <w:rPr>
          <w:sz w:val="20"/>
          <w:szCs w:val="20"/>
          <w:color w:val="auto"/>
        </w:rPr>
      </w:pPr>
      <w:r>
        <w:rPr>
          <w:rFonts w:ascii="Arial" w:cs="Arial" w:eastAsia="Arial" w:hAnsi="Arial"/>
          <w:sz w:val="17"/>
          <w:szCs w:val="17"/>
          <w:color w:val="auto"/>
        </w:rPr>
        <w:t>In January 2016, the FASB issued ASU 2016-01, Financial Instruments – Overall (Subtopic 825-10): Recognition and Measurement of Financial Assets and Financial Liabilities (ASU 2016-01). The main objective of ASU 2016-01 is to enhance the reporting model for financial instruments to provide users of financial statements with more decision-useful information. ASU 2016-01 addresses certain aspects of recognition, measurement, presentation, and disclosure of financial instruments. Some of the amendments in ASU 2016-01 include the following: 1) Require equity investments (except those accounted for under the equity method of accounting or those that result in consolidation of the investee) to be measured at fair value with changes in fair value recognized in net income; 2) Simplify the impairment assessment of equity investments without readily determinable fair values by requiring a qualitative assessment to identify impairment; 3) Require public business entities to use the exit price notion when measuring the fair value of financial instruments for disclosure purposes; 4) Require an entity to present separately in other comprehensive income the portion of the total change in the fair value of a liability resulting from a change in the instrument-specific credit risk when the entity has elected to measure the liability at fair value; among others. The amendments of ASU 2016-01 are effective for fiscal years beginning after December 15, 2017, including interim periods within those fiscal years. The Company is currently evaluating the effects of ASU 2016-01 on its financial statements and disclosures, if any.</w:t>
      </w:r>
    </w:p>
    <w:p>
      <w:pPr>
        <w:spacing w:after="0" w:line="183" w:lineRule="exact"/>
        <w:rPr>
          <w:sz w:val="20"/>
          <w:szCs w:val="20"/>
          <w:color w:val="auto"/>
        </w:rPr>
      </w:pPr>
    </w:p>
    <w:p>
      <w:pPr>
        <w:ind w:right="40" w:firstLine="130"/>
        <w:spacing w:after="0" w:line="254" w:lineRule="auto"/>
        <w:rPr>
          <w:sz w:val="20"/>
          <w:szCs w:val="20"/>
          <w:color w:val="auto"/>
        </w:rPr>
      </w:pPr>
      <w:r>
        <w:rPr>
          <w:rFonts w:ascii="Arial" w:cs="Arial" w:eastAsia="Arial" w:hAnsi="Arial"/>
          <w:sz w:val="18"/>
          <w:szCs w:val="18"/>
          <w:color w:val="auto"/>
        </w:rPr>
        <w:t>In February 2016, the FASB issued a comprehensive new leases standard that amends various aspects of existing accounting guidance for leases. It will require recognizing lease assets and lease liabilities on the balance sheet and disclosing key information about leasing arrangements. The main difference between previous GAAP and the amended standard is the recognition of lease assets and lease liabilities by lessees on the balance sheet for those leases classified as operating leases under previous GAAP. The accounting applied by a lessor is largely unchanged from that applied under previous GAAP. As a result, the Company will have to recognize a liability to make lease payments (the lease liability) and a right-of-use asset representing its right to use the underlying asset for the lease term on the balance sheet. The guidance is effective for fiscal years beginning after December 15, 2018, including interim periods within those fiscal years. Early adoption is permitted. The Company is currently evaluating the effects of the new guidance on its financial statements and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ind w:right="160" w:firstLine="130"/>
        <w:spacing w:after="0" w:line="308" w:lineRule="auto"/>
        <w:rPr>
          <w:sz w:val="20"/>
          <w:szCs w:val="20"/>
          <w:color w:val="auto"/>
        </w:rPr>
      </w:pPr>
      <w:r>
        <w:rPr>
          <w:rFonts w:ascii="Arial" w:cs="Arial" w:eastAsia="Arial" w:hAnsi="Arial"/>
          <w:sz w:val="17"/>
          <w:szCs w:val="17"/>
          <w:color w:val="auto"/>
        </w:rPr>
        <w:t>Restricted cash consists of cash and cash equivalent accounts relating to our outstanding securitization trusts and credit facilities. The amount of restricted cash on our Consolidated Balance Sheets was $106.1 million and $175.4 million as of December 31, 2015 and 2014, respectively.</w:t>
      </w:r>
    </w:p>
    <w:p>
      <w:pPr>
        <w:spacing w:after="0" w:line="147" w:lineRule="exact"/>
        <w:rPr>
          <w:sz w:val="20"/>
          <w:szCs w:val="20"/>
          <w:color w:val="auto"/>
        </w:rPr>
      </w:pPr>
    </w:p>
    <w:p>
      <w:pPr>
        <w:ind w:right="360" w:firstLine="130"/>
        <w:spacing w:after="0" w:line="264"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$38.9 million and $31.2 million as of December 31, 2015 and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ind w:right="140" w:firstLine="130"/>
        <w:spacing w:after="0" w:line="276"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0" w:name="page71"/>
    <w:bookmarkEnd w:id="70"/>
    <w:p>
      <w:pPr>
        <w:ind w:left="14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tcPr>
          <w:p>
            <w:pPr>
              <w:ind w:left="180"/>
              <w:spacing w:after="0" w:line="201" w:lineRule="exact"/>
              <w:rPr>
                <w:sz w:val="20"/>
                <w:szCs w:val="20"/>
                <w:color w:val="auto"/>
              </w:rPr>
            </w:pPr>
            <w:r>
              <w:rPr>
                <w:rFonts w:ascii="Arial" w:cs="Arial" w:eastAsia="Arial" w:hAnsi="Arial"/>
                <w:sz w:val="18"/>
                <w:szCs w:val="18"/>
                <w:color w:val="auto"/>
              </w:rPr>
              <w:t>Automobile finance receivables, net of unearned</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1,990,913</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1,612,246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rPr>
              <w:t>Less: Unearned acquisition fees, discounts and</w:t>
            </w:r>
          </w:p>
        </w:tc>
        <w:tc>
          <w:tcPr>
            <w:tcW w:w="360" w:type="dxa"/>
            <w:vAlign w:val="bottom"/>
            <w:shd w:val="clear" w:color="auto" w:fill="EEEEEE"/>
          </w:tcPr>
          <w:p>
            <w:pPr>
              <w:spacing w:after="0"/>
              <w:rPr>
                <w:sz w:val="17"/>
                <w:szCs w:val="17"/>
                <w:color w:val="auto"/>
              </w:rPr>
            </w:pPr>
          </w:p>
        </w:tc>
        <w:tc>
          <w:tcPr>
            <w:tcW w:w="1540" w:type="dxa"/>
            <w:vAlign w:val="bottom"/>
            <w:gridSpan w:val="2"/>
            <w:vMerge w:val="restart"/>
            <w:shd w:val="clear" w:color="auto" w:fill="EEEEEE"/>
          </w:tcPr>
          <w:p>
            <w:pPr>
              <w:jc w:val="right"/>
              <w:ind w:right="240"/>
              <w:spacing w:after="0"/>
              <w:rPr>
                <w:sz w:val="20"/>
                <w:szCs w:val="20"/>
                <w:color w:val="auto"/>
              </w:rPr>
            </w:pPr>
            <w:r>
              <w:rPr>
                <w:rFonts w:ascii="Arial" w:cs="Arial" w:eastAsia="Arial" w:hAnsi="Arial"/>
                <w:sz w:val="18"/>
                <w:szCs w:val="18"/>
                <w:color w:val="auto"/>
              </w:rPr>
              <w:t>(5,820)</w:t>
            </w: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200" w:type="dxa"/>
            <w:vAlign w:val="bottom"/>
            <w:gridSpan w:val="3"/>
            <w:vMerge w:val="restart"/>
            <w:shd w:val="clear" w:color="auto" w:fill="EEEEEE"/>
          </w:tcPr>
          <w:p>
            <w:pPr>
              <w:jc w:val="right"/>
              <w:ind w:right="40"/>
              <w:spacing w:after="0"/>
              <w:rPr>
                <w:sz w:val="20"/>
                <w:szCs w:val="20"/>
                <w:color w:val="auto"/>
              </w:rPr>
            </w:pPr>
            <w:r>
              <w:rPr>
                <w:rFonts w:ascii="Arial" w:cs="Arial" w:eastAsia="Arial" w:hAnsi="Arial"/>
                <w:sz w:val="18"/>
                <w:szCs w:val="18"/>
                <w:color w:val="auto"/>
              </w:rPr>
              <w:t>(16,290)</w:t>
            </w:r>
          </w:p>
        </w:tc>
        <w:tc>
          <w:tcPr>
            <w:tcW w:w="0" w:type="dxa"/>
            <w:vAlign w:val="bottom"/>
          </w:tcPr>
          <w:p>
            <w:pPr>
              <w:spacing w:after="0"/>
              <w:rPr>
                <w:sz w:val="1"/>
                <w:szCs w:val="1"/>
                <w:color w:val="auto"/>
              </w:rPr>
            </w:pPr>
          </w:p>
        </w:tc>
      </w:tr>
      <w:tr>
        <w:trPr>
          <w:trHeight w:val="230"/>
        </w:trPr>
        <w:tc>
          <w:tcPr>
            <w:tcW w:w="43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deferred origination costs, net</w:t>
            </w:r>
          </w:p>
        </w:tc>
        <w:tc>
          <w:tcPr>
            <w:tcW w:w="360" w:type="dxa"/>
            <w:vAlign w:val="bottom"/>
            <w:shd w:val="clear" w:color="auto" w:fill="EEEEEE"/>
          </w:tcPr>
          <w:p>
            <w:pPr>
              <w:spacing w:after="0"/>
              <w:rPr>
                <w:sz w:val="20"/>
                <w:szCs w:val="20"/>
                <w:color w:val="auto"/>
              </w:rPr>
            </w:pPr>
          </w:p>
        </w:tc>
        <w:tc>
          <w:tcPr>
            <w:tcW w:w="1540" w:type="dxa"/>
            <w:vAlign w:val="bottom"/>
            <w:gridSpan w:val="2"/>
            <w:vMerge w:val="continue"/>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200" w:type="dxa"/>
            <w:vAlign w:val="bottom"/>
            <w:gridSpan w:val="3"/>
            <w:vMerge w:val="continue"/>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180"/>
              <w:spacing w:after="0"/>
              <w:rPr>
                <w:sz w:val="20"/>
                <w:szCs w:val="20"/>
                <w:color w:val="auto"/>
              </w:rPr>
            </w:pPr>
            <w:r>
              <w:rPr>
                <w:rFonts w:ascii="Arial" w:cs="Arial" w:eastAsia="Arial" w:hAnsi="Arial"/>
                <w:sz w:val="18"/>
                <w:szCs w:val="18"/>
                <w:color w:val="auto"/>
              </w:rPr>
              <w:t>Finance receivables</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1,985,093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1,595,956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130"/>
        <w:spacing w:after="0" w:line="254"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reported as delinquent. In certain circumstances we will grant obligors one-month payment extensions.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2015 and 2014:</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1,836,267</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1,523,020</w:t>
            </w:r>
          </w:p>
        </w:tc>
        <w:tc>
          <w:tcPr>
            <w:tcW w:w="80" w:type="dxa"/>
            <w:vAlign w:val="bottom"/>
          </w:tcPr>
          <w:p>
            <w:pPr>
              <w:spacing w:after="0"/>
              <w:rPr>
                <w:sz w:val="18"/>
                <w:szCs w:val="18"/>
                <w:color w:val="auto"/>
              </w:rPr>
            </w:pPr>
          </w:p>
        </w:tc>
      </w:tr>
      <w:tr>
        <w:trPr>
          <w:trHeight w:val="216"/>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31</w:t>
            </w:r>
          </w:p>
        </w:tc>
        <w:tc>
          <w:tcPr>
            <w:tcW w:w="4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3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70,036</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42,730</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61</w:t>
            </w:r>
          </w:p>
        </w:tc>
        <w:tc>
          <w:tcPr>
            <w:tcW w:w="4140" w:type="dxa"/>
            <w:vAlign w:val="bottom"/>
          </w:tcPr>
          <w:p>
            <w:pPr>
              <w:ind w:left="20"/>
              <w:spacing w:after="0"/>
              <w:rPr>
                <w:sz w:val="20"/>
                <w:szCs w:val="20"/>
                <w:color w:val="auto"/>
              </w:rPr>
            </w:pPr>
            <w:r>
              <w:rPr>
                <w:rFonts w:ascii="Arial" w:cs="Arial" w:eastAsia="Arial" w:hAnsi="Arial"/>
                <w:sz w:val="18"/>
                <w:szCs w:val="18"/>
                <w:color w:val="auto"/>
              </w:rPr>
              <w:t>- 90 days</w:t>
            </w:r>
          </w:p>
        </w:tc>
        <w:tc>
          <w:tcPr>
            <w:tcW w:w="3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41,136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23,300</w:t>
            </w:r>
          </w:p>
        </w:tc>
      </w:tr>
      <w:tr>
        <w:trPr>
          <w:trHeight w:val="230"/>
        </w:trPr>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91</w:t>
            </w:r>
          </w:p>
        </w:tc>
        <w:tc>
          <w:tcPr>
            <w:tcW w:w="414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36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43,474</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23,196</w:t>
            </w:r>
          </w:p>
        </w:tc>
      </w:tr>
      <w:tr>
        <w:trPr>
          <w:trHeight w:val="223"/>
        </w:trPr>
        <w:tc>
          <w:tcPr>
            <w:tcW w:w="2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1,990,913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1,612,246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380" w:firstLine="130"/>
        <w:spacing w:after="0" w:line="277" w:lineRule="auto"/>
        <w:rPr>
          <w:sz w:val="20"/>
          <w:szCs w:val="20"/>
          <w:color w:val="auto"/>
        </w:rPr>
      </w:pPr>
      <w:r>
        <w:rPr>
          <w:rFonts w:ascii="Arial" w:cs="Arial" w:eastAsia="Arial" w:hAnsi="Arial"/>
          <w:sz w:val="18"/>
          <w:szCs w:val="18"/>
          <w:color w:val="auto"/>
        </w:rPr>
        <w:t>Finance receivables totaling $43.5 million and $23.2 million at December 31, 2015 and 2014, respectively, have been placed on non-accrual status as a result of their delinquency status.</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71" w:name="page72"/>
    <w:bookmarkEnd w:id="71"/>
    <w:p>
      <w:pPr>
        <w:jc w:val="center"/>
        <w:ind w:right="-9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years ended December 31, 2015, 2014 and 2013:</w:t>
      </w:r>
    </w:p>
    <w:p>
      <w:pPr>
        <w:sectPr>
          <w:pgSz w:w="11900" w:h="16838" w:orient="portrait"/>
          <w:cols w:equalWidth="0" w:num="1">
            <w:col w:w="11320"/>
          </w:cols>
          <w:pgMar w:left="240" w:top="9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Balance at beginning of year</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Provision for credit losses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Charge-offs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Recoveries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right"/>
              <w:ind w:right="380"/>
              <w:spacing w:after="0" w:line="195" w:lineRule="exact"/>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61,460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39,626</w:t>
            </w:r>
          </w:p>
        </w:tc>
        <w:tc>
          <w:tcPr>
            <w:tcW w:w="320" w:type="dxa"/>
            <w:vAlign w:val="bottom"/>
          </w:tcPr>
          <w:p>
            <w:pPr>
              <w:spacing w:after="0"/>
              <w:rPr>
                <w:sz w:val="18"/>
                <w:szCs w:val="18"/>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142,618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108,228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76,869</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(156,553)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(109,914)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(69,455)</w:t>
            </w: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12,618</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-736600</wp:posOffset>
            </wp:positionV>
            <wp:extent cx="579755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-462280</wp:posOffset>
            </wp:positionV>
            <wp:extent cx="579755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-179705</wp:posOffset>
            </wp:positionV>
            <wp:extent cx="579755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000" w:space="720"/>
            <w:col w:w="5600"/>
          </w:cols>
          <w:pgMar w:left="240" w:top="905" w:right="339" w:bottom="1440" w:gutter="0" w:footer="0" w:header="0"/>
          <w:type w:val="continuous"/>
        </w:sectPr>
      </w:pPr>
    </w:p>
    <w:p>
      <w:pPr>
        <w:ind w:firstLine="130"/>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ectPr>
          <w:pgSz w:w="11900" w:h="16838" w:orient="portrait"/>
          <w:cols w:equalWidth="0" w:num="1">
            <w:col w:w="11320"/>
          </w:cols>
          <w:pgMar w:left="240" w:top="90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20" w:right="320"/>
        <w:spacing w:after="0" w:line="291" w:lineRule="auto"/>
        <w:rPr>
          <w:sz w:val="20"/>
          <w:szCs w:val="20"/>
          <w:color w:val="auto"/>
        </w:rPr>
      </w:pPr>
      <w:r>
        <w:rPr>
          <w:rFonts w:ascii="Arial" w:cs="Arial" w:eastAsia="Arial" w:hAnsi="Arial"/>
          <w:sz w:val="16"/>
          <w:szCs w:val="16"/>
          <w:color w:val="auto"/>
        </w:rPr>
        <w:t>Gross balance of repossessions in inventory Allowance for losses on repossessed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-273685</wp:posOffset>
            </wp:positionV>
            <wp:extent cx="506857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Furniture and Equipment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components of furniture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Computer and telephone equipment</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17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22466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620"/>
        <w:spacing w:after="0"/>
        <w:tabs>
          <w:tab w:leader="none" w:pos="25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7" w:lineRule="exact"/>
        <w:rPr>
          <w:sz w:val="20"/>
          <w:szCs w:val="20"/>
          <w:color w:val="auto"/>
        </w:rPr>
      </w:pPr>
    </w:p>
    <w:p>
      <w:pPr>
        <w:jc w:val="center"/>
        <w:ind w:right="17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22466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 w:lineRule="exact"/>
        <w:rPr>
          <w:sz w:val="20"/>
          <w:szCs w:val="20"/>
          <w:color w:val="auto"/>
        </w:rPr>
      </w:pPr>
    </w:p>
    <w:p>
      <w:pPr>
        <w:spacing w:after="0"/>
        <w:tabs>
          <w:tab w:leader="none" w:pos="1080" w:val="left"/>
          <w:tab w:leader="none" w:pos="1880" w:val="left"/>
          <w:tab w:leader="none" w:pos="3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39,728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28,234</w:t>
      </w:r>
    </w:p>
    <w:p>
      <w:pPr>
        <w:spacing w:after="0" w:line="9" w:lineRule="exact"/>
        <w:rPr>
          <w:sz w:val="20"/>
          <w:szCs w:val="20"/>
          <w:color w:val="auto"/>
        </w:rPr>
      </w:pPr>
    </w:p>
    <w:p>
      <w:pPr>
        <w:jc w:val="right"/>
        <w:ind w:right="1660"/>
        <w:spacing w:after="0"/>
        <w:tabs>
          <w:tab w:leader="none" w:pos="600" w:val="left"/>
        </w:tabs>
        <w:rPr>
          <w:sz w:val="20"/>
          <w:szCs w:val="20"/>
          <w:color w:val="auto"/>
        </w:rPr>
      </w:pPr>
      <w:r>
        <w:rPr>
          <w:rFonts w:ascii="Arial" w:cs="Arial" w:eastAsia="Arial" w:hAnsi="Arial"/>
          <w:sz w:val="18"/>
          <w:szCs w:val="18"/>
          <w:color w:val="auto"/>
        </w:rPr>
        <w:t>(26,954)</w:t>
      </w:r>
      <w:r>
        <w:rPr>
          <w:sz w:val="20"/>
          <w:szCs w:val="20"/>
          <w:color w:val="auto"/>
        </w:rPr>
        <w:tab/>
      </w:r>
      <w:r>
        <w:rPr>
          <w:rFonts w:ascii="Arial" w:cs="Arial" w:eastAsia="Arial" w:hAnsi="Arial"/>
          <w:sz w:val="16"/>
          <w:szCs w:val="16"/>
          <w:color w:val="auto"/>
        </w:rPr>
        <w:t>(17,829)</w:t>
      </w:r>
    </w:p>
    <w:p>
      <w:pPr>
        <w:spacing w:after="0" w:line="35" w:lineRule="exact"/>
        <w:rPr>
          <w:sz w:val="20"/>
          <w:szCs w:val="20"/>
          <w:color w:val="auto"/>
        </w:rPr>
      </w:pPr>
    </w:p>
    <w:p>
      <w:pPr>
        <w:spacing w:after="0"/>
        <w:tabs>
          <w:tab w:leader="none" w:pos="1080" w:val="left"/>
          <w:tab w:leader="none" w:pos="1880" w:val="left"/>
          <w:tab w:leader="none" w:pos="3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12,774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22466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7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r>
      <w:tr>
        <w:trPr>
          <w:trHeight w:val="195"/>
        </w:trPr>
        <w:tc>
          <w:tcPr>
            <w:tcW w:w="360" w:type="dxa"/>
            <w:vAlign w:val="bottom"/>
          </w:tcPr>
          <w:p>
            <w:pPr>
              <w:spacing w:after="0"/>
              <w:rPr>
                <w:sz w:val="16"/>
                <w:szCs w:val="16"/>
                <w:color w:val="auto"/>
              </w:rPr>
            </w:pPr>
          </w:p>
        </w:tc>
        <w:tc>
          <w:tcPr>
            <w:tcW w:w="2080" w:type="dxa"/>
            <w:vAlign w:val="bottom"/>
            <w:gridSpan w:val="2"/>
          </w:tcPr>
          <w:p>
            <w:pPr>
              <w:jc w:val="right"/>
              <w:ind w:right="30"/>
              <w:spacing w:after="0" w:line="195" w:lineRule="exact"/>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6"/>
                <w:szCs w:val="16"/>
                <w:color w:val="auto"/>
              </w:rPr>
            </w:pPr>
          </w:p>
        </w:tc>
      </w:t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1,517</w:t>
            </w: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1,396</w:t>
            </w:r>
          </w:p>
        </w:tc>
      </w:tr>
      <w:tr>
        <w:trPr>
          <w:trHeight w:val="230"/>
        </w:trPr>
        <w:tc>
          <w:tcPr>
            <w:tcW w:w="36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5,249</w:t>
            </w:r>
          </w:p>
        </w:tc>
        <w:tc>
          <w:tcPr>
            <w:tcW w:w="7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4,424</w:t>
            </w:r>
          </w:p>
        </w:tc>
      </w:tr>
      <w:tr>
        <w:trPr>
          <w:trHeight w:val="230"/>
        </w:trPr>
        <w:tc>
          <w:tcPr>
            <w:tcW w:w="36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1,116</w:t>
            </w:r>
          </w:p>
        </w:tc>
        <w:tc>
          <w:tcPr>
            <w:tcW w:w="7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w:t>
            </w:r>
          </w:p>
        </w:tc>
      </w:tr>
    </w:tbl>
    <w:p>
      <w:pPr>
        <w:spacing w:after="0" w:line="1" w:lineRule="exact"/>
        <w:rPr>
          <w:sz w:val="20"/>
          <w:szCs w:val="20"/>
          <w:color w:val="auto"/>
        </w:rPr>
      </w:pPr>
    </w:p>
    <w:p>
      <w:pPr>
        <w:sectPr>
          <w:pgSz w:w="11900" w:h="16838" w:orient="portrait"/>
          <w:cols w:equalWidth="0" w:num="2">
            <w:col w:w="5400" w:space="660"/>
            <w:col w:w="5260"/>
          </w:cols>
          <w:pgMar w:left="240" w:top="905" w:right="339" w:bottom="1440" w:gutter="0" w:footer="0" w:header="0"/>
          <w:type w:val="continuous"/>
        </w:sectPr>
      </w:pPr>
    </w:p>
    <w:tbl>
      <w:tblPr>
        <w:tblLayout w:type="fixed"/>
        <w:tblInd w:w="172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6,691</w:t>
            </w:r>
          </w:p>
        </w:tc>
        <w:tc>
          <w:tcPr>
            <w:tcW w:w="80" w:type="dxa"/>
            <w:vAlign w:val="bottom"/>
          </w:tcPr>
          <w:p>
            <w:pPr>
              <w:spacing w:after="0"/>
              <w:rPr>
                <w:sz w:val="18"/>
                <w:szCs w:val="18"/>
                <w:color w:val="auto"/>
              </w:rPr>
            </w:pPr>
          </w:p>
        </w:tc>
      </w:tr>
      <w:tr>
        <w:trPr>
          <w:trHeight w:val="230"/>
        </w:trPr>
        <w:tc>
          <w:tcPr>
            <w:tcW w:w="4940" w:type="dxa"/>
            <w:vAlign w:val="bottom"/>
            <w:gridSpan w:val="2"/>
            <w:shd w:val="clear" w:color="auto" w:fill="EEEEEE"/>
          </w:tcPr>
          <w:p>
            <w:pPr>
              <w:jc w:val="right"/>
              <w:ind w:right="1325"/>
              <w:spacing w:after="0"/>
              <w:rPr>
                <w:sz w:val="20"/>
                <w:szCs w:val="20"/>
                <w:color w:val="auto"/>
              </w:rPr>
            </w:pPr>
            <w:r>
              <w:rPr>
                <w:rFonts w:ascii="Arial" w:cs="Arial" w:eastAsia="Arial" w:hAnsi="Arial"/>
                <w:sz w:val="18"/>
                <w:szCs w:val="18"/>
                <w:color w:val="auto"/>
                <w:w w:val="89"/>
              </w:rPr>
              <w:t>Less: accumulated depreciation and amortization</w:t>
            </w: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(6,167)</w:t>
            </w:r>
          </w:p>
        </w:tc>
        <w:tc>
          <w:tcPr>
            <w:tcW w:w="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(5,530)</w:t>
            </w:r>
          </w:p>
        </w:tc>
      </w:tr>
      <w:tr>
        <w:trPr>
          <w:trHeight w:val="223"/>
        </w:trPr>
        <w:tc>
          <w:tcPr>
            <w:tcW w:w="4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Depreciation expense totaled $637,000, $428,000 and $437,000 for the years ended December 31, 2015, 2014 and 2013, respectively.</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5" w:right="3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Securitization Trust Debt</w:t>
      </w:r>
    </w:p>
    <w:p>
      <w:pPr>
        <w:spacing w:after="0" w:line="225" w:lineRule="exact"/>
        <w:rPr>
          <w:sz w:val="20"/>
          <w:szCs w:val="20"/>
          <w:color w:val="auto"/>
        </w:rPr>
      </w:pPr>
    </w:p>
    <w:p>
      <w:pPr>
        <w:ind w:right="160" w:firstLine="130"/>
        <w:spacing w:after="0" w:line="264"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Receivables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Rate at</w:t>
            </w:r>
          </w:p>
        </w:tc>
      </w:tr>
      <w:tr>
        <w:trPr>
          <w:trHeight w:val="216"/>
        </w:trPr>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Final Scheduled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Pledged at</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Principal at</w:t>
            </w:r>
          </w:p>
        </w:tc>
        <w:tc>
          <w:tcPr>
            <w:tcW w:w="16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Principal at</w:t>
            </w:r>
          </w:p>
        </w:tc>
        <w:tc>
          <w:tcPr>
            <w:tcW w:w="8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December</w:t>
            </w:r>
          </w:p>
        </w:tc>
      </w:tr>
      <w:tr>
        <w:trPr>
          <w:trHeight w:val="230"/>
        </w:trPr>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Payment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240" w:type="dxa"/>
            <w:vAlign w:val="bottom"/>
          </w:tcPr>
          <w:p>
            <w:pPr>
              <w:spacing w:after="0"/>
              <w:rPr>
                <w:sz w:val="19"/>
                <w:szCs w:val="19"/>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Initial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9"/>
                <w:szCs w:val="19"/>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31,</w:t>
            </w:r>
          </w:p>
        </w:tc>
        <w:tc>
          <w:tcPr>
            <w:tcW w:w="60" w:type="dxa"/>
            <w:vAlign w:val="bottom"/>
          </w:tcPr>
          <w:p>
            <w:pPr>
              <w:spacing w:after="0"/>
              <w:rPr>
                <w:sz w:val="19"/>
                <w:szCs w:val="19"/>
                <w:color w:val="auto"/>
              </w:rPr>
            </w:pPr>
          </w:p>
        </w:tc>
      </w:tr>
      <w:tr>
        <w:trPr>
          <w:trHeight w:val="234"/>
        </w:trPr>
        <w:tc>
          <w:tcPr>
            <w:tcW w:w="1700" w:type="dxa"/>
            <w:vAlign w:val="bottom"/>
            <w:gridSpan w:val="2"/>
          </w:tcPr>
          <w:p>
            <w:pPr>
              <w:ind w:left="480"/>
              <w:spacing w:after="0"/>
              <w:rPr>
                <w:sz w:val="20"/>
                <w:szCs w:val="20"/>
                <w:color w:val="auto"/>
              </w:rPr>
            </w:pPr>
            <w:r>
              <w:rPr>
                <w:rFonts w:ascii="Arial" w:cs="Arial" w:eastAsia="Arial" w:hAnsi="Arial"/>
                <w:sz w:val="18"/>
                <w:szCs w:val="18"/>
                <w:b w:val="1"/>
                <w:bCs w:val="1"/>
                <w:color w:val="auto"/>
              </w:rPr>
              <w:t>Series</w:t>
            </w:r>
          </w:p>
        </w:tc>
        <w:tc>
          <w:tcPr>
            <w:tcW w:w="16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Date (1)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2015 (2)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Principal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r>
      <w:tr>
        <w:trPr>
          <w:trHeight w:val="210"/>
        </w:trPr>
        <w:tc>
          <w:tcPr>
            <w:tcW w:w="1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380" w:type="dxa"/>
            <w:vAlign w:val="bottom"/>
            <w:tcBorders>
              <w:top w:val="single" w:sz="8" w:color="auto"/>
            </w:tcBorders>
            <w:gridSpan w:val="6"/>
          </w:tcPr>
          <w:p>
            <w:pPr>
              <w:ind w:left="58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2011-A</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April 2018</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100,364</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8,457</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2011-B</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2018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10,469</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109,936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10,023</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22,985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2011-C</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March 2019</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14,756</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119,400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14,785</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30,601</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4.91%</w:t>
            </w:r>
          </w:p>
        </w:tc>
      </w:tr>
      <w:tr>
        <w:trPr>
          <w:trHeight w:val="216"/>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2012-A</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June 2019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18,273</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16,795</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35,923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2012-B</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September 2019</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27,463</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141,500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26,758</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50,125</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3.07%</w:t>
            </w:r>
          </w:p>
        </w:tc>
      </w:tr>
      <w:tr>
        <w:trPr>
          <w:trHeight w:val="216"/>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2012-C</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2019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31,556</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147,000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30,653</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55,619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2012-D</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March 2020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38,886</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160,000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37,464</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67,833</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1.92%</w:t>
            </w:r>
          </w:p>
        </w:tc>
      </w:tr>
      <w:tr>
        <w:trPr>
          <w:trHeight w:val="216"/>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2013-A</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June 2020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58,082</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56,583</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97,775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2013-B</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September 2020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72,081</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205,000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70,332</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118,692</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2.36%</w:t>
            </w:r>
          </w:p>
        </w:tc>
      </w:tr>
      <w:tr>
        <w:trPr>
          <w:trHeight w:val="216"/>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2013-C</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2020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83,811</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205,000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82,851</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133,628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2013-D</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March 2021</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83,263</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183,000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82,337</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132,150</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2.99%</w:t>
            </w:r>
          </w:p>
        </w:tc>
      </w:tr>
      <w:tr>
        <w:trPr>
          <w:trHeight w:val="216"/>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2014-A</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June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93,776</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92,571</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143,456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2014-B</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September 2021</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121,772</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202,500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121,515</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177,601</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2.21%</w:t>
            </w:r>
          </w:p>
        </w:tc>
      </w:tr>
      <w:tr>
        <w:trPr>
          <w:trHeight w:val="216"/>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2014-C</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2021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184,739</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273,000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183,802</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256,151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2014-D</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March 2022</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200,611</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267,500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198,533</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267,500</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2.63%</w:t>
            </w:r>
          </w:p>
        </w:tc>
      </w:tr>
      <w:tr>
        <w:trPr>
          <w:trHeight w:val="216"/>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2015-A</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June 2022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203,819</w:t>
            </w:r>
          </w:p>
        </w:tc>
        <w:tc>
          <w:tcPr>
            <w:tcW w:w="2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245,000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201,527</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16"/>
        </w:trPr>
        <w:tc>
          <w:tcPr>
            <w:tcW w:w="17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CPS 2015-B</w:t>
            </w:r>
          </w:p>
        </w:tc>
        <w:tc>
          <w:tcPr>
            <w:tcW w:w="1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September 2022</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226,054</w:t>
            </w:r>
          </w:p>
        </w:tc>
        <w:tc>
          <w:tcPr>
            <w:tcW w:w="24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250,000</w:t>
            </w:r>
          </w:p>
        </w:tc>
        <w:tc>
          <w:tcPr>
            <w:tcW w:w="1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221,587</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2.57%</w:t>
            </w:r>
          </w:p>
        </w:tc>
      </w:tr>
      <w:tr>
        <w:trPr>
          <w:trHeight w:val="230"/>
        </w:trPr>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CPS 2015-C</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2022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287,685</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283,482</w:t>
            </w:r>
          </w:p>
        </w:tc>
        <w:tc>
          <w:tcPr>
            <w:tcW w:w="1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r>
      <w:tr>
        <w:trPr>
          <w:trHeight w:val="223"/>
        </w:trPr>
        <w:tc>
          <w:tcPr>
            <w:tcW w:w="140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5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1,757,096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3,429,200</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1,598,496</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76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EEEEEE"/>
              <w:bottom w:val="single" w:sz="8" w:color="EEEEEE"/>
            </w:tcBorders>
            <w:shd w:val="clear" w:color="auto" w:fill="EEEEEE"/>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8890</wp:posOffset>
            </wp:positionV>
            <wp:extent cx="44164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640" w:right="60" w:hanging="375"/>
        <w:spacing w:after="0" w:line="253" w:lineRule="auto"/>
        <w:tabs>
          <w:tab w:leader="none" w:pos="6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$669.2 million in 2016, $506.5 million in 2017, $315.4 million in 2018, $172.2 million in 2019, $64.3 million in 2020, and $4.0 million in 2021.</w:t>
      </w:r>
    </w:p>
    <w:p>
      <w:pPr>
        <w:spacing w:after="0" w:line="83" w:lineRule="exact"/>
        <w:rPr>
          <w:rFonts w:ascii="Arial" w:cs="Arial" w:eastAsia="Arial" w:hAnsi="Arial"/>
          <w:sz w:val="18"/>
          <w:szCs w:val="18"/>
          <w:i w:val="1"/>
          <w:iCs w:val="1"/>
          <w:color w:val="auto"/>
        </w:rPr>
      </w:pPr>
    </w:p>
    <w:p>
      <w:pPr>
        <w:ind w:left="640" w:hanging="375"/>
        <w:spacing w:after="0"/>
        <w:tabs>
          <w:tab w:leader="none" w:pos="64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Sheets.</w:t>
      </w:r>
    </w:p>
    <w:p>
      <w:pPr>
        <w:spacing w:after="0" w:line="333" w:lineRule="exact"/>
        <w:rPr>
          <w:sz w:val="20"/>
          <w:szCs w:val="20"/>
          <w:color w:val="auto"/>
        </w:rPr>
      </w:pPr>
    </w:p>
    <w:p>
      <w:pPr>
        <w:ind w:right="480" w:firstLine="130"/>
        <w:spacing w:after="0" w:line="308" w:lineRule="auto"/>
        <w:rPr>
          <w:sz w:val="20"/>
          <w:szCs w:val="20"/>
          <w:color w:val="auto"/>
        </w:rPr>
      </w:pPr>
      <w:r>
        <w:rPr>
          <w:rFonts w:ascii="Arial" w:cs="Arial" w:eastAsia="Arial" w:hAnsi="Arial"/>
          <w:sz w:val="17"/>
          <w:szCs w:val="17"/>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47" w:lineRule="exact"/>
        <w:rPr>
          <w:sz w:val="20"/>
          <w:szCs w:val="20"/>
          <w:color w:val="auto"/>
        </w:rPr>
      </w:pPr>
    </w:p>
    <w:p>
      <w:pPr>
        <w:ind w:right="120" w:firstLine="130"/>
        <w:spacing w:after="0" w:line="264"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2015.</w:t>
      </w:r>
    </w:p>
    <w:p>
      <w:pPr>
        <w:spacing w:after="0" w:line="181" w:lineRule="exact"/>
        <w:rPr>
          <w:sz w:val="20"/>
          <w:szCs w:val="20"/>
          <w:color w:val="auto"/>
        </w:rPr>
      </w:pPr>
    </w:p>
    <w:p>
      <w:pPr>
        <w:ind w:right="20" w:firstLine="130"/>
        <w:spacing w:after="0" w:line="255" w:lineRule="auto"/>
        <w:rPr>
          <w:sz w:val="20"/>
          <w:szCs w:val="20"/>
          <w:color w:val="auto"/>
        </w:rPr>
      </w:pPr>
      <w:r>
        <w:rPr>
          <w:rFonts w:ascii="Arial" w:cs="Arial" w:eastAsia="Arial" w:hAnsi="Arial"/>
          <w:sz w:val="18"/>
          <w:szCs w:val="18"/>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2015, restricted cash under the various agreements totaled approximately $106.1 million. Interest expense on the securitization trust debt is composed of the stated rate of interest plus amortization of additional costs of borrowing. Additional costs of borrowing include facility fees, insurance premiums, amortization of deferred financing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60" w:firstLine="130"/>
        <w:spacing w:after="0" w:line="297" w:lineRule="auto"/>
        <w:rPr>
          <w:sz w:val="20"/>
          <w:szCs w:val="20"/>
          <w:color w:val="auto"/>
        </w:rPr>
      </w:pPr>
      <w:r>
        <w:rPr>
          <w:rFonts w:ascii="Arial" w:cs="Arial" w:eastAsia="Arial" w:hAnsi="Arial"/>
          <w:sz w:val="16"/>
          <w:szCs w:val="16"/>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Debt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terms of our debt outstanding at December 31, 2015 and 2014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6"/>
          </w:tcPr>
          <w:p>
            <w:pPr>
              <w:ind w:left="40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gridSpan w:val="3"/>
            <w:vMerge w:val="restart"/>
          </w:tcPr>
          <w:p>
            <w:pPr>
              <w:ind w:left="820"/>
              <w:spacing w:after="0"/>
              <w:rPr>
                <w:sz w:val="20"/>
                <w:szCs w:val="20"/>
                <w:color w:val="auto"/>
              </w:rPr>
            </w:pPr>
            <w:r>
              <w:rPr>
                <w:rFonts w:ascii="Arial" w:cs="Arial" w:eastAsia="Arial" w:hAnsi="Arial"/>
                <w:sz w:val="18"/>
                <w:szCs w:val="18"/>
                <w:color w:val="auto"/>
              </w:rPr>
              <w:t>Description</w:t>
            </w:r>
          </w:p>
        </w:tc>
        <w:tc>
          <w:tcPr>
            <w:tcW w:w="3000" w:type="dxa"/>
            <w:vAlign w:val="bottom"/>
            <w:gridSpan w:val="3"/>
            <w:vMerge w:val="restart"/>
          </w:tcPr>
          <w:p>
            <w:pPr>
              <w:jc w:val="center"/>
              <w:ind w:left="110"/>
              <w:spacing w:after="0"/>
              <w:rPr>
                <w:sz w:val="20"/>
                <w:szCs w:val="20"/>
                <w:color w:val="auto"/>
              </w:rPr>
            </w:pPr>
            <w:r>
              <w:rPr>
                <w:rFonts w:ascii="Arial" w:cs="Arial" w:eastAsia="Arial" w:hAnsi="Arial"/>
                <w:sz w:val="18"/>
                <w:szCs w:val="18"/>
                <w:color w:val="auto"/>
                <w:w w:val="89"/>
              </w:rPr>
              <w:t>Interest Rate</w:t>
            </w:r>
          </w:p>
        </w:tc>
        <w:tc>
          <w:tcPr>
            <w:tcW w:w="2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96"/>
              </w:rPr>
              <w:t>Maturity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40" w:type="dxa"/>
            <w:vAlign w:val="bottom"/>
            <w:gridSpan w:val="3"/>
            <w:vMerge w:val="continue"/>
          </w:tcPr>
          <w:p>
            <w:pPr>
              <w:spacing w:after="0"/>
              <w:rPr>
                <w:sz w:val="13"/>
                <w:szCs w:val="13"/>
                <w:color w:val="auto"/>
              </w:rPr>
            </w:pPr>
          </w:p>
        </w:tc>
        <w:tc>
          <w:tcPr>
            <w:tcW w:w="3000" w:type="dxa"/>
            <w:vAlign w:val="bottom"/>
            <w:gridSpan w:val="3"/>
            <w:vMerge w:val="continue"/>
          </w:tcPr>
          <w:p>
            <w:pPr>
              <w:spacing w:after="0"/>
              <w:rPr>
                <w:sz w:val="13"/>
                <w:szCs w:val="13"/>
                <w:color w:val="auto"/>
              </w:rPr>
            </w:pPr>
          </w:p>
        </w:tc>
        <w:tc>
          <w:tcPr>
            <w:tcW w:w="288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000" w:type="dxa"/>
            <w:vAlign w:val="bottom"/>
            <w:gridSpan w:val="3"/>
            <w:shd w:val="clear" w:color="auto" w:fill="EEEEEE"/>
          </w:tcPr>
          <w:p>
            <w:pPr>
              <w:jc w:val="center"/>
              <w:ind w:left="110"/>
              <w:spacing w:after="0" w:line="201" w:lineRule="exact"/>
              <w:rPr>
                <w:sz w:val="20"/>
                <w:szCs w:val="20"/>
                <w:color w:val="auto"/>
              </w:rPr>
            </w:pPr>
            <w:r>
              <w:rPr>
                <w:rFonts w:ascii="Arial" w:cs="Arial" w:eastAsia="Arial" w:hAnsi="Arial"/>
                <w:sz w:val="18"/>
                <w:szCs w:val="18"/>
                <w:color w:val="auto"/>
                <w:w w:val="91"/>
              </w:rPr>
              <w:t>5.50% over one month Libor</w:t>
            </w:r>
          </w:p>
        </w:tc>
        <w:tc>
          <w:tcPr>
            <w:tcW w:w="11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00" w:type="dxa"/>
            <w:vAlign w:val="bottom"/>
            <w:gridSpan w:val="3"/>
            <w:shd w:val="clear" w:color="auto" w:fill="EEEEEE"/>
          </w:tcPr>
          <w:p>
            <w:pPr>
              <w:jc w:val="center"/>
              <w:ind w:left="130"/>
              <w:spacing w:after="0"/>
              <w:rPr>
                <w:sz w:val="20"/>
                <w:szCs w:val="20"/>
                <w:color w:val="auto"/>
              </w:rPr>
            </w:pPr>
            <w:r>
              <w:rPr>
                <w:rFonts w:ascii="Arial" w:cs="Arial" w:eastAsia="Arial" w:hAnsi="Arial"/>
                <w:sz w:val="18"/>
                <w:szCs w:val="18"/>
                <w:color w:val="auto"/>
                <w:w w:val="94"/>
              </w:rPr>
              <w:t>(Minimum 6.50%)</w:t>
            </w: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6"/>
              </w:rPr>
              <w:t>April 2019</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91,504</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000" w:type="dxa"/>
            <w:vAlign w:val="bottom"/>
            <w:gridSpan w:val="3"/>
            <w:shd w:val="clear" w:color="auto" w:fill="EEEEEE"/>
          </w:tcPr>
          <w:p>
            <w:pPr>
              <w:jc w:val="center"/>
              <w:ind w:left="110"/>
              <w:spacing w:after="0" w:line="201" w:lineRule="exact"/>
              <w:rPr>
                <w:sz w:val="20"/>
                <w:szCs w:val="20"/>
                <w:color w:val="auto"/>
              </w:rPr>
            </w:pPr>
            <w:r>
              <w:rPr>
                <w:rFonts w:ascii="Arial" w:cs="Arial" w:eastAsia="Arial" w:hAnsi="Arial"/>
                <w:sz w:val="18"/>
                <w:szCs w:val="18"/>
                <w:color w:val="auto"/>
                <w:w w:val="91"/>
              </w:rPr>
              <w:t>5.50% over one month Libor</w:t>
            </w:r>
          </w:p>
        </w:tc>
        <w:tc>
          <w:tcPr>
            <w:tcW w:w="11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3000" w:type="dxa"/>
            <w:vAlign w:val="bottom"/>
            <w:gridSpan w:val="3"/>
            <w:shd w:val="clear" w:color="auto" w:fill="EEEEEE"/>
          </w:tcPr>
          <w:p>
            <w:pPr>
              <w:jc w:val="center"/>
              <w:ind w:left="130"/>
              <w:spacing w:after="0"/>
              <w:rPr>
                <w:sz w:val="20"/>
                <w:szCs w:val="20"/>
                <w:color w:val="auto"/>
              </w:rPr>
            </w:pPr>
            <w:r>
              <w:rPr>
                <w:rFonts w:ascii="Arial" w:cs="Arial" w:eastAsia="Arial" w:hAnsi="Arial"/>
                <w:sz w:val="18"/>
                <w:szCs w:val="18"/>
                <w:color w:val="auto"/>
                <w:w w:val="94"/>
              </w:rPr>
              <w:t>(Minimum 6.25%)</w:t>
            </w: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2"/>
              </w:rPr>
              <w:t>August 2017</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73,940</w:t>
            </w: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3000" w:type="dxa"/>
            <w:vAlign w:val="bottom"/>
            <w:gridSpan w:val="3"/>
            <w:shd w:val="clear" w:color="auto" w:fill="EEEEEE"/>
          </w:tcPr>
          <w:p>
            <w:pPr>
              <w:jc w:val="center"/>
              <w:ind w:left="110"/>
              <w:spacing w:after="0" w:line="201" w:lineRule="exact"/>
              <w:rPr>
                <w:sz w:val="20"/>
                <w:szCs w:val="20"/>
                <w:color w:val="auto"/>
              </w:rPr>
            </w:pPr>
            <w:r>
              <w:rPr>
                <w:rFonts w:ascii="Arial" w:cs="Arial" w:eastAsia="Arial" w:hAnsi="Arial"/>
                <w:sz w:val="18"/>
                <w:szCs w:val="18"/>
                <w:color w:val="auto"/>
                <w:w w:val="91"/>
              </w:rPr>
              <w:t>6.75% over one month Libor</w:t>
            </w:r>
          </w:p>
        </w:tc>
        <w:tc>
          <w:tcPr>
            <w:tcW w:w="11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3000" w:type="dxa"/>
            <w:vAlign w:val="bottom"/>
            <w:gridSpan w:val="3"/>
            <w:shd w:val="clear" w:color="auto" w:fill="EEEEEE"/>
          </w:tcPr>
          <w:p>
            <w:pPr>
              <w:jc w:val="center"/>
              <w:ind w:left="130"/>
              <w:spacing w:after="0"/>
              <w:rPr>
                <w:sz w:val="20"/>
                <w:szCs w:val="20"/>
                <w:color w:val="auto"/>
              </w:rPr>
            </w:pPr>
            <w:r>
              <w:rPr>
                <w:rFonts w:ascii="Arial" w:cs="Arial" w:eastAsia="Arial" w:hAnsi="Arial"/>
                <w:sz w:val="18"/>
                <w:szCs w:val="18"/>
                <w:color w:val="auto"/>
                <w:w w:val="94"/>
              </w:rPr>
              <w:t>(Minimum 7.75%)</w:t>
            </w: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2"/>
              </w:rPr>
              <w:t>November 2019</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31,017</w:t>
            </w: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3000" w:type="dxa"/>
            <w:vAlign w:val="bottom"/>
            <w:gridSpan w:val="3"/>
            <w:shd w:val="clear" w:color="auto" w:fill="EEEEEE"/>
          </w:tcPr>
          <w:p>
            <w:pPr>
              <w:jc w:val="center"/>
              <w:ind w:left="130"/>
              <w:spacing w:after="0"/>
              <w:rPr>
                <w:sz w:val="20"/>
                <w:szCs w:val="20"/>
                <w:color w:val="auto"/>
              </w:rPr>
            </w:pPr>
            <w:r>
              <w:rPr>
                <w:rFonts w:ascii="Arial" w:cs="Arial" w:eastAsia="Arial" w:hAnsi="Arial"/>
                <w:sz w:val="18"/>
                <w:szCs w:val="18"/>
                <w:color w:val="auto"/>
                <w:w w:val="92"/>
              </w:rPr>
              <w:t>11.75% over one month Libor</w:t>
            </w: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6"/>
              </w:rPr>
              <w:t>April 2018</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9,042</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88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88"/>
              </w:rPr>
              <w:t>Repayment is based on payments</w:t>
            </w: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4"/>
              </w:rPr>
              <w:t>from underlying receivables. Final</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9"/>
              </w:rPr>
              <w:t>payment of the 8.00% loan was</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9"/>
              </w:rPr>
              <w:t>made in September 2013. Final</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Debt secured by receivables</w:t>
            </w:r>
          </w:p>
        </w:tc>
        <w:tc>
          <w:tcPr>
            <w:tcW w:w="11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9"/>
              </w:rPr>
              <w:t>residual payment was made in</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1140" w:type="dxa"/>
            <w:vAlign w:val="bottom"/>
            <w:shd w:val="clear" w:color="auto" w:fill="EEEEEE"/>
          </w:tcPr>
          <w:p>
            <w:pPr>
              <w:spacing w:after="0"/>
              <w:rPr>
                <w:sz w:val="20"/>
                <w:szCs w:val="20"/>
                <w:color w:val="auto"/>
              </w:rPr>
            </w:pPr>
          </w:p>
        </w:tc>
        <w:tc>
          <w:tcPr>
            <w:tcW w:w="1860" w:type="dxa"/>
            <w:vAlign w:val="bottom"/>
            <w:gridSpan w:val="2"/>
            <w:shd w:val="clear" w:color="auto" w:fill="EEEEEE"/>
          </w:tcPr>
          <w:p>
            <w:pPr>
              <w:jc w:val="center"/>
              <w:ind w:right="920"/>
              <w:spacing w:after="0"/>
              <w:rPr>
                <w:sz w:val="20"/>
                <w:szCs w:val="20"/>
                <w:color w:val="auto"/>
              </w:rPr>
            </w:pPr>
            <w:r>
              <w:rPr>
                <w:rFonts w:ascii="Arial" w:cs="Arial" w:eastAsia="Arial" w:hAnsi="Arial"/>
                <w:sz w:val="18"/>
                <w:szCs w:val="18"/>
                <w:color w:val="auto"/>
                <w:w w:val="87"/>
              </w:rPr>
              <w:t>n/a</w:t>
            </w: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9"/>
              </w:rPr>
              <w:t>January 2015.</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880" w:type="dxa"/>
            <w:vAlign w:val="bottom"/>
            <w:gridSpan w:val="3"/>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Weighted average maturity of</w:t>
            </w: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000" w:type="dxa"/>
            <w:vAlign w:val="bottom"/>
            <w:gridSpan w:val="3"/>
            <w:shd w:val="clear" w:color="auto" w:fill="EEEEEE"/>
          </w:tcPr>
          <w:p>
            <w:pPr>
              <w:jc w:val="center"/>
              <w:ind w:left="130"/>
              <w:spacing w:after="0"/>
              <w:rPr>
                <w:sz w:val="20"/>
                <w:szCs w:val="20"/>
                <w:color w:val="auto"/>
              </w:rPr>
            </w:pPr>
            <w:r>
              <w:rPr>
                <w:rFonts w:ascii="Arial" w:cs="Arial" w:eastAsia="Arial" w:hAnsi="Arial"/>
                <w:sz w:val="18"/>
                <w:szCs w:val="18"/>
                <w:color w:val="auto"/>
                <w:w w:val="89"/>
              </w:rPr>
              <w:t>Weighted average rate of 9.04% and</w:t>
            </w: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9"/>
              </w:rPr>
              <w:t>October 2017 and October 2016 at</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3000" w:type="dxa"/>
            <w:vAlign w:val="bottom"/>
            <w:gridSpan w:val="3"/>
            <w:shd w:val="clear" w:color="auto" w:fill="EEEEEE"/>
          </w:tcPr>
          <w:p>
            <w:pPr>
              <w:jc w:val="center"/>
              <w:ind w:left="110"/>
              <w:spacing w:after="0"/>
              <w:rPr>
                <w:sz w:val="20"/>
                <w:szCs w:val="20"/>
                <w:color w:val="auto"/>
              </w:rPr>
            </w:pPr>
            <w:r>
              <w:rPr>
                <w:rFonts w:ascii="Arial" w:cs="Arial" w:eastAsia="Arial" w:hAnsi="Arial"/>
                <w:sz w:val="18"/>
                <w:szCs w:val="18"/>
                <w:color w:val="auto"/>
                <w:w w:val="89"/>
              </w:rPr>
              <w:t>10.7% at December 31, 2015 and</w:t>
            </w: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89"/>
              </w:rPr>
              <w:t>December 31, 2015 and 2014,</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9"/>
              </w:rPr>
              <w:t>Subordinated renewable notes</w:t>
            </w:r>
          </w:p>
        </w:tc>
        <w:tc>
          <w:tcPr>
            <w:tcW w:w="3000" w:type="dxa"/>
            <w:vAlign w:val="bottom"/>
            <w:gridSpan w:val="3"/>
            <w:shd w:val="clear" w:color="auto" w:fill="EEEEEE"/>
          </w:tcPr>
          <w:p>
            <w:pPr>
              <w:jc w:val="center"/>
              <w:ind w:left="110"/>
              <w:spacing w:after="0"/>
              <w:rPr>
                <w:sz w:val="20"/>
                <w:szCs w:val="20"/>
                <w:color w:val="auto"/>
              </w:rPr>
            </w:pPr>
            <w:r>
              <w:rPr>
                <w:rFonts w:ascii="Arial" w:cs="Arial" w:eastAsia="Arial" w:hAnsi="Arial"/>
                <w:sz w:val="18"/>
                <w:szCs w:val="18"/>
                <w:color w:val="auto"/>
                <w:w w:val="90"/>
              </w:rPr>
              <w:t>2014, respectively</w:t>
            </w:r>
          </w:p>
        </w:tc>
        <w:tc>
          <w:tcPr>
            <w:tcW w:w="2880" w:type="dxa"/>
            <w:vAlign w:val="bottom"/>
            <w:gridSpan w:val="3"/>
            <w:shd w:val="clear" w:color="auto" w:fill="EEEEEE"/>
          </w:tcPr>
          <w:p>
            <w:pPr>
              <w:jc w:val="center"/>
              <w:spacing w:after="0"/>
              <w:rPr>
                <w:sz w:val="20"/>
                <w:szCs w:val="20"/>
                <w:color w:val="auto"/>
              </w:rPr>
            </w:pPr>
            <w:r>
              <w:rPr>
                <w:rFonts w:ascii="Arial" w:cs="Arial" w:eastAsia="Arial" w:hAnsi="Arial"/>
                <w:sz w:val="18"/>
                <w:szCs w:val="18"/>
                <w:color w:val="auto"/>
                <w:w w:val="90"/>
              </w:rPr>
              <w:t>respectively</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15,138</w:t>
            </w:r>
          </w:p>
        </w:tc>
        <w:tc>
          <w:tcPr>
            <w:tcW w:w="1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tcBorders>
              <w:bottom w:val="single" w:sz="8" w:color="EEEEEE"/>
            </w:tcBorders>
          </w:tcPr>
          <w:p>
            <w:pPr>
              <w:spacing w:after="0"/>
              <w:rPr>
                <w:sz w:val="19"/>
                <w:szCs w:val="19"/>
                <w:color w:val="auto"/>
              </w:rPr>
            </w:pPr>
          </w:p>
        </w:tc>
        <w:tc>
          <w:tcPr>
            <w:tcW w:w="840" w:type="dxa"/>
            <w:vAlign w:val="bottom"/>
            <w:tcBorders>
              <w:bottom w:val="single" w:sz="8" w:color="EEEEEE"/>
            </w:tcBorders>
          </w:tcPr>
          <w:p>
            <w:pPr>
              <w:spacing w:after="0"/>
              <w:rPr>
                <w:sz w:val="19"/>
                <w:szCs w:val="19"/>
                <w:color w:val="auto"/>
              </w:rPr>
            </w:pPr>
          </w:p>
        </w:tc>
        <w:tc>
          <w:tcPr>
            <w:tcW w:w="780" w:type="dxa"/>
            <w:vAlign w:val="bottom"/>
            <w:tcBorders>
              <w:bottom w:val="single" w:sz="8" w:color="EEEEEE"/>
            </w:tcBorders>
          </w:tcPr>
          <w:p>
            <w:pPr>
              <w:spacing w:after="0"/>
              <w:rPr>
                <w:sz w:val="19"/>
                <w:szCs w:val="19"/>
                <w:color w:val="auto"/>
              </w:rPr>
            </w:pPr>
          </w:p>
        </w:tc>
        <w:tc>
          <w:tcPr>
            <w:tcW w:w="1140" w:type="dxa"/>
            <w:vAlign w:val="bottom"/>
            <w:tcBorders>
              <w:bottom w:val="single" w:sz="8" w:color="EEEEEE"/>
            </w:tcBorders>
          </w:tcPr>
          <w:p>
            <w:pPr>
              <w:spacing w:after="0"/>
              <w:rPr>
                <w:sz w:val="19"/>
                <w:szCs w:val="19"/>
                <w:color w:val="auto"/>
              </w:rPr>
            </w:pPr>
          </w:p>
        </w:tc>
        <w:tc>
          <w:tcPr>
            <w:tcW w:w="920" w:type="dxa"/>
            <w:vAlign w:val="bottom"/>
            <w:tcBorders>
              <w:bottom w:val="single" w:sz="8" w:color="EEEEEE"/>
            </w:tcBorders>
          </w:tcPr>
          <w:p>
            <w:pPr>
              <w:spacing w:after="0"/>
              <w:rPr>
                <w:sz w:val="19"/>
                <w:szCs w:val="19"/>
                <w:color w:val="auto"/>
              </w:rPr>
            </w:pPr>
          </w:p>
        </w:tc>
        <w:tc>
          <w:tcPr>
            <w:tcW w:w="940" w:type="dxa"/>
            <w:vAlign w:val="bottom"/>
            <w:tcBorders>
              <w:bottom w:val="single" w:sz="8" w:color="EEEEEE"/>
            </w:tcBorders>
          </w:tcPr>
          <w:p>
            <w:pPr>
              <w:spacing w:after="0"/>
              <w:rPr>
                <w:sz w:val="19"/>
                <w:szCs w:val="19"/>
                <w:color w:val="auto"/>
              </w:rPr>
            </w:pPr>
          </w:p>
        </w:tc>
        <w:tc>
          <w:tcPr>
            <w:tcW w:w="1160" w:type="dxa"/>
            <w:vAlign w:val="bottom"/>
            <w:tcBorders>
              <w:bottom w:val="single" w:sz="8" w:color="EEEEEE"/>
            </w:tcBorders>
          </w:tcPr>
          <w:p>
            <w:pPr>
              <w:spacing w:after="0"/>
              <w:rPr>
                <w:sz w:val="19"/>
                <w:szCs w:val="19"/>
                <w:color w:val="auto"/>
              </w:rPr>
            </w:pPr>
          </w:p>
        </w:tc>
        <w:tc>
          <w:tcPr>
            <w:tcW w:w="620" w:type="dxa"/>
            <w:vAlign w:val="bottom"/>
            <w:tcBorders>
              <w:bottom w:val="single" w:sz="8" w:color="EEEEEE"/>
            </w:tcBorders>
          </w:tcPr>
          <w:p>
            <w:pPr>
              <w:spacing w:after="0"/>
              <w:rPr>
                <w:sz w:val="19"/>
                <w:szCs w:val="19"/>
                <w:color w:val="auto"/>
              </w:rPr>
            </w:pPr>
          </w:p>
        </w:tc>
        <w:tc>
          <w:tcPr>
            <w:tcW w:w="11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Borders>
              <w:bottom w:val="single" w:sz="8" w:color="EEEEEE"/>
            </w:tcBorders>
            <w:shd w:val="clear" w:color="auto" w:fill="EEEEEE"/>
          </w:tcPr>
          <w:p>
            <w:pPr>
              <w:spacing w:after="0"/>
              <w:rPr>
                <w:sz w:val="19"/>
                <w:szCs w:val="19"/>
                <w:color w:val="auto"/>
              </w:rPr>
            </w:pPr>
          </w:p>
        </w:tc>
        <w:tc>
          <w:tcPr>
            <w:tcW w:w="840" w:type="dxa"/>
            <w:vAlign w:val="bottom"/>
            <w:tcBorders>
              <w:bottom w:val="single" w:sz="8" w:color="EEEEEE"/>
            </w:tcBorders>
            <w:shd w:val="clear" w:color="auto" w:fill="EEEEEE"/>
          </w:tcPr>
          <w:p>
            <w:pPr>
              <w:spacing w:after="0"/>
              <w:rPr>
                <w:sz w:val="19"/>
                <w:szCs w:val="19"/>
                <w:color w:val="auto"/>
              </w:rPr>
            </w:pPr>
          </w:p>
        </w:tc>
        <w:tc>
          <w:tcPr>
            <w:tcW w:w="78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920" w:type="dxa"/>
            <w:vAlign w:val="bottom"/>
            <w:tcBorders>
              <w:bottom w:val="single" w:sz="8" w:color="EEEEEE"/>
            </w:tcBorders>
            <w:shd w:val="clear" w:color="auto" w:fill="EEEEEE"/>
          </w:tcPr>
          <w:p>
            <w:pPr>
              <w:spacing w:after="0"/>
              <w:rPr>
                <w:sz w:val="19"/>
                <w:szCs w:val="19"/>
                <w:color w:val="auto"/>
              </w:rPr>
            </w:pPr>
          </w:p>
        </w:tc>
        <w:tc>
          <w:tcPr>
            <w:tcW w:w="940" w:type="dxa"/>
            <w:vAlign w:val="bottom"/>
            <w:tcBorders>
              <w:bottom w:val="single" w:sz="8" w:color="EEEEEE"/>
            </w:tcBorders>
            <w:shd w:val="clear" w:color="auto" w:fill="EEEEEE"/>
          </w:tcPr>
          <w:p>
            <w:pPr>
              <w:spacing w:after="0"/>
              <w:rPr>
                <w:sz w:val="19"/>
                <w:szCs w:val="19"/>
                <w:color w:val="auto"/>
              </w:rPr>
            </w:pPr>
          </w:p>
        </w:tc>
        <w:tc>
          <w:tcPr>
            <w:tcW w:w="1160" w:type="dxa"/>
            <w:vAlign w:val="bottom"/>
            <w:tcBorders>
              <w:bottom w:val="single" w:sz="8" w:color="EEEEEE"/>
            </w:tcBorders>
            <w:shd w:val="clear" w:color="auto" w:fill="EEEEEE"/>
          </w:tcPr>
          <w:p>
            <w:pPr>
              <w:spacing w:after="0"/>
              <w:rPr>
                <w:sz w:val="19"/>
                <w:szCs w:val="19"/>
                <w:color w:val="auto"/>
              </w:rPr>
            </w:pPr>
          </w:p>
        </w:tc>
        <w:tc>
          <w:tcPr>
            <w:tcW w:w="620" w:type="dxa"/>
            <w:vAlign w:val="bottom"/>
            <w:tcBorders>
              <w:bottom w:val="single" w:sz="8" w:color="EEEEEE"/>
            </w:tcBorders>
            <w:shd w:val="clear" w:color="auto" w:fill="EEEEEE"/>
          </w:tcPr>
          <w:p>
            <w:pPr>
              <w:spacing w:after="0"/>
              <w:rPr>
                <w:sz w:val="19"/>
                <w:szCs w:val="19"/>
                <w:color w:val="auto"/>
              </w:rPr>
            </w:pPr>
          </w:p>
        </w:tc>
        <w:tc>
          <w:tcPr>
            <w:tcW w:w="11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220,641</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85,649</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80" w:type="dxa"/>
            <w:vAlign w:val="bottom"/>
            <w:gridSpan w:val="3"/>
            <w:vMerge w:val="restart"/>
          </w:tcPr>
          <w:p>
            <w:pPr>
              <w:ind w:left="100"/>
              <w:spacing w:after="0"/>
              <w:rPr>
                <w:sz w:val="20"/>
                <w:szCs w:val="20"/>
                <w:color w:val="auto"/>
              </w:rPr>
            </w:pPr>
            <w:r>
              <w:rPr>
                <w:rFonts w:ascii="Arial" w:cs="Arial" w:eastAsia="Arial" w:hAnsi="Arial"/>
                <w:sz w:val="18"/>
                <w:szCs w:val="18"/>
                <w:color w:val="auto"/>
              </w:rPr>
              <w:t>F-19</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firstLine="130"/>
        <w:spacing w:after="0" w:line="255" w:lineRule="auto"/>
        <w:rPr>
          <w:sz w:val="20"/>
          <w:szCs w:val="20"/>
          <w:color w:val="auto"/>
        </w:rPr>
      </w:pPr>
      <w:r>
        <w:rPr>
          <w:rFonts w:ascii="Arial" w:cs="Arial" w:eastAsia="Arial" w:hAnsi="Arial"/>
          <w:sz w:val="18"/>
          <w:szCs w:val="18"/>
          <w:color w:val="auto"/>
        </w:rPr>
        <w:t>In April 2015 we entered into a $100 million warehouse credit line with affiliates of Fortress Investment Group. The facility is structured to allow us to fund a portion of the purchase price of automobile contracts by borrowing from a credit facility to our consolidated subsidiary Page Six Funding LLC. The facility, which replaces a revolving credit facility that we had used since December 2010, provides for advances up to 88% of eligible finance receivables and the loans under it accrue interest at a rate of one-month LIBOR plus 5.50% per annum, with a minimum rate of 6.50% per annum. There was $91.5 million outstanding under this new facility at December 31, 2015 which has a revolving period through April 2017 and an amortization period through April 2019 for any receivables pledged to the facility at the end of the revolving period.</w:t>
      </w:r>
    </w:p>
    <w:p>
      <w:pPr>
        <w:spacing w:after="0" w:line="193" w:lineRule="exact"/>
        <w:rPr>
          <w:sz w:val="20"/>
          <w:szCs w:val="20"/>
          <w:color w:val="auto"/>
        </w:rPr>
      </w:pPr>
    </w:p>
    <w:p>
      <w:pPr>
        <w:ind w:firstLine="130"/>
        <w:spacing w:after="0" w:line="276" w:lineRule="auto"/>
        <w:rPr>
          <w:sz w:val="20"/>
          <w:szCs w:val="20"/>
          <w:color w:val="auto"/>
        </w:rPr>
      </w:pPr>
      <w:r>
        <w:rPr>
          <w:rFonts w:ascii="Arial" w:cs="Arial" w:eastAsia="Arial" w:hAnsi="Arial"/>
          <w:sz w:val="17"/>
          <w:szCs w:val="17"/>
          <w:color w:val="auto"/>
        </w:rPr>
        <w:t>In August 2014, we renewed our $100 million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88.0% of eligible finance receivables. The loans under the facility accrue interest at one-month LIBOR plus 5.50% per annum, with a minimum rate of 6.25% per annum. There was $73.9 million outstanding under this facility at December 31, 2015. This facility has a revolving period through August 2016 and an amortization period through August 2017 for any receivables pledged at the end of the revolving period.</w:t>
      </w:r>
    </w:p>
    <w:p>
      <w:pPr>
        <w:spacing w:after="0" w:line="173" w:lineRule="exact"/>
        <w:rPr>
          <w:sz w:val="20"/>
          <w:szCs w:val="20"/>
          <w:color w:val="auto"/>
        </w:rPr>
      </w:pPr>
    </w:p>
    <w:p>
      <w:pPr>
        <w:ind w:right="160" w:firstLine="130"/>
        <w:spacing w:after="0" w:line="255" w:lineRule="auto"/>
        <w:rPr>
          <w:sz w:val="20"/>
          <w:szCs w:val="20"/>
          <w:color w:val="auto"/>
        </w:rPr>
      </w:pPr>
      <w:r>
        <w:rPr>
          <w:rFonts w:ascii="Arial" w:cs="Arial" w:eastAsia="Arial" w:hAnsi="Arial"/>
          <w:sz w:val="18"/>
          <w:szCs w:val="18"/>
          <w:color w:val="auto"/>
        </w:rPr>
        <w:t>In November 2015, we entered into another $100 million warehouse credit line with Credit Suisse AG and Ares Agent Services, L.P. This facility is structured to allow us to fund a portion of the purchase price of automobile contracts by borrowing from a credit facility to our consolidated subsidiary Page Nine Funding LLC. The facility provides for advances up to 88% of eligible finance receivables and the loans under it accrue interest at a commercial paper rate plus 6.75% per annum, with a minimum rate of 7.75% per annum. There was $31.0 million outstanding under this new facility at December 31, 2015 which has a revolving period through November 2017 and an amortization period through November 2019 for any receivables pledged to the facility at the end of the revolving period.</w:t>
      </w:r>
    </w:p>
    <w:p>
      <w:pPr>
        <w:spacing w:after="0" w:line="193" w:lineRule="exact"/>
        <w:rPr>
          <w:sz w:val="20"/>
          <w:szCs w:val="20"/>
          <w:color w:val="auto"/>
        </w:rPr>
      </w:pPr>
    </w:p>
    <w:p>
      <w:pPr>
        <w:ind w:right="80" w:firstLine="130"/>
        <w:spacing w:after="0" w:line="277" w:lineRule="auto"/>
        <w:rPr>
          <w:sz w:val="20"/>
          <w:szCs w:val="20"/>
          <w:color w:val="auto"/>
        </w:rPr>
      </w:pPr>
      <w:r>
        <w:rPr>
          <w:rFonts w:ascii="Arial" w:cs="Arial" w:eastAsia="Arial" w:hAnsi="Arial"/>
          <w:sz w:val="18"/>
          <w:szCs w:val="18"/>
          <w:color w:val="auto"/>
        </w:rPr>
        <w:t>The total outstanding debt on our three warehouse lines of credit was $196.5 million as of December 31, 2015, compared to $56.8 million outstanding as of December 31, 2014.</w:t>
      </w:r>
    </w:p>
    <w:p>
      <w:pPr>
        <w:spacing w:after="0" w:line="170" w:lineRule="exact"/>
        <w:rPr>
          <w:sz w:val="20"/>
          <w:szCs w:val="20"/>
          <w:color w:val="auto"/>
        </w:rPr>
      </w:pPr>
    </w:p>
    <w:p>
      <w:pPr>
        <w:ind w:right="220" w:firstLine="130"/>
        <w:spacing w:after="0" w:line="277" w:lineRule="auto"/>
        <w:rPr>
          <w:sz w:val="20"/>
          <w:szCs w:val="20"/>
          <w:color w:val="auto"/>
        </w:rPr>
      </w:pPr>
      <w:r>
        <w:rPr>
          <w:rFonts w:ascii="Arial" w:cs="Arial" w:eastAsia="Arial" w:hAnsi="Arial"/>
          <w:sz w:val="18"/>
          <w:szCs w:val="18"/>
          <w:color w:val="auto"/>
        </w:rPr>
        <w:t>The costs incurred in conjunction with the above debt are recorded as deferred financing costs on the accompanying Consolidated Balance Sheets and are more fully described in Note 1.</w:t>
      </w:r>
    </w:p>
    <w:p>
      <w:pPr>
        <w:spacing w:after="0" w:line="170" w:lineRule="exact"/>
        <w:rPr>
          <w:sz w:val="20"/>
          <w:szCs w:val="20"/>
          <w:color w:val="auto"/>
        </w:rPr>
      </w:pPr>
    </w:p>
    <w:p>
      <w:pPr>
        <w:ind w:right="220" w:firstLine="130"/>
        <w:spacing w:after="0" w:line="264"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summarizes the contractual and expected maturity amounts of long term debt as of December 31, 2015:</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Residual interest</w:t>
            </w:r>
          </w:p>
        </w:tc>
        <w:tc>
          <w:tcPr>
            <w:tcW w:w="14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Subordinated</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940" w:type="dxa"/>
            <w:vAlign w:val="bottom"/>
            <w:gridSpan w:val="2"/>
          </w:tcPr>
          <w:p>
            <w:pPr>
              <w:ind w:left="300"/>
              <w:spacing w:after="0"/>
              <w:rPr>
                <w:sz w:val="20"/>
                <w:szCs w:val="20"/>
                <w:color w:val="auto"/>
              </w:rPr>
            </w:pPr>
            <w:r>
              <w:rPr>
                <w:rFonts w:ascii="Arial" w:cs="Arial" w:eastAsia="Arial" w:hAnsi="Arial"/>
                <w:sz w:val="18"/>
                <w:szCs w:val="18"/>
                <w:b w:val="1"/>
                <w:bCs w:val="1"/>
                <w:color w:val="auto"/>
              </w:rPr>
              <w:t>Contractual maturity date</w:t>
            </w:r>
          </w:p>
        </w:tc>
        <w:tc>
          <w:tcPr>
            <w:tcW w:w="120" w:type="dxa"/>
            <w:vAlign w:val="bottom"/>
          </w:tcPr>
          <w:p>
            <w:pPr>
              <w:spacing w:after="0"/>
              <w:rPr>
                <w:sz w:val="20"/>
                <w:szCs w:val="20"/>
                <w:color w:val="auto"/>
              </w:rPr>
            </w:pPr>
          </w:p>
        </w:tc>
        <w:tc>
          <w:tcPr>
            <w:tcW w:w="18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financing (1)</w:t>
            </w:r>
          </w:p>
        </w:tc>
        <w:tc>
          <w:tcPr>
            <w:tcW w:w="14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renewable notes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Total</w:t>
            </w:r>
          </w:p>
        </w:tc>
      </w:tr>
      <w:tr>
        <w:trPr>
          <w:trHeight w:val="224"/>
        </w:trPr>
        <w:tc>
          <w:tcPr>
            <w:tcW w:w="2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2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9,910</w:t>
            </w:r>
          </w:p>
        </w:tc>
        <w:tc>
          <w:tcPr>
            <w:tcW w:w="52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12,310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3,900</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5,681</w:t>
            </w:r>
          </w:p>
        </w:tc>
      </w:tr>
      <w:tr>
        <w:trPr>
          <w:trHeight w:val="216"/>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2,742</w:t>
            </w: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3,852</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r>
      <w:tr>
        <w:trPr>
          <w:trHeight w:val="216"/>
        </w:trPr>
        <w:tc>
          <w:tcPr>
            <w:tcW w:w="2620" w:type="dxa"/>
            <w:vAlign w:val="bottom"/>
            <w:shd w:val="clear" w:color="auto" w:fill="EEEEEE"/>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342</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1,719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1,719</w:t>
            </w:r>
          </w:p>
        </w:tc>
      </w:tr>
      <w:tr>
        <w:trPr>
          <w:trHeight w:val="223"/>
        </w:trPr>
        <w:tc>
          <w:tcPr>
            <w:tcW w:w="294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9,042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15,138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24,180</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_________________________</w:t>
      </w:r>
    </w:p>
    <w:p>
      <w:pPr>
        <w:spacing w:after="0" w:line="23" w:lineRule="exact"/>
        <w:rPr>
          <w:sz w:val="20"/>
          <w:szCs w:val="20"/>
          <w:color w:val="auto"/>
        </w:rPr>
      </w:pPr>
    </w:p>
    <w:p>
      <w:pPr>
        <w:ind w:left="640" w:right="180" w:hanging="375"/>
        <w:spacing w:after="0" w:line="261" w:lineRule="auto"/>
        <w:tabs>
          <w:tab w:leader="none" w:pos="64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residual interest financing debt has a contractual maturity date in April 2018. This debt may become due and payable prior to that date, based on the decreasing valuation of the underlying collateral.</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80" w:firstLine="130"/>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8" w:lineRule="exact"/>
        <w:rPr>
          <w:sz w:val="20"/>
          <w:szCs w:val="20"/>
          <w:color w:val="auto"/>
        </w:rPr>
      </w:pPr>
    </w:p>
    <w:p>
      <w:pPr>
        <w:jc w:val="both"/>
        <w:ind w:right="160" w:firstLine="130"/>
        <w:spacing w:after="0" w:line="264" w:lineRule="auto"/>
        <w:rPr>
          <w:sz w:val="20"/>
          <w:szCs w:val="20"/>
          <w:color w:val="auto"/>
        </w:rPr>
      </w:pPr>
      <w:r>
        <w:rPr>
          <w:rFonts w:ascii="Arial" w:cs="Arial" w:eastAsia="Arial" w:hAnsi="Arial"/>
          <w:sz w:val="18"/>
          <w:szCs w:val="18"/>
          <w:color w:val="auto"/>
        </w:rPr>
        <w:t>We are required to comply with various operating and financial covenants defined in the agreements governing the warehouse lines of credit, senior debt, residual interest financing and subordinated debt. The covenants for the senior debt, residual interest financing and subordinated debt restrict the payment of certain distributions, including dividends (See Note 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ind w:firstLine="130"/>
        <w:spacing w:after="0" w:line="259" w:lineRule="auto"/>
        <w:rPr>
          <w:sz w:val="20"/>
          <w:szCs w:val="20"/>
          <w:color w:val="auto"/>
        </w:rPr>
      </w:pPr>
      <w:r>
        <w:rPr>
          <w:rFonts w:ascii="Arial" w:cs="Arial" w:eastAsia="Arial" w:hAnsi="Arial"/>
          <w:sz w:val="18"/>
          <w:szCs w:val="18"/>
          <w:color w:val="auto"/>
        </w:rPr>
        <w:t>In April and again in October 2015 our board of directors authorized the repurchase of up to $5 million of our common stock for a total of $10 million. Prior to April, there was $1.0 million of board authorization remaining in our repurchase plans from prior authorizations. For the year ending December 31, 2015, we purchased $5.9 million of our common stock, representing 1,063,869 shares. There is approximately $5.1 million of board authorization remaining under such plans, which have no expiration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ind w:firstLine="130"/>
        <w:spacing w:after="0" w:line="254" w:lineRule="auto"/>
        <w:rPr>
          <w:sz w:val="20"/>
          <w:szCs w:val="20"/>
          <w:color w:val="auto"/>
        </w:rPr>
      </w:pPr>
      <w:r>
        <w:rPr>
          <w:rFonts w:ascii="Arial" w:cs="Arial" w:eastAsia="Arial" w:hAnsi="Arial"/>
          <w:sz w:val="18"/>
          <w:szCs w:val="18"/>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April 2013 and again in May 2015, the shareholders of the Company approved an amendment to the 2006 Plan to increase the maximum number of shares that may be subject to awards under the 2006 Plan to 5,000,000, 7,200,000, 12,200,000 and 17,200,000, respectively, in each case plus shares authorized under prior plans and not issued. Options that have been granted under the 2006 Plan and a previous plan approved in 1997 have been granted at an exercise price equal to (or greater than) the stock’s fair value at the date of the grant, with terms generally of 7-10 years and vesting generally over 4-5 years.</w:t>
      </w:r>
    </w:p>
    <w:p>
      <w:pPr>
        <w:spacing w:after="0" w:line="192" w:lineRule="exact"/>
        <w:rPr>
          <w:sz w:val="20"/>
          <w:szCs w:val="20"/>
          <w:color w:val="auto"/>
        </w:rPr>
      </w:pPr>
    </w:p>
    <w:p>
      <w:pPr>
        <w:ind w:right="100" w:firstLine="130"/>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2015, 2014 and 2013 was $2.41, $2.73 and $4.79, respectively. That fair value was estimated using a binomial option pricing model using the weighted average assumptions noted in the following table. We use historical data to estimate the expected term of each option. The volatility estimate is based on the historical and implied volatility of our stock over the period that equals the expected life of the option. Volatility assumptions ranged from 47% to 51% for 2015, 52% to 55% for 2014 and 50% to 85% for 2013.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bottom w:val="single" w:sz="8" w:color="auto"/>
            </w:tcBorders>
            <w:gridSpan w:val="5"/>
          </w:tcPr>
          <w:p>
            <w:pPr>
              <w:ind w:left="1220"/>
              <w:spacing w:after="0"/>
              <w:rPr>
                <w:sz w:val="20"/>
                <w:szCs w:val="20"/>
                <w:color w:val="auto"/>
              </w:rPr>
            </w:pPr>
            <w:r>
              <w:rPr>
                <w:rFonts w:ascii="Arial" w:cs="Arial" w:eastAsia="Arial" w:hAnsi="Arial"/>
                <w:sz w:val="18"/>
                <w:szCs w:val="18"/>
                <w:b w:val="1"/>
                <w:bCs w:val="1"/>
                <w:color w:val="auto"/>
                <w:w w:val="98"/>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EEEEEE"/>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EEEEEE"/>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w:t>
            </w: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4.22</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Volatility</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ind w:right="140" w:firstLine="130"/>
        <w:spacing w:after="0" w:line="264" w:lineRule="auto"/>
        <w:rPr>
          <w:sz w:val="20"/>
          <w:szCs w:val="20"/>
          <w:color w:val="auto"/>
        </w:rPr>
      </w:pPr>
      <w:r>
        <w:rPr>
          <w:rFonts w:ascii="Arial" w:cs="Arial" w:eastAsia="Arial" w:hAnsi="Arial"/>
          <w:sz w:val="18"/>
          <w:szCs w:val="18"/>
          <w:color w:val="auto"/>
        </w:rPr>
        <w:t>For the years ended December 31, 2015, 2014 and 2013, we recorded stock-based compensation costs in the amount of $5.0 million, $3.8 million and $3.9 million, respectively. As of December 31, 2015, the unrecognized stock-based compensation costs to be recognized over future periods was equal to $13.3 million. This amount will be recognized as expense over a weighted-average period of 2.6 years.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At December 31, 2015 and 2014, options outstanding had intrinsic values of $16.6 million and $36.7 million, respectively. At December 31, 2015 and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options exercisable had intrinsic values of $14.5 million and $28.1 million, respectively. The total intrinsic value of options exercised was $6.4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$9.1 million for the years ended December 31, 2015 and 2014, respectively. New shares were issued for all options exercised during the year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and cash of $1.7 million was received. A tax benefit of $634,000 was recorded for the options exercised in 2015. At December 31, 2015, there were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total of 5.5 million additional shares available for grant under the 2006 Plan.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 option activity for the year ended December 31, 2015 for stock options under the 2006 and 1997 plans is as follows:</w:t>
      </w:r>
    </w:p>
    <w:p>
      <w:pPr>
        <w:spacing w:after="0" w:line="200" w:lineRule="exact"/>
        <w:rPr>
          <w:sz w:val="20"/>
          <w:szCs w:val="20"/>
          <w:color w:val="auto"/>
        </w:rPr>
      </w:pPr>
    </w:p>
    <w:p>
      <w:pPr>
        <w:spacing w:after="0" w:line="25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Weighted Average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Exercise Price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10,828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4.05</w:t>
            </w:r>
          </w:p>
        </w:tc>
        <w:tc>
          <w:tcPr>
            <w:tcW w:w="34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1,965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6.11</w:t>
            </w:r>
          </w:p>
        </w:tc>
        <w:tc>
          <w:tcPr>
            <w:tcW w:w="3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(1,233)</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w:t>
            </w:r>
          </w:p>
        </w:tc>
        <w:tc>
          <w:tcPr>
            <w:tcW w:w="340" w:type="dxa"/>
            <w:vAlign w:val="bottom"/>
            <w:shd w:val="clear" w:color="auto" w:fill="EEEEEE"/>
          </w:tcPr>
          <w:p>
            <w:pPr>
              <w:spacing w:after="0"/>
              <w:rPr>
                <w:sz w:val="18"/>
                <w:szCs w:val="18"/>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Forfeited/Expired</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5.43</w:t>
            </w:r>
          </w:p>
        </w:tc>
        <w:tc>
          <w:tcPr>
            <w:tcW w:w="34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11,228</w:t>
            </w:r>
          </w:p>
        </w:tc>
        <w:tc>
          <w:tcPr>
            <w:tcW w:w="200" w:type="dxa"/>
            <w:vAlign w:val="bottom"/>
            <w:tcBorders>
              <w:top w:val="single" w:sz="8" w:color="EEEEEE"/>
            </w:tcBorders>
            <w:shd w:val="clear" w:color="auto" w:fill="EEEEEE"/>
          </w:tcPr>
          <w:p>
            <w:pPr>
              <w:spacing w:after="0"/>
              <w:rPr>
                <w:sz w:val="20"/>
                <w:szCs w:val="20"/>
                <w:color w:val="auto"/>
              </w:rPr>
            </w:pPr>
          </w:p>
        </w:tc>
        <w:tc>
          <w:tcPr>
            <w:tcW w:w="220" w:type="dxa"/>
            <w:vAlign w:val="bottom"/>
            <w:tcBorders>
              <w:top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340" w:type="dxa"/>
            <w:vAlign w:val="bottom"/>
            <w:tcBorders>
              <w:top w:val="single" w:sz="8" w:color="EEEEEE"/>
            </w:tcBorders>
            <w:shd w:val="clear" w:color="auto" w:fill="EEEEEE"/>
          </w:tcPr>
          <w:p>
            <w:pPr>
              <w:spacing w:after="0"/>
              <w:rPr>
                <w:sz w:val="20"/>
                <w:szCs w:val="20"/>
                <w:color w:val="auto"/>
              </w:rPr>
            </w:pPr>
          </w:p>
        </w:tc>
        <w:tc>
          <w:tcPr>
            <w:tcW w:w="148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5.55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6,132</w:t>
            </w:r>
          </w:p>
        </w:tc>
        <w:tc>
          <w:tcPr>
            <w:tcW w:w="200" w:type="dxa"/>
            <w:vAlign w:val="bottom"/>
            <w:shd w:val="clear" w:color="auto" w:fill="EEEEEE"/>
          </w:tcPr>
          <w:p>
            <w:pPr>
              <w:spacing w:after="0"/>
              <w:rPr>
                <w:sz w:val="22"/>
                <w:szCs w:val="22"/>
                <w:color w:val="auto"/>
              </w:rPr>
            </w:pP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EEEEEE"/>
          </w:tcPr>
          <w:p>
            <w:pPr>
              <w:spacing w:after="0"/>
              <w:rPr>
                <w:sz w:val="22"/>
                <w:szCs w:val="22"/>
                <w:color w:val="auto"/>
              </w:rPr>
            </w:pPr>
          </w:p>
        </w:tc>
        <w:tc>
          <w:tcPr>
            <w:tcW w:w="1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4.87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EEEEEE"/>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130"/>
        <w:spacing w:after="0" w:line="277" w:lineRule="auto"/>
        <w:rPr>
          <w:sz w:val="20"/>
          <w:szCs w:val="20"/>
          <w:color w:val="auto"/>
        </w:rPr>
      </w:pPr>
      <w:r>
        <w:rPr>
          <w:rFonts w:ascii="Arial" w:cs="Arial" w:eastAsia="Arial" w:hAnsi="Arial"/>
          <w:sz w:val="18"/>
          <w:szCs w:val="18"/>
          <w:color w:val="auto"/>
        </w:rPr>
        <w:t>We did not issue any stock options with an exercise price above or below the market price of the stock on the grant date for the years ended December 31, 2015, 2014 and 2013.</w:t>
      </w:r>
    </w:p>
    <w:p>
      <w:pPr>
        <w:spacing w:after="0" w:line="170" w:lineRule="exact"/>
        <w:rPr>
          <w:sz w:val="20"/>
          <w:szCs w:val="20"/>
          <w:color w:val="auto"/>
        </w:rPr>
      </w:pPr>
    </w:p>
    <w:p>
      <w:pPr>
        <w:ind w:right="180" w:firstLine="130"/>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December 31,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(8) Interest Income and Interest Expense</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gridSpan w:val="2"/>
          </w:tcPr>
          <w:p>
            <w:pPr>
              <w:ind w:left="140"/>
              <w:spacing w:after="0"/>
              <w:rPr>
                <w:sz w:val="20"/>
                <w:szCs w:val="20"/>
                <w:color w:val="auto"/>
              </w:rPr>
            </w:pPr>
            <w:r>
              <w:rPr>
                <w:rFonts w:ascii="Arial" w:cs="Arial" w:eastAsia="Arial" w:hAnsi="Arial"/>
                <w:sz w:val="18"/>
                <w:szCs w:val="18"/>
                <w:color w:val="auto"/>
                <w:w w:val="98"/>
              </w:rPr>
              <w:t>The following table presents the components of interest income:</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84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349,796</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286,361</w:t>
            </w:r>
          </w:p>
        </w:tc>
        <w:tc>
          <w:tcPr>
            <w:tcW w:w="60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231,320</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54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349,912</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286,734</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231,330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140"/>
              <w:spacing w:after="0"/>
              <w:rPr>
                <w:sz w:val="20"/>
                <w:szCs w:val="20"/>
                <w:color w:val="auto"/>
              </w:rPr>
            </w:pPr>
            <w:r>
              <w:rPr>
                <w:rFonts w:ascii="Arial" w:cs="Arial" w:eastAsia="Arial" w:hAnsi="Arial"/>
                <w:sz w:val="18"/>
                <w:szCs w:val="18"/>
                <w:color w:val="auto"/>
                <w:w w:val="96"/>
              </w:rPr>
              <w:t>The following table presents the components of interest expense:</w:t>
            </w: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84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48,631</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38,558</w:t>
            </w:r>
          </w:p>
        </w:tc>
        <w:tc>
          <w:tcPr>
            <w:tcW w:w="600" w:type="dxa"/>
            <w:vAlign w:val="bottom"/>
            <w:gridSpan w:val="2"/>
            <w:shd w:val="clear" w:color="auto" w:fill="EEEEEE"/>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34,744</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5,003</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1,651</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8,064</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Debt secured by receivables at fair value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2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1,405</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1,989</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3,330</w:t>
            </w:r>
          </w:p>
        </w:tc>
        <w:tc>
          <w:tcPr>
            <w:tcW w:w="100" w:type="dxa"/>
            <w:vAlign w:val="bottom"/>
            <w:shd w:val="clear" w:color="auto" w:fill="EEEEE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0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Subordinated renewable notes</w:t>
            </w:r>
          </w:p>
        </w:tc>
        <w:tc>
          <w:tcPr>
            <w:tcW w:w="54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30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2,208</w:t>
            </w:r>
          </w:p>
        </w:tc>
        <w:tc>
          <w:tcPr>
            <w:tcW w:w="32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EEEEEE"/>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54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57,745</w:t>
            </w:r>
          </w:p>
        </w:tc>
        <w:tc>
          <w:tcPr>
            <w:tcW w:w="30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50,395</w:t>
            </w:r>
          </w:p>
        </w:tc>
        <w:tc>
          <w:tcPr>
            <w:tcW w:w="32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58,179</w:t>
            </w:r>
          </w:p>
        </w:tc>
        <w:tc>
          <w:tcPr>
            <w:tcW w:w="100" w:type="dxa"/>
            <w:vAlign w:val="bottom"/>
            <w:tcBorders>
              <w:bottom w:val="single" w:sz="8" w:color="EEEEEE"/>
            </w:tcBorders>
            <w:shd w:val="clear" w:color="auto" w:fill="EEEEEE"/>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16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rPr>
              <w:t>F-22</w:t>
            </w: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7" w:name="page78"/>
    <w:bookmarkEnd w:id="77"/>
    <w:p>
      <w:pPr>
        <w:jc w:val="center"/>
        <w:ind w:right="-139"/>
        <w:spacing w:after="0"/>
        <w:rPr>
          <w:sz w:val="20"/>
          <w:szCs w:val="20"/>
          <w:color w:val="auto"/>
        </w:rPr>
      </w:pPr>
      <w:r>
        <w:rPr>
          <w:rFonts w:ascii="Arial" w:cs="Arial" w:eastAsia="Arial" w:hAnsi="Arial"/>
          <w:sz w:val="17"/>
          <w:szCs w:val="17"/>
          <w:b w:val="1"/>
          <w:bCs w:val="1"/>
          <w:color w:val="auto"/>
        </w:rPr>
        <w:t>CONSUMER PORTFOLIO SERVICES, INC. AND SUBSIDIARIES</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Income Taxes</w:t>
      </w:r>
    </w:p>
    <w:p>
      <w:pPr>
        <w:sectPr>
          <w:pgSz w:w="11900" w:h="16838" w:orient="portrait"/>
          <w:cols w:equalWidth="0" w:num="1">
            <w:col w:w="11300"/>
          </w:cols>
          <w:pgMar w:left="240" w:top="688" w:right="359" w:bottom="1440" w:gutter="0" w:footer="0" w:header="0"/>
        </w:sectPr>
      </w:pP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Current federal tax expense</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Current state tax expense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Deferred federal tax expense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Deferred state tax expense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18,653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1,348</w:t>
            </w:r>
          </w:p>
        </w:tc>
        <w:tc>
          <w:tcPr>
            <w:tcW w:w="320" w:type="dxa"/>
            <w:vAlign w:val="bottom"/>
          </w:tcPr>
          <w:p>
            <w:pPr>
              <w:spacing w:after="0"/>
              <w:rPr>
                <w:sz w:val="18"/>
                <w:szCs w:val="18"/>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977</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13,306</w:t>
            </w:r>
          </w:p>
        </w:tc>
      </w:t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26,701</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16,168</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-2897505</wp:posOffset>
            </wp:positionH>
            <wp:positionV relativeFrom="paragraph">
              <wp:posOffset>-736600</wp:posOffset>
            </wp:positionV>
            <wp:extent cx="57975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-462280</wp:posOffset>
            </wp:positionV>
            <wp:extent cx="579755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-179705</wp:posOffset>
            </wp:positionV>
            <wp:extent cx="579755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5000" w:space="720"/>
            <w:col w:w="5580"/>
          </w:cols>
          <w:pgMar w:left="240" w:top="688" w:right="359" w:bottom="1440" w:gutter="0" w:footer="0" w:header="0"/>
          <w:type w:val="continuous"/>
        </w:sectPr>
      </w:pPr>
    </w:p>
    <w:p>
      <w:pPr>
        <w:ind w:right="180" w:firstLine="130"/>
        <w:spacing w:after="0" w:line="277" w:lineRule="auto"/>
        <w:rPr>
          <w:sz w:val="20"/>
          <w:szCs w:val="20"/>
          <w:color w:val="auto"/>
        </w:rPr>
      </w:pPr>
      <w:r>
        <w:rPr>
          <w:rFonts w:ascii="Arial" w:cs="Arial" w:eastAsia="Arial" w:hAnsi="Arial"/>
          <w:sz w:val="18"/>
          <w:szCs w:val="18"/>
          <w:color w:val="auto"/>
        </w:rPr>
        <w:t>Income tax expense for the years ended December 31, 2015, 2014 and 2013 differs from the amount determined by applying the statutory federal rate of 35% to income before income taxes as follows: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center"/>
              <w:ind w:left="650"/>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1000" w:type="dxa"/>
            <w:vAlign w:val="bottom"/>
            <w:gridSpan w:val="2"/>
            <w:shd w:val="clear" w:color="auto" w:fill="EEEEEE"/>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21,484</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18,285</w:t>
            </w:r>
          </w:p>
        </w:tc>
        <w:tc>
          <w:tcPr>
            <w:tcW w:w="32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ind w:right="15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13,011</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2,651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1,560</w:t>
            </w: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1,182</w:t>
            </w: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Non-deductible expenses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492</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(452)</w:t>
            </w: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tax effected cumulative temporary differences that give rise to deferred tax assets and liabilities as of December 31, 2015 and 2014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ind w:left="90"/>
              <w:spacing w:after="0"/>
              <w:rPr>
                <w:sz w:val="20"/>
                <w:szCs w:val="20"/>
                <w:color w:val="auto"/>
              </w:rPr>
            </w:pPr>
            <w:r>
              <w:rPr>
                <w:rFonts w:ascii="Arial" w:cs="Arial" w:eastAsia="Arial" w:hAnsi="Arial"/>
                <w:sz w:val="18"/>
                <w:szCs w:val="18"/>
                <w:b w:val="1"/>
                <w:bCs w:val="1"/>
                <w:color w:val="auto"/>
                <w:w w:val="90"/>
              </w:rPr>
              <w:t>December 31,</w:t>
            </w: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0"/>
              </w:rPr>
              <w:t>(In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Finance receivables</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20,825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3,091</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NOL carryforwards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3,272</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Built in losses</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10,254</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Pension accrual</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1,999</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AMT credit carryforward</w:t>
            </w: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1,109</w:t>
            </w:r>
          </w:p>
        </w:tc>
        <w:tc>
          <w:tcPr>
            <w:tcW w:w="24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deferred tax assets</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40,716</w:t>
            </w:r>
          </w:p>
        </w:tc>
        <w:tc>
          <w:tcPr>
            <w:tcW w:w="200" w:type="dxa"/>
            <w:vAlign w:val="bottom"/>
            <w:tcBorders>
              <w:bottom w:val="single" w:sz="8" w:color="EEEEEE"/>
            </w:tcBorders>
          </w:tcPr>
          <w:p>
            <w:pPr>
              <w:spacing w:after="0"/>
              <w:rPr>
                <w:sz w:val="18"/>
                <w:szCs w:val="18"/>
                <w:color w:val="auto"/>
              </w:rPr>
            </w:pPr>
          </w:p>
        </w:tc>
        <w:tc>
          <w:tcPr>
            <w:tcW w:w="240" w:type="dxa"/>
            <w:vAlign w:val="bottom"/>
            <w:tcBorders>
              <w:bottom w:val="single" w:sz="8" w:color="EEEEEE"/>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45,163</w:t>
            </w:r>
          </w:p>
        </w:tc>
        <w:tc>
          <w:tcPr>
            <w:tcW w:w="12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EEEEE"/>
          </w:tcPr>
          <w:p>
            <w:pPr>
              <w:spacing w:after="0"/>
              <w:rPr>
                <w:sz w:val="20"/>
                <w:szCs w:val="20"/>
                <w:color w:val="auto"/>
              </w:rPr>
            </w:pPr>
            <w:r>
              <w:rPr>
                <w:rFonts w:ascii="Arial" w:cs="Arial" w:eastAsia="Arial" w:hAnsi="Arial"/>
                <w:sz w:val="18"/>
                <w:szCs w:val="18"/>
                <w:color w:val="auto"/>
              </w:rPr>
              <w:t>Deferred loan costs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(2,894)</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0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deferred tax liabilities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(3,119)</w:t>
            </w:r>
          </w:p>
        </w:tc>
        <w:tc>
          <w:tcPr>
            <w:tcW w:w="2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42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deferred tax asset</w:t>
            </w:r>
          </w:p>
        </w:tc>
        <w:tc>
          <w:tcPr>
            <w:tcW w:w="1020" w:type="dxa"/>
            <w:vAlign w:val="bottom"/>
            <w:shd w:val="clear" w:color="auto" w:fill="EEEEEE"/>
          </w:tcPr>
          <w:p>
            <w:pPr>
              <w:jc w:val="right"/>
              <w:ind w:right="8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37,597</w:t>
            </w:r>
          </w:p>
        </w:tc>
        <w:tc>
          <w:tcPr>
            <w:tcW w:w="200" w:type="dxa"/>
            <w:vAlign w:val="bottom"/>
            <w:shd w:val="clear" w:color="auto" w:fill="EEEEEE"/>
          </w:tcPr>
          <w:p>
            <w:pPr>
              <w:spacing w:after="0"/>
              <w:rPr>
                <w:sz w:val="21"/>
                <w:szCs w:val="21"/>
                <w:color w:val="auto"/>
              </w:rPr>
            </w:pP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42,847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130"/>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88" w:right="35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40" w:firstLine="130"/>
        <w:spacing w:after="0" w:line="264"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1" w:lineRule="exact"/>
        <w:rPr>
          <w:sz w:val="20"/>
          <w:szCs w:val="20"/>
          <w:color w:val="auto"/>
        </w:rPr>
      </w:pPr>
    </w:p>
    <w:p>
      <w:pPr>
        <w:ind w:right="40" w:firstLine="130"/>
        <w:spacing w:after="0" w:line="272" w:lineRule="auto"/>
        <w:rPr>
          <w:sz w:val="20"/>
          <w:szCs w:val="20"/>
          <w:color w:val="auto"/>
        </w:rPr>
      </w:pPr>
      <w:r>
        <w:rPr>
          <w:rFonts w:ascii="Arial" w:cs="Arial" w:eastAsia="Arial" w:hAnsi="Arial"/>
          <w:sz w:val="17"/>
          <w:szCs w:val="17"/>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Although realization is not assured, we believe that the realization of the recognized net deferred tax asset of $37.6 million as of December 31, 2015 is more likely than not based on forecasted future net earnings. Our net deferred tax asset of $37.6 million consists of approximately $29.9 million of net U.S. federal deferred tax assets and $7.7 million of net state deferred tax assets. The major components of the deferred tax asset are $13.5 million in net operating loss carryforwards and built in losses and $24.1 million in net deductions which have not yet been taken on a tax return.</w:t>
      </w:r>
    </w:p>
    <w:p>
      <w:pPr>
        <w:spacing w:after="0" w:line="178" w:lineRule="exact"/>
        <w:rPr>
          <w:sz w:val="20"/>
          <w:szCs w:val="20"/>
          <w:color w:val="auto"/>
        </w:rPr>
      </w:pPr>
    </w:p>
    <w:p>
      <w:pPr>
        <w:ind w:right="100" w:firstLine="130"/>
        <w:spacing w:after="0" w:line="277" w:lineRule="auto"/>
        <w:rPr>
          <w:sz w:val="20"/>
          <w:szCs w:val="20"/>
          <w:color w:val="auto"/>
        </w:rPr>
      </w:pPr>
      <w:r>
        <w:rPr>
          <w:rFonts w:ascii="Arial" w:cs="Arial" w:eastAsia="Arial" w:hAnsi="Arial"/>
          <w:sz w:val="18"/>
          <w:szCs w:val="18"/>
          <w:color w:val="auto"/>
        </w:rPr>
        <w:t>As of December 31, 2015, we had net operating loss carryforwards for state income tax purposes of $67.3 million. These state net operating losses begin to expire in 2016.</w:t>
      </w:r>
    </w:p>
    <w:p>
      <w:pPr>
        <w:spacing w:after="0" w:line="170" w:lineRule="exact"/>
        <w:rPr>
          <w:sz w:val="20"/>
          <w:szCs w:val="20"/>
          <w:color w:val="auto"/>
        </w:rPr>
      </w:pPr>
    </w:p>
    <w:p>
      <w:pPr>
        <w:ind w:right="160" w:firstLine="130"/>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2015, we had no unrecognized tax benefits for uncertain tax positions.</w:t>
      </w:r>
    </w:p>
    <w:p>
      <w:pPr>
        <w:spacing w:after="0" w:line="171" w:lineRule="exact"/>
        <w:rPr>
          <w:sz w:val="20"/>
          <w:szCs w:val="20"/>
          <w:color w:val="auto"/>
        </w:rPr>
      </w:pPr>
    </w:p>
    <w:p>
      <w:pPr>
        <w:ind w:right="940" w:firstLine="130"/>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Related Party Transactions</w:t>
      </w:r>
    </w:p>
    <w:p>
      <w:pPr>
        <w:spacing w:after="0" w:line="225" w:lineRule="exact"/>
        <w:rPr>
          <w:sz w:val="20"/>
          <w:szCs w:val="20"/>
          <w:color w:val="auto"/>
        </w:rPr>
      </w:pPr>
    </w:p>
    <w:p>
      <w:pPr>
        <w:ind w:right="80" w:firstLine="130"/>
        <w:spacing w:after="0" w:line="286" w:lineRule="auto"/>
        <w:rPr>
          <w:sz w:val="20"/>
          <w:szCs w:val="20"/>
          <w:color w:val="auto"/>
        </w:rPr>
      </w:pPr>
      <w:r>
        <w:rPr>
          <w:rFonts w:ascii="Arial" w:cs="Arial" w:eastAsia="Arial" w:hAnsi="Arial"/>
          <w:sz w:val="17"/>
          <w:szCs w:val="17"/>
          <w:color w:val="auto"/>
        </w:rPr>
        <w:t>In December 2007, one of our directors purchased a $4.0 million subordinated renewable note pursuant to our ongoing program of issuing such notes to the public. The note was purchased through the registered agent and under the same terms and conditions, including the interest rate, that were offered to other purchasers at the time the note was issued. As of December 31, 2015, $4.0 million remains outstanding on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The Company leases its facilities and certain computer equipment under non-cancelable operating leases, which expire through 2022. Future minimum lease payments at December 31, 2015, under these leases are due during the years ended December 31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Amount</w:t>
            </w:r>
          </w:p>
        </w:tc>
      </w:tr>
      <w:tr>
        <w:trPr>
          <w:trHeight w:val="210"/>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6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4,713</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5,896</w:t>
            </w:r>
          </w:p>
        </w:tc>
      </w:tr>
      <w:tr>
        <w:trPr>
          <w:trHeight w:val="216"/>
        </w:trPr>
        <w:tc>
          <w:tcPr>
            <w:tcW w:w="6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5,632</w:t>
            </w: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5,189</w:t>
            </w:r>
          </w:p>
        </w:tc>
      </w:tr>
      <w:tr>
        <w:trPr>
          <w:trHeight w:val="216"/>
        </w:trPr>
        <w:tc>
          <w:tcPr>
            <w:tcW w:w="6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4,224</w:t>
            </w:r>
          </w:p>
        </w:tc>
      </w:tr>
      <w:tr>
        <w:trPr>
          <w:trHeight w:val="230"/>
        </w:trPr>
        <w:tc>
          <w:tcPr>
            <w:tcW w:w="6820" w:type="dxa"/>
            <w:vAlign w:val="bottom"/>
          </w:tcPr>
          <w:p>
            <w:pPr>
              <w:ind w:left="1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7,687</w:t>
            </w:r>
          </w:p>
        </w:tc>
      </w:tr>
      <w:tr>
        <w:trPr>
          <w:trHeight w:val="223"/>
        </w:trPr>
        <w:tc>
          <w:tcPr>
            <w:tcW w:w="6820" w:type="dxa"/>
            <w:vAlign w:val="bottom"/>
            <w:tcBorders>
              <w:top w:val="single" w:sz="8" w:color="EEEEEE"/>
              <w:bottom w:val="single" w:sz="8" w:color="EEEEEE"/>
            </w:tcBorders>
            <w:shd w:val="clear" w:color="auto" w:fill="EEEEEE"/>
          </w:tcPr>
          <w:p>
            <w:pPr>
              <w:ind w:left="120"/>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33,341</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Rent expense for the years ended December 31, 2015, 2014 and 2013, was $4.1 million, $3.5 million and $2.6 million, respectively.</w:t>
      </w:r>
    </w:p>
    <w:p>
      <w:pPr>
        <w:spacing w:after="0" w:line="225" w:lineRule="exact"/>
        <w:rPr>
          <w:sz w:val="20"/>
          <w:szCs w:val="20"/>
          <w:color w:val="auto"/>
        </w:rPr>
      </w:pPr>
    </w:p>
    <w:p>
      <w:pPr>
        <w:ind w:right="680" w:firstLine="130"/>
        <w:spacing w:after="0" w:line="277" w:lineRule="auto"/>
        <w:rPr>
          <w:sz w:val="20"/>
          <w:szCs w:val="20"/>
          <w:color w:val="auto"/>
        </w:rPr>
      </w:pPr>
      <w:r>
        <w:rPr>
          <w:rFonts w:ascii="Arial" w:cs="Arial" w:eastAsia="Arial" w:hAnsi="Arial"/>
          <w:sz w:val="18"/>
          <w:szCs w:val="18"/>
          <w:color w:val="auto"/>
        </w:rPr>
        <w:t>Our facility leases contain certain rental concessions and escalating rental payments, which are recognized as adjustments to rental expense and are amortized on a straight-line basis over the terms of the leases.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ind w:firstLine="130"/>
        <w:spacing w:after="0" w:line="277" w:lineRule="auto"/>
        <w:rPr>
          <w:sz w:val="20"/>
          <w:szCs w:val="20"/>
          <w:color w:val="auto"/>
        </w:rPr>
      </w:pPr>
      <w:r>
        <w:rPr>
          <w:rFonts w:ascii="Arial" w:cs="Arial" w:eastAsia="Arial" w:hAnsi="Arial"/>
          <w:sz w:val="18"/>
          <w:szCs w:val="18"/>
          <w:color w:val="auto"/>
        </w:rPr>
        <w:t>We are currently subject to one such class action, which has been settled by agreement with the plaintiffs. The settlement remains subject to final court approval. (The court has approved the settlement, but an objecting member of the settlement class has appealed that approval.)</w:t>
      </w:r>
    </w:p>
    <w:p>
      <w:pPr>
        <w:spacing w:after="0" w:line="170" w:lineRule="exact"/>
        <w:rPr>
          <w:sz w:val="20"/>
          <w:szCs w:val="20"/>
          <w:color w:val="auto"/>
        </w:rPr>
      </w:pPr>
    </w:p>
    <w:p>
      <w:pPr>
        <w:jc w:val="both"/>
        <w:ind w:firstLine="130"/>
        <w:spacing w:after="0" w:line="308" w:lineRule="auto"/>
        <w:rPr>
          <w:sz w:val="20"/>
          <w:szCs w:val="20"/>
          <w:color w:val="auto"/>
        </w:rPr>
      </w:pPr>
      <w:r>
        <w:rPr>
          <w:rFonts w:ascii="Arial" w:cs="Arial" w:eastAsia="Arial" w:hAnsi="Arial"/>
          <w:sz w:val="17"/>
          <w:szCs w:val="17"/>
          <w:color w:val="auto"/>
        </w:rPr>
        <w:t>For the most part, we have legal and factual defenses to consumer claims, which we routinely contest or settle (for immaterial amounts) depending on the particular circumstances of each case. We have recorded a liability as of December 31, 2015 with respect to such matters, in the aggregate.</w:t>
      </w:r>
    </w:p>
    <w:p>
      <w:pPr>
        <w:spacing w:after="0" w:line="147"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i w:val="1"/>
          <w:iCs w:val="1"/>
          <w:color w:val="auto"/>
        </w:rPr>
        <w:t>FTC Action</w:t>
      </w:r>
      <w:r>
        <w:rPr>
          <w:rFonts w:ascii="Arial" w:cs="Arial" w:eastAsia="Arial" w:hAnsi="Arial"/>
          <w:sz w:val="17"/>
          <w:szCs w:val="17"/>
          <w:color w:val="auto"/>
        </w:rPr>
        <w:t>. In May 2014, we consented to the FTC’s filing of a lawsuit against us, and to the simultaneous settlement of that lawsuit pursuant to a consent</w:t>
      </w:r>
      <w:r>
        <w:rPr>
          <w:rFonts w:ascii="Arial" w:cs="Arial" w:eastAsia="Arial" w:hAnsi="Arial"/>
          <w:sz w:val="17"/>
          <w:szCs w:val="17"/>
          <w:i w:val="1"/>
          <w:iCs w:val="1"/>
          <w:color w:val="auto"/>
        </w:rPr>
        <w:t xml:space="preserve"> </w:t>
      </w:r>
      <w:r>
        <w:rPr>
          <w:rFonts w:ascii="Arial" w:cs="Arial" w:eastAsia="Arial" w:hAnsi="Arial"/>
          <w:sz w:val="17"/>
          <w:szCs w:val="17"/>
          <w:color w:val="auto"/>
        </w:rPr>
        <w:t>decree. The agreed judgment, entered June 11, 2014, required that we make restitutionary payments to certain of its our customers, that we pay a $2 million penalty to the U.S. government, and that we implement procedural changes relating to compliance with fair debt collection practices and credit reporting. We have retained an independent third party to monitor our compliance with the judgment, and we must file certain periodic reports with the FTC. The payments to past and present customers have been completed and paid, partially in cash and partially in the form of credits against amounts owed. The total of such customer payments, cash and credit, was approximately $3.5 million.</w:t>
      </w:r>
    </w:p>
    <w:p>
      <w:pPr>
        <w:spacing w:after="0" w:line="178" w:lineRule="exact"/>
        <w:rPr>
          <w:sz w:val="20"/>
          <w:szCs w:val="20"/>
          <w:color w:val="auto"/>
        </w:rPr>
      </w:pPr>
    </w:p>
    <w:p>
      <w:pPr>
        <w:jc w:val="both"/>
        <w:ind w:firstLine="130"/>
        <w:spacing w:after="0" w:line="270"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requested information relating to the underwriting criteria used to originate these automobile contracts and the representations and warranties relating to those underwriting criteria that were made in connection with the securitization of the automobile contracts. We provided the required documents in March 2015, and are unaware of any subsequent material developments in the government’s investigation.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82" w:lineRule="exact"/>
        <w:rPr>
          <w:sz w:val="20"/>
          <w:szCs w:val="20"/>
          <w:color w:val="auto"/>
        </w:rPr>
      </w:pPr>
    </w:p>
    <w:p>
      <w:pPr>
        <w:jc w:val="both"/>
        <w:ind w:firstLine="130"/>
        <w:spacing w:after="0" w:line="276" w:lineRule="auto"/>
        <w:rPr>
          <w:sz w:val="20"/>
          <w:szCs w:val="20"/>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There can be no assurance as to the outcomes of the matters referenced above. We have recorded a liability as of December 31, 2015,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December 31, 2015, and in excess of the liability we have recorded, is from $0 to $250,000.</w:t>
      </w:r>
    </w:p>
    <w:p>
      <w:pPr>
        <w:spacing w:after="0" w:line="173" w:lineRule="exact"/>
        <w:rPr>
          <w:sz w:val="20"/>
          <w:szCs w:val="20"/>
          <w:color w:val="auto"/>
        </w:rPr>
      </w:pPr>
    </w:p>
    <w:p>
      <w:pPr>
        <w:jc w:val="both"/>
        <w:ind w:firstLine="130"/>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Employee Benefits</w:t>
      </w:r>
    </w:p>
    <w:p>
      <w:pPr>
        <w:spacing w:after="0" w:line="225" w:lineRule="exact"/>
        <w:rPr>
          <w:sz w:val="20"/>
          <w:szCs w:val="20"/>
          <w:color w:val="auto"/>
        </w:rPr>
      </w:pPr>
    </w:p>
    <w:p>
      <w:pPr>
        <w:ind w:right="180" w:firstLine="130"/>
        <w:spacing w:after="0" w:line="279" w:lineRule="auto"/>
        <w:rPr>
          <w:sz w:val="20"/>
          <w:szCs w:val="20"/>
          <w:color w:val="auto"/>
        </w:rPr>
      </w:pPr>
      <w:r>
        <w:rPr>
          <w:rFonts w:ascii="Arial" w:cs="Arial" w:eastAsia="Arial" w:hAnsi="Arial"/>
          <w:sz w:val="17"/>
          <w:szCs w:val="17"/>
          <w:color w:val="auto"/>
        </w:rPr>
        <w:t>We sponsor a pretax savings and profit sharing plan (the “401(k) Plan”) qualified under Section 401(k) of the Internal Revenue Code. Under the 401(k) Plan, eligible employees are able to contribute up to 15% of their compensation (subject to stricter limitation in the case of highly compensated employees). We may, at our discretion, match 100% of employees’ contributions up to $1,500 per employee per calendar year. Our contributions to the 401(k) Plan were $838,000, $642,000 and $471,000, respectively, for the year ended December 31, 2015, 2014 and 2013.</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also sponsor a defined benefit plan, the MFN Financial Corporation Pension Plan (the “Plan”). The Plan benefits were frozen on June 30, 2001.</w:t>
      </w:r>
    </w:p>
    <w:p>
      <w:pPr>
        <w:spacing w:after="0" w:line="237" w:lineRule="exact"/>
        <w:rPr>
          <w:sz w:val="20"/>
          <w:szCs w:val="20"/>
          <w:color w:val="auto"/>
        </w:rPr>
      </w:pPr>
    </w:p>
    <w:p>
      <w:pPr>
        <w:ind w:right="160" w:firstLine="130"/>
        <w:spacing w:after="0" w:line="277" w:lineRule="auto"/>
        <w:rPr>
          <w:sz w:val="20"/>
          <w:szCs w:val="20"/>
          <w:color w:val="auto"/>
        </w:rPr>
      </w:pPr>
      <w:r>
        <w:rPr>
          <w:rFonts w:ascii="Arial" w:cs="Arial" w:eastAsia="Arial" w:hAnsi="Arial"/>
          <w:sz w:val="18"/>
          <w:szCs w:val="18"/>
          <w:color w:val="auto"/>
        </w:rPr>
        <w:t>The following tables represents a reconciliation of the change in the plan’s benefit obligations, fair value of plan assets, and funded status at December 31,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8"/>
                <w:szCs w:val="18"/>
                <w:b w:val="1"/>
                <w:bCs w:val="1"/>
                <w:color w:val="auto"/>
                <w:w w:val="93"/>
              </w:rPr>
              <w:t>December 31,</w:t>
            </w:r>
          </w:p>
        </w:tc>
        <w:tc>
          <w:tcPr>
            <w:tcW w:w="1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Projected benefit obligation,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22,559</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Assumption changes</w:t>
            </w:r>
          </w:p>
        </w:tc>
        <w:tc>
          <w:tcPr>
            <w:tcW w:w="8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Actuarial (gain) loss</w:t>
            </w:r>
          </w:p>
        </w:tc>
        <w:tc>
          <w:tcPr>
            <w:tcW w:w="80" w:type="dxa"/>
            <w:vAlign w:val="bottom"/>
          </w:tcPr>
          <w:p>
            <w:pPr>
              <w:spacing w:after="0"/>
              <w:rPr>
                <w:sz w:val="18"/>
                <w:szCs w:val="18"/>
                <w:color w:val="auto"/>
              </w:rPr>
            </w:pP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64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9"/>
                <w:szCs w:val="19"/>
                <w:color w:val="auto"/>
              </w:rPr>
            </w:pP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(1,518)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gridSpan w:val="2"/>
            <w:shd w:val="clear" w:color="auto" w:fill="EEEEEE"/>
          </w:tcPr>
          <w:p>
            <w:pPr>
              <w:ind w:left="180"/>
              <w:spacing w:after="0"/>
              <w:rPr>
                <w:sz w:val="20"/>
                <w:szCs w:val="20"/>
                <w:color w:val="auto"/>
              </w:rPr>
            </w:pPr>
            <w:r>
              <w:rPr>
                <w:rFonts w:ascii="Arial" w:cs="Arial" w:eastAsia="Arial" w:hAnsi="Arial"/>
                <w:sz w:val="18"/>
                <w:szCs w:val="18"/>
                <w:color w:val="auto"/>
              </w:rPr>
              <w:t>Projected benefit obligation, end of year</w:t>
            </w:r>
          </w:p>
        </w:tc>
        <w:tc>
          <w:tcPr>
            <w:tcW w:w="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21,385</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22,559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Fair value of plan assets,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4"/>
          </w:tcPr>
          <w:p>
            <w:pPr>
              <w:jc w:val="right"/>
              <w:ind w:right="120"/>
              <w:spacing w:after="0"/>
              <w:rPr>
                <w:sz w:val="20"/>
                <w:szCs w:val="20"/>
                <w:color w:val="auto"/>
              </w:rPr>
            </w:pPr>
            <w:r>
              <w:rPr>
                <w:rFonts w:ascii="Arial" w:cs="Arial" w:eastAsia="Arial" w:hAnsi="Arial"/>
                <w:sz w:val="18"/>
                <w:szCs w:val="18"/>
                <w:color w:val="auto"/>
              </w:rPr>
              <w:t>19,848</w:t>
            </w:r>
          </w:p>
        </w:tc>
        <w:tc>
          <w:tcPr>
            <w:tcW w:w="560" w:type="dxa"/>
            <w:vAlign w:val="bottom"/>
            <w:gridSpan w:val="2"/>
          </w:tcPr>
          <w:p>
            <w:pPr>
              <w:jc w:val="right"/>
              <w:ind w:right="245"/>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Return on assets</w:t>
            </w:r>
          </w:p>
        </w:tc>
        <w:tc>
          <w:tcPr>
            <w:tcW w:w="8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(1,818)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Employer contribution</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EEEEEE"/>
          </w:tcPr>
          <w:p>
            <w:pPr>
              <w:spacing w:after="0"/>
              <w:rPr>
                <w:sz w:val="18"/>
                <w:szCs w:val="18"/>
                <w:color w:val="auto"/>
              </w:rPr>
            </w:pPr>
          </w:p>
        </w:tc>
        <w:tc>
          <w:tcPr>
            <w:tcW w:w="172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Benefits paid</w:t>
            </w:r>
          </w:p>
        </w:tc>
        <w:tc>
          <w:tcPr>
            <w:tcW w:w="80" w:type="dxa"/>
            <w:vAlign w:val="bottom"/>
            <w:shd w:val="clear" w:color="auto" w:fill="EEEEEE"/>
          </w:tcPr>
          <w:p>
            <w:pPr>
              <w:spacing w:after="0"/>
              <w:rPr>
                <w:sz w:val="19"/>
                <w:szCs w:val="19"/>
                <w:color w:val="auto"/>
              </w:rPr>
            </w:pPr>
          </w:p>
        </w:tc>
        <w:tc>
          <w:tcPr>
            <w:tcW w:w="172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(1,518)</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gridSpan w:val="2"/>
          </w:tcPr>
          <w:p>
            <w:pPr>
              <w:ind w:left="180"/>
              <w:spacing w:after="0"/>
              <w:rPr>
                <w:sz w:val="20"/>
                <w:szCs w:val="20"/>
                <w:color w:val="auto"/>
              </w:rPr>
            </w:pPr>
            <w:r>
              <w:rPr>
                <w:rFonts w:ascii="Arial" w:cs="Arial" w:eastAsia="Arial" w:hAnsi="Arial"/>
                <w:sz w:val="18"/>
                <w:szCs w:val="18"/>
                <w:color w:val="auto"/>
              </w:rPr>
              <w:t>Fair value of plan assets, end of year</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16,374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1080" w:type="dxa"/>
            <w:vAlign w:val="bottom"/>
            <w:tcBorders>
              <w:bottom w:val="single" w:sz="8" w:color="auto"/>
            </w:tcBorders>
            <w:shd w:val="clear" w:color="auto" w:fill="EEEEEE"/>
          </w:tcPr>
          <w:p>
            <w:pPr>
              <w:spacing w:after="0"/>
              <w:rPr>
                <w:sz w:val="19"/>
                <w:szCs w:val="19"/>
                <w:color w:val="auto"/>
              </w:rPr>
            </w:pPr>
          </w:p>
        </w:tc>
        <w:tc>
          <w:tcPr>
            <w:tcW w:w="380" w:type="dxa"/>
            <w:vAlign w:val="bottom"/>
            <w:tcBorders>
              <w:bottom w:val="single" w:sz="8" w:color="auto"/>
            </w:tcBorders>
            <w:shd w:val="clear" w:color="auto" w:fill="EEEEEE"/>
          </w:tcPr>
          <w:p>
            <w:pPr>
              <w:spacing w:after="0"/>
              <w:rPr>
                <w:sz w:val="19"/>
                <w:szCs w:val="19"/>
                <w:color w:val="auto"/>
              </w:rPr>
            </w:pPr>
          </w:p>
        </w:tc>
        <w:tc>
          <w:tcPr>
            <w:tcW w:w="6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400" w:type="dxa"/>
            <w:vAlign w:val="bottom"/>
            <w:tcBorders>
              <w:bottom w:val="single" w:sz="8" w:color="auto"/>
            </w:tcBorders>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4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Funded Status at 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(5,011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gridSpan w:val="2"/>
            <w:vMerge w:val="restart"/>
          </w:tcPr>
          <w:p>
            <w:pPr>
              <w:ind w:left="120"/>
              <w:spacing w:after="0"/>
              <w:rPr>
                <w:sz w:val="20"/>
                <w:szCs w:val="20"/>
                <w:color w:val="auto"/>
              </w:rPr>
            </w:pPr>
            <w:r>
              <w:rPr>
                <w:rFonts w:ascii="Arial" w:cs="Arial" w:eastAsia="Arial" w:hAnsi="Arial"/>
                <w:sz w:val="18"/>
                <w:szCs w:val="18"/>
                <w:b w:val="1"/>
                <w:bCs w:val="1"/>
                <w:i w:val="1"/>
                <w:iCs w:val="1"/>
                <w:color w:val="auto"/>
              </w:rPr>
              <w:t>Additional Information</w:t>
            </w: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7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560" w:type="dxa"/>
            <w:vAlign w:val="bottom"/>
            <w:gridSpan w:val="7"/>
          </w:tcPr>
          <w:p>
            <w:pPr>
              <w:ind w:left="120"/>
              <w:spacing w:after="0"/>
              <w:rPr>
                <w:sz w:val="20"/>
                <w:szCs w:val="20"/>
                <w:color w:val="auto"/>
              </w:rPr>
            </w:pPr>
            <w:r>
              <w:rPr>
                <w:rFonts w:ascii="Arial" w:cs="Arial" w:eastAsia="Arial" w:hAnsi="Arial"/>
                <w:sz w:val="18"/>
                <w:szCs w:val="18"/>
                <w:color w:val="auto"/>
                <w:w w:val="92"/>
              </w:rPr>
              <w:t>Weighted average assumptions used to determine benefit obligations and cost at December 31, 2015 and 2014 were as follows:</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325"/>
              <w:spacing w:after="0"/>
              <w:rPr>
                <w:sz w:val="20"/>
                <w:szCs w:val="20"/>
                <w:color w:val="auto"/>
              </w:rPr>
            </w:pPr>
            <w:r>
              <w:rPr>
                <w:rFonts w:ascii="Arial" w:cs="Arial" w:eastAsia="Arial" w:hAnsi="Arial"/>
                <w:sz w:val="18"/>
                <w:szCs w:val="18"/>
                <w:b w:val="1"/>
                <w:bCs w:val="1"/>
                <w:color w:val="auto"/>
              </w:rPr>
              <w:t>December, 31</w:t>
            </w: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EEEEEE"/>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2015</w:t>
            </w:r>
          </w:p>
        </w:tc>
        <w:tc>
          <w:tcPr>
            <w:tcW w:w="380" w:type="dxa"/>
            <w:vAlign w:val="bottom"/>
            <w:tcBorders>
              <w:bottom w:val="single" w:sz="8" w:color="EEEEEE"/>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2014</w:t>
            </w:r>
          </w:p>
        </w:tc>
        <w:tc>
          <w:tcPr>
            <w:tcW w:w="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7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80" w:type="dxa"/>
            <w:vAlign w:val="bottom"/>
          </w:tcPr>
          <w:p>
            <w:pPr>
              <w:spacing w:after="0"/>
              <w:rPr>
                <w:sz w:val="18"/>
                <w:szCs w:val="18"/>
                <w:color w:val="auto"/>
              </w:rPr>
            </w:pPr>
          </w:p>
        </w:tc>
        <w:tc>
          <w:tcPr>
            <w:tcW w:w="1460" w:type="dxa"/>
            <w:vAlign w:val="bottom"/>
            <w:gridSpan w:val="2"/>
          </w:tcPr>
          <w:p>
            <w:pPr>
              <w:jc w:val="right"/>
              <w:ind w:right="290"/>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8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90"/>
              <w:spacing w:after="0"/>
              <w:rPr>
                <w:sz w:val="20"/>
                <w:szCs w:val="20"/>
                <w:color w:val="auto"/>
              </w:rPr>
            </w:pPr>
            <w:r>
              <w:rPr>
                <w:rFonts w:ascii="Arial" w:cs="Arial" w:eastAsia="Arial" w:hAnsi="Arial"/>
                <w:sz w:val="18"/>
                <w:szCs w:val="18"/>
                <w:color w:val="auto"/>
              </w:rPr>
              <w:t>3.80%</w:t>
            </w: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20"/>
                <w:szCs w:val="20"/>
                <w:color w:val="auto"/>
              </w:rPr>
            </w:pPr>
          </w:p>
        </w:tc>
        <w:tc>
          <w:tcPr>
            <w:tcW w:w="1460" w:type="dxa"/>
            <w:vAlign w:val="bottom"/>
            <w:gridSpan w:val="2"/>
          </w:tcPr>
          <w:p>
            <w:pPr>
              <w:jc w:val="right"/>
              <w:ind w:right="290"/>
              <w:spacing w:after="0"/>
              <w:rPr>
                <w:sz w:val="20"/>
                <w:szCs w:val="20"/>
                <w:color w:val="auto"/>
              </w:rPr>
            </w:pPr>
            <w:r>
              <w:rPr>
                <w:rFonts w:ascii="Arial" w:cs="Arial" w:eastAsia="Arial" w:hAnsi="Arial"/>
                <w:sz w:val="18"/>
                <w:szCs w:val="18"/>
                <w:color w:val="auto"/>
              </w:rPr>
              <w:t>7.75%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130"/>
        <w:spacing w:after="0" w:line="277" w:lineRule="auto"/>
        <w:rPr>
          <w:sz w:val="20"/>
          <w:szCs w:val="20"/>
          <w:color w:val="auto"/>
        </w:rPr>
      </w:pPr>
      <w:r>
        <w:rPr>
          <w:rFonts w:ascii="Arial" w:cs="Arial" w:eastAsia="Arial" w:hAnsi="Arial"/>
          <w:sz w:val="18"/>
          <w:szCs w:val="18"/>
          <w:color w:val="auto"/>
        </w:rPr>
        <w:t>Our overall expected long-term rate of return on assets is 7.75% per annum as of December 31, 2015. The expected long-term rate of return is based on the weighted average of historical returns on individual asset categories, which are described in more detail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assets</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4"/>
              </w:rPr>
              <w:t>(5,011)</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(2,711)</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Net amount recognized</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(5,011</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(2,711</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w w:val="99"/>
              </w:rPr>
              <w:t>Amounts recognized in accumulated other comprehensive loss consists of:</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10,592</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7,977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8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amount recognized</w:t>
            </w:r>
          </w:p>
        </w:tc>
        <w:tc>
          <w:tcPr>
            <w:tcW w:w="880" w:type="dxa"/>
            <w:vAlign w:val="bottom"/>
            <w:tcBorders>
              <w:top w:val="single" w:sz="8" w:color="auto"/>
              <w:bottom w:val="single" w:sz="8" w:color="auto"/>
            </w:tcBorders>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10,592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1,367</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888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8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4"/>
              </w:rPr>
              <w:t>(1,508)</w:t>
            </w: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(1,727)</w:t>
            </w:r>
          </w:p>
        </w:tc>
        <w:tc>
          <w:tcPr>
            <w:tcW w:w="30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loss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484</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Settlement (gain)/loss</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EEEEE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Benefit Obligation Recognized in Other Comprehensive Loss (Income)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Net loss (gain)</w:t>
            </w:r>
          </w:p>
        </w:tc>
        <w:tc>
          <w:tcPr>
            <w:tcW w:w="880" w:type="dxa"/>
            <w:vAlign w:val="bottom"/>
            <w:shd w:val="clear" w:color="auto" w:fill="EEEEEE"/>
          </w:tcPr>
          <w:p>
            <w:pPr>
              <w:jc w:val="right"/>
              <w:ind w:right="72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2,615</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6,610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8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8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Net amount recognized in other comprehensive loss (income)</w:t>
            </w:r>
          </w:p>
        </w:tc>
        <w:tc>
          <w:tcPr>
            <w:tcW w:w="880" w:type="dxa"/>
            <w:vAlign w:val="bottom"/>
            <w:tcBorders>
              <w:top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3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estimated net loss that will be amortized from accumulated other comprehensive income into net periodic benefit cost in 2016 is $553,000.</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weighted average asset allocation of our pension benefits at December 31, 2015 and 2014 were as follows:</w:t>
      </w:r>
    </w:p>
    <w:p>
      <w:pPr>
        <w:spacing w:after="0" w:line="235"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0"/>
        </w:trPr>
        <w:tc>
          <w:tcPr>
            <w:tcW w:w="7780" w:type="dxa"/>
            <w:vAlign w:val="bottom"/>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 Category</w:t>
            </w:r>
          </w:p>
        </w:tc>
        <w:tc>
          <w:tcPr>
            <w:tcW w:w="5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r>
      <w:tr>
        <w:trPr>
          <w:trHeight w:val="216"/>
        </w:trPr>
        <w:tc>
          <w:tcPr>
            <w:tcW w:w="8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Debt securities</w:t>
            </w:r>
          </w:p>
        </w:tc>
        <w:tc>
          <w:tcPr>
            <w:tcW w:w="8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778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130"/>
        <w:spacing w:after="0" w:line="291" w:lineRule="auto"/>
        <w:rPr>
          <w:sz w:val="20"/>
          <w:szCs w:val="20"/>
          <w:color w:val="auto"/>
        </w:rPr>
      </w:pPr>
      <w:r>
        <w:rPr>
          <w:rFonts w:ascii="Arial" w:cs="Arial" w:eastAsia="Arial" w:hAnsi="Arial"/>
          <w:sz w:val="16"/>
          <w:szCs w:val="16"/>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5760" w:type="dxa"/>
            <w:vAlign w:val="bottom"/>
            <w:gridSpan w:val="3"/>
          </w:tcPr>
          <w:p>
            <w:pPr>
              <w:ind w:left="240"/>
              <w:spacing w:after="0"/>
              <w:rPr>
                <w:sz w:val="20"/>
                <w:szCs w:val="20"/>
                <w:color w:val="auto"/>
              </w:rPr>
            </w:pPr>
            <w:r>
              <w:rPr>
                <w:rFonts w:ascii="Arial" w:cs="Arial" w:eastAsia="Arial" w:hAnsi="Arial"/>
                <w:sz w:val="18"/>
                <w:szCs w:val="18"/>
                <w:b w:val="1"/>
                <w:bCs w:val="1"/>
                <w:color w:val="auto"/>
              </w:rPr>
              <w:t>CONSUMER PORTFOLIO SERVICES, INC. AND SUBSIDIARIES</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5280" w:type="dxa"/>
            <w:vAlign w:val="bottom"/>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20" w:type="dxa"/>
            <w:vAlign w:val="bottom"/>
          </w:tcPr>
          <w:p>
            <w:pPr>
              <w:ind w:left="120"/>
              <w:spacing w:after="0"/>
              <w:rPr>
                <w:sz w:val="20"/>
                <w:szCs w:val="20"/>
                <w:color w:val="auto"/>
              </w:rPr>
            </w:pPr>
            <w:r>
              <w:rPr>
                <w:rFonts w:ascii="Arial" w:cs="Arial" w:eastAsia="Arial" w:hAnsi="Arial"/>
                <w:sz w:val="18"/>
                <w:szCs w:val="18"/>
                <w:b w:val="1"/>
                <w:bCs w:val="1"/>
                <w:color w:val="auto"/>
              </w:rPr>
              <w:t>Cash Flows</w:t>
            </w:r>
          </w:p>
        </w:tc>
        <w:tc>
          <w:tcPr>
            <w:tcW w:w="5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0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2016</w:t>
            </w:r>
          </w:p>
        </w:tc>
        <w:tc>
          <w:tcPr>
            <w:tcW w:w="528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2017</w:t>
            </w:r>
          </w:p>
        </w:tc>
        <w:tc>
          <w:tcPr>
            <w:tcW w:w="5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2018</w:t>
            </w:r>
          </w:p>
        </w:tc>
        <w:tc>
          <w:tcPr>
            <w:tcW w:w="52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2019</w:t>
            </w:r>
          </w:p>
        </w:tc>
        <w:tc>
          <w:tcPr>
            <w:tcW w:w="5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2020</w:t>
            </w:r>
          </w:p>
        </w:tc>
        <w:tc>
          <w:tcPr>
            <w:tcW w:w="5280" w:type="dxa"/>
            <w:vAlign w:val="bottom"/>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120"/>
              <w:spacing w:after="0"/>
              <w:rPr>
                <w:sz w:val="20"/>
                <w:szCs w:val="20"/>
                <w:color w:val="auto"/>
              </w:rPr>
            </w:pPr>
            <w:r>
              <w:rPr>
                <w:rFonts w:ascii="Arial" w:cs="Arial" w:eastAsia="Arial" w:hAnsi="Arial"/>
                <w:sz w:val="18"/>
                <w:szCs w:val="18"/>
                <w:color w:val="auto"/>
              </w:rPr>
              <w:t>Years 2021 - 2025</w:t>
            </w:r>
          </w:p>
        </w:tc>
        <w:tc>
          <w:tcPr>
            <w:tcW w:w="5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EEEEEE"/>
          </w:tcPr>
          <w:p>
            <w:pPr>
              <w:spacing w:after="0"/>
              <w:rPr>
                <w:sz w:val="18"/>
                <w:szCs w:val="18"/>
                <w:color w:val="auto"/>
              </w:rPr>
            </w:pPr>
          </w:p>
        </w:tc>
        <w:tc>
          <w:tcPr>
            <w:tcW w:w="5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20"/>
              <w:spacing w:after="0"/>
              <w:rPr>
                <w:sz w:val="20"/>
                <w:szCs w:val="20"/>
                <w:color w:val="auto"/>
              </w:rPr>
            </w:pPr>
            <w:r>
              <w:rPr>
                <w:rFonts w:ascii="Arial" w:cs="Arial" w:eastAsia="Arial" w:hAnsi="Arial"/>
                <w:sz w:val="18"/>
                <w:szCs w:val="18"/>
                <w:color w:val="auto"/>
              </w:rPr>
              <w:t>Anticipated Contributions in 2016</w:t>
            </w:r>
          </w:p>
        </w:tc>
        <w:tc>
          <w:tcPr>
            <w:tcW w:w="52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plan assets at December 31, 2015 and 2014, by asset category,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4"/>
          </w:tcPr>
          <w:p>
            <w:pPr>
              <w:jc w:val="right"/>
              <w:ind w:right="577"/>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Level 2 (2)</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 (3)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4,643</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1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2,061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Small Cap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Focus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2,215</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International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2,475</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1,833</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High Yield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4,643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11,731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1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16,374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4"/>
          </w:tcPr>
          <w:p>
            <w:pPr>
              <w:jc w:val="right"/>
              <w:ind w:right="577"/>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Investment Name:</w:t>
            </w:r>
          </w:p>
        </w:tc>
        <w:tc>
          <w:tcPr>
            <w:tcW w:w="18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 (1)</w:t>
            </w:r>
          </w:p>
        </w:tc>
        <w:tc>
          <w:tcPr>
            <w:tcW w:w="20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Level 2 (2)</w:t>
            </w:r>
          </w:p>
        </w:tc>
        <w:tc>
          <w:tcPr>
            <w:tcW w:w="180" w:type="dxa"/>
            <w:vAlign w:val="bottom"/>
          </w:tcPr>
          <w:p>
            <w:pPr>
              <w:spacing w:after="0"/>
              <w:rPr>
                <w:sz w:val="20"/>
                <w:szCs w:val="20"/>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Level 3 (3)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Company Common Stock</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6,542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17"/>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Large Cap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2,378</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Mid Cap Index</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Small Cap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Small Cap Value</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Focus Value</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2,383</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International Growth</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2,649</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1,969</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High Yield</w:t>
            </w: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Money Market</w:t>
            </w: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482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6,542</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13,306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1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19,848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-154940</wp:posOffset>
            </wp:positionV>
            <wp:extent cx="41249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ind w:left="640" w:hanging="375"/>
        <w:spacing w:after="0"/>
        <w:tabs>
          <w:tab w:leader="none" w:pos="6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101" w:lineRule="exact"/>
        <w:rPr>
          <w:rFonts w:ascii="Arial" w:cs="Arial" w:eastAsia="Arial" w:hAnsi="Arial"/>
          <w:sz w:val="18"/>
          <w:szCs w:val="18"/>
          <w:i w:val="1"/>
          <w:iCs w:val="1"/>
          <w:color w:val="auto"/>
        </w:rPr>
      </w:pPr>
    </w:p>
    <w:p>
      <w:pPr>
        <w:ind w:left="640" w:hanging="375"/>
        <w:spacing w:after="0"/>
        <w:tabs>
          <w:tab w:leader="none" w:pos="6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117" w:lineRule="exact"/>
        <w:rPr>
          <w:rFonts w:ascii="Arial" w:cs="Arial" w:eastAsia="Arial" w:hAnsi="Arial"/>
          <w:sz w:val="18"/>
          <w:szCs w:val="18"/>
          <w:i w:val="1"/>
          <w:iCs w:val="1"/>
          <w:color w:val="auto"/>
        </w:rPr>
      </w:pPr>
    </w:p>
    <w:p>
      <w:pPr>
        <w:ind w:left="640" w:hanging="375"/>
        <w:spacing w:after="0"/>
        <w:tabs>
          <w:tab w:leader="none" w:pos="6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Fair Value Measurements</w:t>
      </w:r>
    </w:p>
    <w:p>
      <w:pPr>
        <w:spacing w:after="0" w:line="225" w:lineRule="exact"/>
        <w:rPr>
          <w:sz w:val="20"/>
          <w:szCs w:val="20"/>
          <w:color w:val="auto"/>
        </w:rPr>
      </w:pPr>
    </w:p>
    <w:p>
      <w:pPr>
        <w:jc w:val="both"/>
        <w:ind w:firstLine="130"/>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are separately disclosed by level within the fair value hierarchy.</w:t>
      </w:r>
    </w:p>
    <w:p>
      <w:pPr>
        <w:spacing w:after="0" w:line="181" w:lineRule="exact"/>
        <w:rPr>
          <w:sz w:val="20"/>
          <w:szCs w:val="20"/>
          <w:color w:val="auto"/>
        </w:rPr>
      </w:pPr>
    </w:p>
    <w:p>
      <w:pPr>
        <w:jc w:val="both"/>
        <w:ind w:firstLine="130"/>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ind w:firstLine="130"/>
        <w:spacing w:after="0" w:line="289"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w:t>
      </w:r>
    </w:p>
    <w:p>
      <w:pPr>
        <w:spacing w:after="0" w:line="167" w:lineRule="exact"/>
        <w:rPr>
          <w:sz w:val="20"/>
          <w:szCs w:val="20"/>
          <w:color w:val="auto"/>
        </w:rPr>
      </w:pPr>
    </w:p>
    <w:p>
      <w:pPr>
        <w:ind w:right="240" w:firstLine="130"/>
        <w:spacing w:after="0" w:line="277" w:lineRule="auto"/>
        <w:rPr>
          <w:sz w:val="20"/>
          <w:szCs w:val="20"/>
          <w:color w:val="auto"/>
        </w:rPr>
      </w:pPr>
      <w:r>
        <w:rPr>
          <w:rFonts w:ascii="Arial" w:cs="Arial" w:eastAsia="Arial" w:hAnsi="Arial"/>
          <w:sz w:val="18"/>
          <w:szCs w:val="18"/>
          <w:color w:val="auto"/>
        </w:rPr>
        <w:t>The table below presents a reconciliation of the acquired finance receivables and related debt measured at fair value on a recurring basis using significant unobservable inputs: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2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8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w w:val="99"/>
              </w:rPr>
              <w:t>(in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80" w:type="dxa"/>
            <w:vAlign w:val="bottom"/>
            <w:gridSpan w:val="2"/>
            <w:vMerge w:val="continue"/>
          </w:tcPr>
          <w:p>
            <w:pPr>
              <w:spacing w:after="0"/>
              <w:rPr>
                <w:sz w:val="17"/>
                <w:szCs w:val="17"/>
                <w:color w:val="auto"/>
              </w:rPr>
            </w:pPr>
          </w:p>
        </w:tc>
        <w:tc>
          <w:tcPr>
            <w:tcW w:w="2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3660" w:type="dxa"/>
            <w:vAlign w:val="bottom"/>
            <w:gridSpan w:val="2"/>
            <w:shd w:val="clear" w:color="auto" w:fill="EEEEEE"/>
          </w:tcPr>
          <w:p>
            <w:pPr>
              <w:jc w:val="right"/>
              <w:ind w:right="9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1,664</w:t>
            </w:r>
          </w:p>
        </w:tc>
        <w:tc>
          <w:tcPr>
            <w:tcW w:w="720" w:type="dxa"/>
            <w:vAlign w:val="bottom"/>
            <w:gridSpan w:val="2"/>
            <w:shd w:val="clear" w:color="auto" w:fill="EEEEEE"/>
          </w:tcPr>
          <w:p>
            <w:pPr>
              <w:jc w:val="right"/>
              <w:ind w:right="3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Payments on finance receivables at fair value</w:t>
            </w:r>
          </w:p>
        </w:tc>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(1,603)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Charge-offs on finance receivables at fair value</w:t>
            </w:r>
          </w:p>
        </w:tc>
        <w:tc>
          <w:tcPr>
            <w:tcW w:w="26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Discount accretion</w:t>
            </w:r>
          </w:p>
        </w:tc>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26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at end of year</w:t>
            </w:r>
          </w:p>
        </w:tc>
        <w:tc>
          <w:tcPr>
            <w:tcW w:w="2600" w:type="dxa"/>
            <w:vAlign w:val="bottom"/>
            <w:tcBorders>
              <w:bottom w:val="single" w:sz="8" w:color="EEEEEE"/>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shd w:val="clear" w:color="auto" w:fill="EEEEEE"/>
          </w:tcPr>
          <w:p>
            <w:pPr>
              <w:spacing w:after="0"/>
              <w:rPr>
                <w:sz w:val="17"/>
                <w:szCs w:val="17"/>
                <w:color w:val="auto"/>
              </w:rPr>
            </w:pPr>
          </w:p>
        </w:tc>
        <w:tc>
          <w:tcPr>
            <w:tcW w:w="26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w w:val="96"/>
              </w:rPr>
              <w:t>Debt Secured by Finance Receivables Measured at Fair Value:</w:t>
            </w:r>
          </w:p>
        </w:tc>
        <w:tc>
          <w:tcPr>
            <w:tcW w:w="26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gridSpan w:val="2"/>
            <w:vMerge w:val="restart"/>
          </w:tcPr>
          <w:p>
            <w:pPr>
              <w:jc w:val="right"/>
              <w:ind w:right="325"/>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36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1,250</w:t>
            </w:r>
          </w:p>
        </w:tc>
        <w:tc>
          <w:tcPr>
            <w:tcW w:w="72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Principal payments on debt at fair value</w:t>
            </w:r>
          </w:p>
        </w:tc>
        <w:tc>
          <w:tcPr>
            <w:tcW w:w="26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(1,250)</w:t>
            </w:r>
          </w:p>
        </w:tc>
        <w:tc>
          <w:tcPr>
            <w:tcW w:w="2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Premium accretion</w:t>
            </w:r>
          </w:p>
        </w:tc>
        <w:tc>
          <w:tcPr>
            <w:tcW w:w="2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26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6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60" w:type="dxa"/>
            <w:vAlign w:val="bottom"/>
            <w:shd w:val="clear" w:color="auto" w:fill="EEEEEE"/>
          </w:tcPr>
          <w:p>
            <w:pPr>
              <w:spacing w:after="0"/>
              <w:rPr>
                <w:sz w:val="20"/>
                <w:szCs w:val="20"/>
                <w:color w:val="auto"/>
              </w:rPr>
            </w:pPr>
            <w:r>
              <w:rPr>
                <w:rFonts w:ascii="Arial" w:cs="Arial" w:eastAsia="Arial" w:hAnsi="Arial"/>
                <w:sz w:val="18"/>
                <w:szCs w:val="18"/>
                <w:color w:val="auto"/>
              </w:rPr>
              <w:t>Reduction for payments collected and payable</w:t>
            </w:r>
          </w:p>
        </w:tc>
        <w:tc>
          <w:tcPr>
            <w:tcW w:w="260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6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Adjusted balance at end of year</w:t>
            </w:r>
          </w:p>
        </w:tc>
        <w:tc>
          <w:tcPr>
            <w:tcW w:w="26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right"/>
              <w:ind w:right="2860"/>
              <w:spacing w:after="0"/>
              <w:rPr>
                <w:sz w:val="20"/>
                <w:szCs w:val="20"/>
                <w:color w:val="auto"/>
              </w:rPr>
            </w:pPr>
            <w:r>
              <w:rPr>
                <w:rFonts w:ascii="Arial" w:cs="Arial" w:eastAsia="Arial" w:hAnsi="Arial"/>
                <w:sz w:val="18"/>
                <w:szCs w:val="18"/>
                <w:color w:val="auto"/>
              </w:rPr>
              <w:t>F-29</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table below compares the fair values of the Fireside receivables and the related secured debt to their contractual balances for the periods shown: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6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December 31, 2015</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4"/>
          </w:tcPr>
          <w:p>
            <w:pPr>
              <w:ind w:left="640"/>
              <w:spacing w:after="0"/>
              <w:rPr>
                <w:sz w:val="20"/>
                <w:szCs w:val="20"/>
                <w:color w:val="auto"/>
              </w:rPr>
            </w:pPr>
            <w:r>
              <w:rPr>
                <w:rFonts w:ascii="Arial" w:cs="Arial" w:eastAsia="Arial" w:hAnsi="Arial"/>
                <w:sz w:val="18"/>
                <w:szCs w:val="18"/>
                <w:b w:val="1"/>
                <w:bCs w:val="1"/>
                <w:color w:val="auto"/>
              </w:rPr>
              <w:t>December 31, 2014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180" w:type="dxa"/>
            <w:vAlign w:val="bottom"/>
            <w:tcBorders>
              <w:top w:val="single" w:sz="8" w:color="auto"/>
            </w:tcBorders>
          </w:tcPr>
          <w:p>
            <w:pPr>
              <w:jc w:val="center"/>
              <w:ind w:left="94"/>
              <w:spacing w:after="0" w:line="205" w:lineRule="exact"/>
              <w:rPr>
                <w:sz w:val="20"/>
                <w:szCs w:val="20"/>
                <w:color w:val="auto"/>
              </w:rPr>
            </w:pPr>
            <w:r>
              <w:rPr>
                <w:rFonts w:ascii="Arial" w:cs="Arial" w:eastAsia="Arial" w:hAnsi="Arial"/>
                <w:sz w:val="18"/>
                <w:szCs w:val="18"/>
                <w:b w:val="1"/>
                <w:bCs w:val="1"/>
                <w:color w:val="auto"/>
                <w:w w:val="91"/>
              </w:rPr>
              <w:t>Contractual</w:t>
            </w: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left="530"/>
              <w:spacing w:after="0" w:line="205" w:lineRule="exact"/>
              <w:rPr>
                <w:sz w:val="20"/>
                <w:szCs w:val="20"/>
                <w:color w:val="auto"/>
              </w:rPr>
            </w:pPr>
            <w:r>
              <w:rPr>
                <w:rFonts w:ascii="Arial" w:cs="Arial" w:eastAsia="Arial" w:hAnsi="Arial"/>
                <w:sz w:val="18"/>
                <w:szCs w:val="18"/>
                <w:b w:val="1"/>
                <w:bCs w:val="1"/>
                <w:color w:val="auto"/>
              </w:rPr>
              <w:t>Fair</w:t>
            </w:r>
          </w:p>
        </w:tc>
        <w:tc>
          <w:tcPr>
            <w:tcW w:w="4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ind w:right="290"/>
              <w:spacing w:after="0" w:line="205" w:lineRule="exact"/>
              <w:rPr>
                <w:sz w:val="20"/>
                <w:szCs w:val="20"/>
                <w:color w:val="auto"/>
              </w:rPr>
            </w:pPr>
            <w:r>
              <w:rPr>
                <w:rFonts w:ascii="Arial" w:cs="Arial" w:eastAsia="Arial" w:hAnsi="Arial"/>
                <w:sz w:val="18"/>
                <w:szCs w:val="18"/>
                <w:b w:val="1"/>
                <w:bCs w:val="1"/>
                <w:color w:val="auto"/>
                <w:w w:val="97"/>
              </w:rPr>
              <w:t>Contractual</w:t>
            </w: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180" w:type="dxa"/>
            <w:vAlign w:val="bottom"/>
          </w:tcPr>
          <w:p>
            <w:pPr>
              <w:jc w:val="center"/>
              <w:ind w:left="94"/>
              <w:spacing w:after="0"/>
              <w:rPr>
                <w:sz w:val="20"/>
                <w:szCs w:val="20"/>
                <w:color w:val="auto"/>
              </w:rPr>
            </w:pPr>
            <w:r>
              <w:rPr>
                <w:rFonts w:ascii="Arial" w:cs="Arial" w:eastAsia="Arial" w:hAnsi="Arial"/>
                <w:sz w:val="18"/>
                <w:szCs w:val="18"/>
                <w:b w:val="1"/>
                <w:bCs w:val="1"/>
                <w:color w:val="auto"/>
                <w:w w:val="86"/>
              </w:rPr>
              <w:t>Balance</w:t>
            </w:r>
          </w:p>
        </w:tc>
        <w:tc>
          <w:tcPr>
            <w:tcW w:w="360" w:type="dxa"/>
            <w:vAlign w:val="bottom"/>
          </w:tcPr>
          <w:p>
            <w:pPr>
              <w:spacing w:after="0"/>
              <w:rPr>
                <w:sz w:val="20"/>
                <w:szCs w:val="20"/>
                <w:color w:val="auto"/>
              </w:rPr>
            </w:pPr>
          </w:p>
        </w:tc>
        <w:tc>
          <w:tcPr>
            <w:tcW w:w="112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Value</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Balance</w:t>
            </w:r>
          </w:p>
        </w:tc>
        <w:tc>
          <w:tcPr>
            <w:tcW w:w="44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gridSpan w:val="5"/>
          </w:tcPr>
          <w:p>
            <w:pPr>
              <w:jc w:val="right"/>
              <w:ind w:right="109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1180" w:type="dxa"/>
            <w:vAlign w:val="bottom"/>
            <w:shd w:val="clear" w:color="auto" w:fill="EEEEEE"/>
          </w:tcPr>
          <w:p>
            <w:pPr>
              <w:jc w:val="right"/>
              <w:ind w:right="1014"/>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89"/>
              </w:rPr>
              <w:t>61</w:t>
            </w:r>
          </w:p>
        </w:tc>
        <w:tc>
          <w:tcPr>
            <w:tcW w:w="1120" w:type="dxa"/>
            <w:vAlign w:val="bottom"/>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61</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1,664</w:t>
            </w:r>
          </w:p>
        </w:tc>
        <w:tc>
          <w:tcPr>
            <w:tcW w:w="4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118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130"/>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 The final residual payment was made in January 2015.</w:t>
      </w:r>
    </w:p>
    <w:p>
      <w:pPr>
        <w:spacing w:after="0" w:line="187" w:lineRule="exact"/>
        <w:rPr>
          <w:sz w:val="20"/>
          <w:szCs w:val="20"/>
          <w:color w:val="auto"/>
        </w:rPr>
      </w:pPr>
    </w:p>
    <w:p>
      <w:pPr>
        <w:jc w:val="both"/>
        <w:ind w:firstLine="130"/>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December 31, 2015, the finance receivables related to the repossessed vehicles in inventory totaled $39.7 million. We have applied a valuation adjustment, or loss allowance, of $26.9 million, which is based on a recovery rate of approximately 32%, resulting in an estimated fair value and carrying amount of $12.8 million. The fair value and carrying amount of the repossessed inventory at December 31, 2014 was $10.4 million after applying a valuation adjustment of $17.8 million.</w:t>
      </w:r>
    </w:p>
    <w:p>
      <w:pPr>
        <w:spacing w:after="0" w:line="173" w:lineRule="exact"/>
        <w:rPr>
          <w:sz w:val="20"/>
          <w:szCs w:val="20"/>
          <w:color w:val="auto"/>
        </w:rPr>
      </w:pPr>
    </w:p>
    <w:p>
      <w:pPr>
        <w:ind w:right="120" w:firstLine="130"/>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2015 and 2014. We have no level 3 assets that are measured at fair value on a non-recurring basis.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following table provides certain qualitative information about our level 3 fair value measurements for assets and liabilities carried at fair value:</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w:t>
            </w:r>
          </w:p>
        </w:tc>
        <w:tc>
          <w:tcPr>
            <w:tcW w:w="560" w:type="dxa"/>
            <w:vAlign w:val="bottom"/>
          </w:tcPr>
          <w:p>
            <w:pPr>
              <w:spacing w:after="0"/>
              <w:rPr>
                <w:sz w:val="19"/>
                <w:szCs w:val="19"/>
                <w:color w:val="auto"/>
              </w:rPr>
            </w:pPr>
          </w:p>
        </w:tc>
        <w:tc>
          <w:tcPr>
            <w:tcW w:w="1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Fair Values as of</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Inputs as of</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2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vMerge w:val="continue"/>
          </w:tcPr>
          <w:p>
            <w:pPr>
              <w:spacing w:after="0"/>
              <w:rPr>
                <w:sz w:val="19"/>
                <w:szCs w:val="19"/>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Valuation</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Techniques</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Unobservable Inputs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5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Discount rate</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 value</w:t>
            </w:r>
          </w:p>
        </w:tc>
        <w:tc>
          <w:tcPr>
            <w:tcW w:w="560" w:type="dxa"/>
            <w:vAlign w:val="bottom"/>
            <w:shd w:val="clear" w:color="auto" w:fill="EEEEEE"/>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0"/>
              <w:spacing w:after="0" w:line="201" w:lineRule="exact"/>
              <w:rPr>
                <w:sz w:val="20"/>
                <w:szCs w:val="20"/>
                <w:color w:val="auto"/>
              </w:rPr>
            </w:pPr>
            <w:r>
              <w:rPr>
                <w:rFonts w:ascii="Arial" w:cs="Arial" w:eastAsia="Arial" w:hAnsi="Arial"/>
                <w:sz w:val="18"/>
                <w:szCs w:val="18"/>
                <w:color w:val="auto"/>
              </w:rPr>
              <w:t>61 $</w:t>
            </w:r>
          </w:p>
        </w:tc>
        <w:tc>
          <w:tcPr>
            <w:tcW w:w="800" w:type="dxa"/>
            <w:vAlign w:val="bottom"/>
            <w:gridSpan w:val="2"/>
            <w:shd w:val="clear" w:color="auto" w:fill="EEEEEE"/>
          </w:tcPr>
          <w:p>
            <w:pPr>
              <w:jc w:val="right"/>
              <w:ind w:right="100"/>
              <w:spacing w:after="0" w:line="201" w:lineRule="exact"/>
              <w:rPr>
                <w:sz w:val="20"/>
                <w:szCs w:val="20"/>
                <w:color w:val="auto"/>
              </w:rPr>
            </w:pPr>
            <w:r>
              <w:rPr>
                <w:rFonts w:ascii="Arial" w:cs="Arial" w:eastAsia="Arial" w:hAnsi="Arial"/>
                <w:sz w:val="18"/>
                <w:szCs w:val="18"/>
                <w:color w:val="auto"/>
              </w:rPr>
              <w:t>1,664</w:t>
            </w:r>
          </w:p>
        </w:tc>
        <w:tc>
          <w:tcPr>
            <w:tcW w:w="98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1"/>
              </w:rPr>
              <w:t>Discounted</w:t>
            </w:r>
          </w:p>
        </w:tc>
        <w:tc>
          <w:tcPr>
            <w:tcW w:w="204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9"/>
              </w:rPr>
              <w:t>Cumulative net losses</w:t>
            </w:r>
          </w:p>
        </w:tc>
        <w:tc>
          <w:tcPr>
            <w:tcW w:w="78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5.0%</w:t>
            </w: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2"/>
              </w:rPr>
              <w:t>5.0%</w:t>
            </w: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shd w:val="clear" w:color="auto" w:fill="EEEEEE"/>
          </w:tcPr>
          <w:p>
            <w:pPr>
              <w:spacing w:after="0"/>
              <w:rPr>
                <w:sz w:val="20"/>
                <w:szCs w:val="20"/>
                <w:color w:val="auto"/>
              </w:rPr>
            </w:pPr>
          </w:p>
        </w:tc>
        <w:tc>
          <w:tcPr>
            <w:tcW w:w="248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120" w:type="dxa"/>
            <w:vAlign w:val="bottom"/>
            <w:shd w:val="clear" w:color="auto" w:fill="EEEEEE"/>
          </w:tcPr>
          <w:p>
            <w:pPr>
              <w:spacing w:after="0"/>
              <w:rPr>
                <w:sz w:val="20"/>
                <w:szCs w:val="20"/>
                <w:color w:val="auto"/>
              </w:rPr>
            </w:pPr>
          </w:p>
        </w:tc>
        <w:tc>
          <w:tcPr>
            <w:tcW w:w="7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2"/>
              </w:rPr>
              <w:t>cash flows</w:t>
            </w:r>
          </w:p>
        </w:tc>
        <w:tc>
          <w:tcPr>
            <w:tcW w:w="19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8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40"/>
              <w:spacing w:after="0" w:line="201" w:lineRule="exact"/>
              <w:rPr>
                <w:sz w:val="20"/>
                <w:szCs w:val="20"/>
                <w:color w:val="auto"/>
              </w:rPr>
            </w:pPr>
            <w:r>
              <w:rPr>
                <w:rFonts w:ascii="Arial" w:cs="Arial" w:eastAsia="Arial" w:hAnsi="Arial"/>
                <w:sz w:val="18"/>
                <w:szCs w:val="18"/>
                <w:color w:val="auto"/>
                <w:w w:val="91"/>
              </w:rPr>
              <w:t>Monthly average</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2"/>
              </w:rPr>
              <w:t>0.5%</w:t>
            </w:r>
          </w:p>
        </w:tc>
        <w:tc>
          <w:tcPr>
            <w:tcW w:w="12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2"/>
              </w:rPr>
              <w:t>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prepayments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24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24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9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w w:val="99"/>
              </w:rPr>
              <w:t>Debt secured by receivables measured at fair value</w:t>
            </w:r>
          </w:p>
        </w:tc>
        <w:tc>
          <w:tcPr>
            <w:tcW w:w="560" w:type="dxa"/>
            <w:vAlign w:val="bottom"/>
          </w:tcPr>
          <w:p>
            <w:pPr>
              <w:spacing w:after="0"/>
              <w:rPr>
                <w:sz w:val="17"/>
                <w:szCs w:val="17"/>
                <w:color w:val="auto"/>
              </w:rPr>
            </w:pPr>
          </w:p>
        </w:tc>
        <w:tc>
          <w:tcPr>
            <w:tcW w:w="1120" w:type="dxa"/>
            <w:vAlign w:val="bottom"/>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1,250</w:t>
            </w:r>
          </w:p>
        </w:tc>
        <w:tc>
          <w:tcPr>
            <w:tcW w:w="98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1"/>
              </w:rPr>
              <w:t>Discounted</w:t>
            </w:r>
          </w:p>
        </w:tc>
        <w:tc>
          <w:tcPr>
            <w:tcW w:w="204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Discount rate</w:t>
            </w:r>
          </w:p>
        </w:tc>
        <w:tc>
          <w:tcPr>
            <w:tcW w:w="90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n/a</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0"/>
              </w:rPr>
              <w:t>12.2%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rPr>
              <w:t>cash flows</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10"/>
          </w:tcPr>
          <w:p>
            <w:pPr>
              <w:ind w:left="140"/>
              <w:spacing w:after="0"/>
              <w:rPr>
                <w:sz w:val="20"/>
                <w:szCs w:val="20"/>
                <w:color w:val="auto"/>
              </w:rPr>
            </w:pPr>
            <w:r>
              <w:rPr>
                <w:rFonts w:ascii="Arial" w:cs="Arial" w:eastAsia="Arial" w:hAnsi="Arial"/>
                <w:sz w:val="18"/>
                <w:szCs w:val="18"/>
                <w:color w:val="auto"/>
                <w:w w:val="92"/>
              </w:rPr>
              <w:t>The estimated fair values of financial assets and liabilities at December 31, 2015 and 2014, were as follows: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left="490"/>
              <w:spacing w:after="0"/>
              <w:rPr>
                <w:sz w:val="20"/>
                <w:szCs w:val="20"/>
                <w:color w:val="auto"/>
              </w:rPr>
            </w:pPr>
            <w:r>
              <w:rPr>
                <w:rFonts w:ascii="Arial" w:cs="Arial" w:eastAsia="Arial" w:hAnsi="Arial"/>
                <w:sz w:val="18"/>
                <w:szCs w:val="18"/>
                <w:b w:val="1"/>
                <w:bCs w:val="1"/>
                <w:color w:val="auto"/>
                <w:w w:val="89"/>
              </w:rPr>
              <w:t>As of December 31, 2015</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3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Financial Instrument</w:t>
            </w:r>
          </w:p>
        </w:tc>
        <w:tc>
          <w:tcPr>
            <w:tcW w:w="100" w:type="dxa"/>
            <w:vAlign w:val="bottom"/>
          </w:tcPr>
          <w:p>
            <w:pPr>
              <w:spacing w:after="0"/>
              <w:rPr>
                <w:sz w:val="15"/>
                <w:szCs w:val="15"/>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center"/>
              <w:ind w:right="60"/>
              <w:spacing w:after="0" w:line="182"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3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10"/>
          </w:tcPr>
          <w:p>
            <w:pPr>
              <w:jc w:val="right"/>
              <w:ind w:righ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8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19,322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106,054</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106,054</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1,909,490</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1,879,510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1,879,510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31,547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31,547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196,461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196,461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196,461</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3,260</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3,260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9,042</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9,042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1,731,598</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1,718,418</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1,718,418</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15,138</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15,138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6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left="490"/>
              <w:spacing w:after="0"/>
              <w:rPr>
                <w:sz w:val="20"/>
                <w:szCs w:val="20"/>
                <w:color w:val="auto"/>
              </w:rPr>
            </w:pPr>
            <w:r>
              <w:rPr>
                <w:rFonts w:ascii="Arial" w:cs="Arial" w:eastAsia="Arial" w:hAnsi="Arial"/>
                <w:sz w:val="18"/>
                <w:szCs w:val="18"/>
                <w:b w:val="1"/>
                <w:bCs w:val="1"/>
                <w:color w:val="auto"/>
                <w:w w:val="89"/>
              </w:rPr>
              <w:t>As of December 31, 2014</w:t>
            </w: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440"/>
              <w:spacing w:after="0"/>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right="6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640" w:type="dxa"/>
            <w:vAlign w:val="bottom"/>
            <w:tcBorders>
              <w:top w:val="single" w:sz="8" w:color="auto"/>
            </w:tcBorders>
          </w:tcPr>
          <w:p>
            <w:pPr>
              <w:spacing w:after="0"/>
              <w:rPr>
                <w:sz w:val="22"/>
                <w:szCs w:val="22"/>
                <w:color w:val="auto"/>
              </w:rPr>
            </w:pPr>
          </w:p>
        </w:tc>
        <w:tc>
          <w:tcPr>
            <w:tcW w:w="3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3440" w:type="dxa"/>
            <w:vAlign w:val="bottom"/>
            <w:gridSpan w:val="10"/>
          </w:tcPr>
          <w:p>
            <w:pPr>
              <w:jc w:val="right"/>
              <w:ind w:righ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38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7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17,859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175,382</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175,382</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1,534,496</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1,512,567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1,512,567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1,664</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23,372</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23,372</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56,839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56,839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56,839</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2,613</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2,613</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6"/>
        </w:trPr>
        <w:tc>
          <w:tcPr>
            <w:tcW w:w="538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12,327</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12,327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12,327</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Debt secured by receivables measured at</w:t>
            </w:r>
          </w:p>
        </w:tc>
        <w:tc>
          <w:tcPr>
            <w:tcW w:w="1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gridSpan w:val="2"/>
          </w:tcPr>
          <w:p>
            <w:pPr>
              <w:ind w:left="14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53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1,598,496</w:t>
            </w:r>
          </w:p>
        </w:tc>
        <w:tc>
          <w:tcPr>
            <w:tcW w:w="1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2"/>
              </w:rPr>
              <w:t>1,619,742</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1,619,742</w:t>
            </w: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15,233</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15,233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firstLine="130"/>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December 31, 2015 and 2014,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right="120" w:firstLine="130"/>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ind w:right="180" w:firstLine="130"/>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(14) Quarterly Financial Data (unaudited)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4"/>
              </w:rPr>
              <w:t>Quarter Ended</w:t>
            </w: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March 31,</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June 30,</w:t>
            </w:r>
          </w:p>
        </w:tc>
        <w:tc>
          <w:tcPr>
            <w:tcW w:w="12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4"/>
              </w:rPr>
              <w:t>September 30</w:t>
            </w:r>
            <w:r>
              <w:rPr>
                <w:rFonts w:ascii="Arial" w:cs="Arial" w:eastAsia="Arial" w:hAnsi="Arial"/>
                <w:sz w:val="18"/>
                <w:szCs w:val="18"/>
                <w:color w:val="auto"/>
                <w:w w:val="94"/>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89"/>
              </w:rPr>
              <w:t>(In thousands, except per share data)</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85,989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88,361</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93,991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14,749</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15,200</w:t>
            </w: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15,649</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8,333</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8,537</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8,843</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0.33</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0.34</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0.26</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0.27</w:t>
            </w: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0.28</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68,146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71,594</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77,050</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11,764</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12,329</w:t>
            </w: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13,804</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7,026</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7,776</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0.31</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0.22</w:t>
            </w: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0.24</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54,594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70,482</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64,066</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6,528</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8,546</w:t>
            </w: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10,559</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4,825</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5,873</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640" w:type="dxa"/>
            <w:vAlign w:val="bottom"/>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0.27</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0.15</w:t>
            </w:r>
          </w:p>
        </w:tc>
        <w:tc>
          <w:tcPr>
            <w:tcW w:w="640" w:type="dxa"/>
            <w:vAlign w:val="bottom"/>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0.19</w:t>
            </w:r>
          </w:p>
        </w:tc>
        <w:tc>
          <w:tcPr>
            <w:tcW w:w="4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(15) Subsequent Events</w:t>
      </w:r>
    </w:p>
    <w:p>
      <w:pPr>
        <w:spacing w:after="0" w:line="225" w:lineRule="exact"/>
        <w:rPr>
          <w:sz w:val="20"/>
          <w:szCs w:val="20"/>
          <w:color w:val="auto"/>
        </w:rPr>
      </w:pPr>
    </w:p>
    <w:p>
      <w:pPr>
        <w:ind w:right="80" w:firstLine="130"/>
        <w:spacing w:after="0" w:line="276" w:lineRule="auto"/>
        <w:rPr>
          <w:sz w:val="20"/>
          <w:szCs w:val="20"/>
          <w:color w:val="auto"/>
        </w:rPr>
      </w:pPr>
      <w:r>
        <w:rPr>
          <w:rFonts w:ascii="Arial" w:cs="Arial" w:eastAsia="Arial" w:hAnsi="Arial"/>
          <w:sz w:val="17"/>
          <w:szCs w:val="17"/>
          <w:color w:val="auto"/>
        </w:rPr>
        <w:t>On January 27, 2016 we executed our first securitization of 2016. In the transaction, qualified institutional buyers purchased $329.5 million of asset-backed notes secured by $340.0 million in automobile receivables purchased by us. The sold notes, issued by CPS Auto Receivables Trust 2016-A, consist of five classes. Ratings of the notes were provided by Standard &amp; Poor’s and DBRS and were based on the structure of the transaction, the historical performance of similar receivables and our experience as a servicer. We retained the most subordinated notes, Class F, in the principal amount of $10,540,000. The weighted average yield on the notes, including the retained notes, is approximately 4.34%.</w:t>
      </w:r>
    </w:p>
    <w:p>
      <w:pPr>
        <w:spacing w:after="0" w:line="173" w:lineRule="exact"/>
        <w:rPr>
          <w:sz w:val="20"/>
          <w:szCs w:val="20"/>
          <w:color w:val="auto"/>
        </w:rPr>
      </w:pPr>
    </w:p>
    <w:p>
      <w:pPr>
        <w:ind w:right="120" w:firstLine="130"/>
        <w:spacing w:after="0" w:line="259" w:lineRule="auto"/>
        <w:rPr>
          <w:sz w:val="20"/>
          <w:szCs w:val="20"/>
          <w:color w:val="auto"/>
        </w:rPr>
      </w:pPr>
      <w:r>
        <w:rPr>
          <w:rFonts w:ascii="Arial" w:cs="Arial" w:eastAsia="Arial" w:hAnsi="Arial"/>
          <w:sz w:val="18"/>
          <w:szCs w:val="18"/>
          <w:color w:val="auto"/>
        </w:rPr>
        <w:t>The 2016-A transaction has initial credit enhancement consisting of a cash deposit equal to 1.00% of the original receivable pool balance. The final enhancement level requires accelerated payment of principal on the notes to reach overcollateralization of 4.00% of the then-outstanding receivable pool balance. The transaction utilizes a pre-funding structure, in which CPS sold approximately $255.9 million of receivables on January 27, 2016 and sold $84.1 million of additional receivables on February 5, 2016.</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EXHIBIT 23.1</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333-190766 and 333-168976 on Form S-1, Nos. 333-152969 and 333-204492 on Form S-3, and Nos. 333-58199, 333-35758, 333-75594, 333-115622, 333-135907, 333-161448, 333-166892, and 333-193926 on Form S-8 of Consumer Portfolio Services, Inc. of our report dated March 9, 2016 relating to the financial statements and effectiveness of internal control over financial reporting, appearing in this Annual Report on Form 10-K.</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Crowe Horwath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Crowe Horwath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Sherman Oaks,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ectPr>
          <w:pgSz w:w="11900" w:h="16838" w:orient="portrait"/>
          <w:cols w:equalWidth="0" w:num="1">
            <w:col w:w="11420"/>
          </w:cols>
          <w:pgMar w:left="240" w:top="118"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387" w:lineRule="exact"/>
        <w:rPr>
          <w:sz w:val="20"/>
          <w:szCs w:val="20"/>
          <w:color w:val="auto"/>
        </w:rPr>
      </w:pPr>
    </w:p>
    <w:p>
      <w:pPr>
        <w:ind w:left="820" w:hanging="812"/>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2015 of Consumer Portfolio Services, Inc.;</w:t>
      </w:r>
    </w:p>
    <w:p>
      <w:pPr>
        <w:spacing w:after="0" w:line="398"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8"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ind w:left="820" w:right="40" w:hanging="812"/>
        <w:spacing w:after="0" w:line="342" w:lineRule="auto"/>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Date: March 9, 2016</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E. Bradley, Jr.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360"/>
          </w:cols>
          <w:pgMar w:left="240" w:top="125" w:right="2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387" w:lineRule="exact"/>
        <w:rPr>
          <w:sz w:val="20"/>
          <w:szCs w:val="20"/>
          <w:color w:val="auto"/>
        </w:rPr>
      </w:pPr>
    </w:p>
    <w:p>
      <w:pPr>
        <w:ind w:left="820" w:hanging="812"/>
        <w:spacing w:after="0"/>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2015 of Consumer Portfolio Services, Inc.;</w:t>
      </w:r>
    </w:p>
    <w:p>
      <w:pPr>
        <w:spacing w:after="0" w:line="398"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8"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ind w:left="820" w:right="40" w:hanging="812"/>
        <w:spacing w:after="0" w:line="342" w:lineRule="auto"/>
        <w:tabs>
          <w:tab w:leader="none" w:pos="8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2016</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Jeffrey P. Fritz</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360"/>
          </w:cols>
          <w:pgMar w:left="240" w:top="125" w:right="2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22"/>
          <w:szCs w:val="22"/>
          <w:color w:val="auto"/>
        </w:rPr>
        <w:t>EXHIBIT 32</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2015, as filed with the Securities and Exchange Commission on March 9, 2016 (the “Report”), Charles E. Bradley, Jr., chairman, president and chief executive officer, and Jeffrey P. Fritz , chief financial officer and executive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87"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E. Bradley, Jr.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2016</w:t>
      </w:r>
    </w:p>
    <w:p>
      <w:pPr>
        <w:spacing w:after="0" w:line="200" w:lineRule="exact"/>
        <w:rPr>
          <w:sz w:val="20"/>
          <w:szCs w:val="20"/>
          <w:color w:val="auto"/>
        </w:rPr>
      </w:pPr>
    </w:p>
    <w:p>
      <w:pPr>
        <w:spacing w:after="0" w:line="25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Jeffrey P. Fritz</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Executive Vice President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decimal"/>
      <w:start w:val="1"/>
    </w:lvl>
    <w:lvl w:ilvl="1">
      <w:lvlJc w:val="left"/>
      <w:lvlText w:val="(%2)"/>
      <w:numFmt w:val="decimal"/>
      <w:start w:val="1"/>
    </w:lvl>
  </w:abstractNum>
  <w:abstractNum w:abstractNumId="2">
    <w:nsid w:val="7C83E458"/>
    <w:multiLevelType w:val="hybridMultilevel"/>
    <w:lvl w:ilvl="0">
      <w:lvlJc w:val="left"/>
      <w:lvlText w:val="(%1)"/>
      <w:numFmt w:val="decimal"/>
      <w:start w:val="3"/>
    </w:lvl>
    <w:lvl w:ilvl="1">
      <w:lvlJc w:val="left"/>
      <w:lvlText w:val="%2"/>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amp;"/>
      <w:numFmt w:val="bullet"/>
      <w:start w:val="1"/>
    </w:lvl>
  </w:abstractNum>
  <w:abstractNum w:abstractNumId="26">
    <w:nsid w:val="7C3DBD3D"/>
    <w:multiLevelType w:val="hybridMultilevel"/>
    <w:lvl w:ilvl="0">
      <w:lvlJc w:val="left"/>
      <w:lvlText w:val="%1."/>
      <w:numFmt w:val="decimal"/>
      <w:start w:val="4"/>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5"/>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2019-12-06T02:29:56Z</dcterms:created>
  <dcterms:modified xsi:type="dcterms:W3CDTF">2019-12-06T02:29:56Z</dcterms:modified>
</cp:coreProperties>
</file>