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CURRENT REPORT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7"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Date of Report (Date of earliest event reported) April 3, 2026</w:t>
      </w: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CONSUMER PORTFOLIO SERVICES,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13335</wp:posOffset>
            </wp:positionV>
            <wp:extent cx="64204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20485" cy="8255"/>
                    </a:xfrm>
                    <a:prstGeom prst="rect">
                      <a:avLst/>
                    </a:prstGeom>
                    <a:noFill/>
                  </pic:spPr>
                </pic:pic>
              </a:graphicData>
            </a:graphic>
          </wp:anchor>
        </w:drawing>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95"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CALIFORNIA</w:t>
            </w:r>
          </w:p>
        </w:tc>
        <w:tc>
          <w:tcPr>
            <w:tcW w:w="6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1-11416</w:t>
            </w:r>
          </w:p>
        </w:tc>
        <w:tc>
          <w:tcPr>
            <w:tcW w:w="2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33-0459135</w:t>
            </w:r>
          </w:p>
        </w:tc>
        <w:tc>
          <w:tcPr>
            <w:tcW w:w="800" w:type="dxa"/>
            <w:vAlign w:val="bottom"/>
          </w:tcPr>
          <w:p>
            <w:pPr>
              <w:spacing w:after="0"/>
              <w:rPr>
                <w:sz w:val="17"/>
                <w:szCs w:val="17"/>
                <w:color w:val="auto"/>
              </w:rPr>
            </w:pPr>
          </w:p>
        </w:tc>
      </w:tr>
      <w:tr>
        <w:trPr>
          <w:trHeight w:val="218"/>
        </w:trPr>
        <w:tc>
          <w:tcPr>
            <w:tcW w:w="24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54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8"/>
              </w:rPr>
              <w:t>(Commission</w:t>
            </w:r>
          </w:p>
        </w:tc>
        <w:tc>
          <w:tcPr>
            <w:tcW w:w="22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4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54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8"/>
              </w:rPr>
              <w:t>File Number)</w:t>
            </w:r>
          </w:p>
        </w:tc>
        <w:tc>
          <w:tcPr>
            <w:tcW w:w="22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648"/>
        </w:trPr>
        <w:tc>
          <w:tcPr>
            <w:tcW w:w="6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3800 Howard Hughes Pkwy, Suite 1400, Las Vegas, NV 89169</w:t>
            </w:r>
          </w:p>
        </w:tc>
        <w:tc>
          <w:tcPr>
            <w:tcW w:w="6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228"/>
        </w:trPr>
        <w:tc>
          <w:tcPr>
            <w:tcW w:w="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414"/>
        </w:trPr>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 (949) 753-6800</w:t>
            </w: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32"/>
        </w:trPr>
        <w:tc>
          <w:tcPr>
            <w:tcW w:w="6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Not Applicable</w:t>
            </w:r>
          </w:p>
        </w:tc>
        <w:tc>
          <w:tcPr>
            <w:tcW w:w="6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228"/>
        </w:trPr>
        <w:tc>
          <w:tcPr>
            <w:tcW w:w="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r>
    </w:tbl>
    <w:p>
      <w:pPr>
        <w:spacing w:after="0" w:line="17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500"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78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60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38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Common Stock, no par value</w:t>
            </w:r>
          </w:p>
        </w:tc>
        <w:tc>
          <w:tcPr>
            <w:tcW w:w="27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CPSS</w:t>
            </w:r>
          </w:p>
        </w:tc>
        <w:tc>
          <w:tcPr>
            <w:tcW w:w="46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The Nasdaq Stock Market LLC (Global Market)</w:t>
            </w:r>
          </w:p>
        </w:tc>
      </w:tr>
    </w:tbl>
    <w:p>
      <w:pPr>
        <w:spacing w:after="0" w:line="179" w:lineRule="exact"/>
        <w:rPr>
          <w:sz w:val="24"/>
          <w:szCs w:val="24"/>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contained in Item 2.03 of this report is hereby incorporated by reference into this Item 1.01. The registrant disclaims any implication that the agreements relating to the transactions described in this report are other than agreements entered into in the ordinary course of its business.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Warehouse Credit Facility Amended</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3, 2026, Consumer Portfolio Services, Inc. ("CPS" or the "Company") and its wholly-owned subsidiary Page Eleven Funding LLC (the “Borrower”) amended a revolving credit agreement (the "Credit Agreement") and related agreements with Capital One, N.A., and a Class B Lender (the “Lenders”), all of which have been in place since October 2025. Loans under the amended Credit Agreement are to be secured by automobile receivables that CPS now holds or may acquire in the future from dealers, which receivables CPS would then sell or contribute to the Borrower.</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Credit Agreement, and subject to its terms and conditions, the Lenders have increased the capacity from $167.5 million and agreed to lend from time to time prior to the funding termination date up to a maximum of $390 million to be outstanding at any time. The amount that may be advanced under the Credit Agreement is up to 95.5% of the principal amount of eligible pledged receivables. The funding termination date is October 17, 2027 or earlier upon the occurrence of defined funding termination events. The amounts outstanding could become due at an earlier date, if any of certain defined events of default were to occur.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under the Credit Agreement bear interest at a floating rate set as a margin above the secured overnight financing rate.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Affiliates of Capital One, N.A. have also performed investment banking and advisory services for CPS from time to time, for which they have received customary fees and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provided in response to item 1.01 is incorporated herein by reference.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Warehouse Credit Facility</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CPS first incurred indebtedness under the revolving credit agreement on October 22, 2025. CPS intends to incur indebtedness from time to time as it acquires motor vehicle receivables from dealers. CPS does not undertake to provide updates regarding the amount of indebtedness outstanding from time to time, and no inference should be drawn that such indebtedness has not changed.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Neither financial statements nor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financial information are filed with this report.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exhibit is included with this report:</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News release re amendment of credit facility</w:t>
      </w:r>
      <w:r>
        <w:rPr>
          <w:rFonts w:ascii="Times New Roman" w:cs="Times New Roman" w:eastAsia="Times New Roman" w:hAnsi="Times New Roman"/>
          <w:sz w:val="17"/>
          <w:szCs w:val="17"/>
          <w:color w:val="000000"/>
        </w:rPr>
        <w:t>.</w:t>
      </w:r>
    </w:p>
    <w:p>
      <w:pPr>
        <w:spacing w:after="0" w:line="27" w:lineRule="exact"/>
        <w:rPr>
          <w:sz w:val="20"/>
          <w:szCs w:val="20"/>
          <w:color w:val="auto"/>
        </w:rPr>
      </w:pPr>
    </w:p>
    <w:p>
      <w:pPr>
        <w:ind w:left="580" w:hanging="572"/>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89"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6260" w:type="dxa"/>
            <w:vAlign w:val="bottom"/>
            <w:gridSpan w:val="3"/>
          </w:tcPr>
          <w:p>
            <w:pPr>
              <w:ind w:left="2060"/>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tc>
      </w:tr>
      <w:tr>
        <w:trPr>
          <w:trHeight w:val="391"/>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Dated: April 9, 2026</w:t>
            </w:r>
          </w:p>
        </w:tc>
        <w:tc>
          <w:tcPr>
            <w:tcW w:w="6260" w:type="dxa"/>
            <w:vAlign w:val="bottom"/>
            <w:gridSpan w:val="3"/>
          </w:tcPr>
          <w:p>
            <w:pPr>
              <w:ind w:left="2060"/>
              <w:spacing w:after="0"/>
              <w:rPr>
                <w:sz w:val="20"/>
                <w:szCs w:val="20"/>
                <w:color w:val="auto"/>
              </w:rPr>
            </w:pPr>
            <w:r>
              <w:rPr>
                <w:rFonts w:ascii="Times New Roman" w:cs="Times New Roman" w:eastAsia="Times New Roman" w:hAnsi="Times New Roman"/>
                <w:sz w:val="18"/>
                <w:szCs w:val="18"/>
                <w:color w:val="auto"/>
              </w:rPr>
              <w:t>By: /s/ Denesh Bharwani</w:t>
            </w:r>
          </w:p>
        </w:tc>
      </w:tr>
      <w:tr>
        <w:trPr>
          <w:trHeight w:val="218"/>
        </w:trPr>
        <w:tc>
          <w:tcPr>
            <w:tcW w:w="35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8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Denesh Bharwani</w:t>
            </w:r>
          </w:p>
        </w:tc>
        <w:tc>
          <w:tcPr>
            <w:tcW w:w="108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r>
        <w:trPr>
          <w:trHeight w:val="234"/>
        </w:trPr>
        <w:tc>
          <w:tcPr>
            <w:tcW w:w="35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Signing on behalf of the registrant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168275</wp:posOffset>
            </wp:positionV>
            <wp:extent cx="1285875" cy="4711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47117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32"/>
          <w:szCs w:val="32"/>
          <w:b w:val="1"/>
          <w:bCs w:val="1"/>
          <w:i w:val="1"/>
          <w:i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CPS ANNOUNCES CREDIT FACILITY CAPACITY INCREASE</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LAS VEGAS, Nevada, April 6, 2026 (GlobeNewswire) </w:t>
      </w:r>
      <w:r>
        <w:rPr>
          <w:rFonts w:ascii="Times New Roman" w:cs="Times New Roman" w:eastAsia="Times New Roman" w:hAnsi="Times New Roman"/>
          <w:sz w:val="18"/>
          <w:szCs w:val="18"/>
          <w:color w:val="auto"/>
        </w:rPr>
        <w:t>-- Consumer Portfolio Services, Inc. (Nasdaq: CPSS) (“CPS” or the “Company”)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that on April 3, 2026, it amended its two-year revolving credit agreement with Capital One, N.A. to increase the capacity of the facility. The amendment applies to both Capital One, N.A. and the subordinate lender, and increases the capacity of the facility from $167.5 million to $390 million.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Loans under the amended credit agreement will continue to be secured by automobile receivables that CPS now holds or will acquire from dealers in the future. CPS may borrow on a revolving basis through October 17, 2027, after which CPS will have the option to repay the outstanding loans in full or to allow them to amortize for an eighteen-month period.</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Consumer Portfolio Services, Inc.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Consumer Portfolio Services, Inc. is an independent specialty finance company that provides indirect automobile financing to individuals with past credit problems or limited credit histories. We purchase retail installment sales contracts primarily from franchised automobile dealerships secured by late model used vehicles and, to a lesser extent, new vehicles. We fund these contract purchases on a long-term basis through the securitization markets and service the contracts over their lives.</w:t>
      </w:r>
    </w:p>
    <w:p>
      <w:pPr>
        <w:spacing w:after="0" w:line="1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Forward-looking statements in this news release include the Company's expectation that the revolving period will extend until the revolving period ends, and that an amortization period may follow. The revolving credit agreement that was amended on April 3, 2026, provides for both a revolving period and an amortization period to follow, but it is possible that the Company may suffer certain defaults or events of default that would terminate the revolving period or result in acceleration of maturity of the credit extended. In general, such defaults or events of default would result from losses that the Company might incur in the future. In turn, such losses might result from poor performance of receivables acquired or to be acquired by the Company, from increases in the rate of consumer bankruptcy filings, which could adversely affect the Company’s rights to collect payments from its portfolio; from changes in government regulations affecting consumer credit; or from adverse economic conditions, either generally or in geographic areas in which the Company's business is concentrated.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Danny Bharwani, EVP / Chief Financial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949-753-6811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2026-04-09T14:04:20Z</dcterms:created>
  <dcterms:modified xsi:type="dcterms:W3CDTF">2026-04-09T14:04:20Z</dcterms:modified>
</cp:coreProperties>
</file>