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0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UNDER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001-14116</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540" w:type="dxa"/>
        <w:tblCellMar>
          <w:top w:w="0" w:type="dxa"/>
          <w:left w:w="0" w:type="dxa"/>
          <w:bottom w:w="0" w:type="dxa"/>
          <w:right w:w="0" w:type="dxa"/>
        </w:tblCellMar>
      </w:tblPr>
      <w:tr>
        <w:trPr>
          <w:trHeight w:val="216"/>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6"/>
              </w:rPr>
              <w:t>California</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33-0459135</w:t>
            </w:r>
          </w:p>
        </w:tc>
      </w:tr>
      <w:tr>
        <w:trPr>
          <w:trHeight w:val="234"/>
        </w:trPr>
        <w:tc>
          <w:tcPr>
            <w:tcW w:w="5640" w:type="dxa"/>
            <w:vAlign w:val="bottom"/>
          </w:tcPr>
          <w:p>
            <w:pPr>
              <w:jc w:val="center"/>
              <w:ind w:right="91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4"/>
        </w:trPr>
        <w:tc>
          <w:tcPr>
            <w:tcW w:w="564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19500 Jamboree Road, Irvine, California</w:t>
            </w:r>
          </w:p>
        </w:tc>
        <w:tc>
          <w:tcPr>
            <w:tcW w:w="3760" w:type="dxa"/>
            <w:vAlign w:val="bottom"/>
          </w:tcPr>
          <w:p>
            <w:pPr>
              <w:jc w:val="right"/>
              <w:ind w:right="1050"/>
              <w:spacing w:after="0"/>
              <w:rPr>
                <w:sz w:val="20"/>
                <w:szCs w:val="20"/>
                <w:color w:val="auto"/>
              </w:rPr>
            </w:pPr>
            <w:r>
              <w:rPr>
                <w:rFonts w:ascii="Arial" w:cs="Arial" w:eastAsia="Arial" w:hAnsi="Arial"/>
                <w:sz w:val="18"/>
                <w:szCs w:val="18"/>
                <w:b w:val="1"/>
                <w:bCs w:val="1"/>
                <w:color w:val="auto"/>
              </w:rPr>
              <w:t>92612</w:t>
            </w:r>
          </w:p>
        </w:tc>
      </w:tr>
      <w:tr>
        <w:trPr>
          <w:trHeight w:val="234"/>
        </w:trPr>
        <w:tc>
          <w:tcPr>
            <w:tcW w:w="564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(Zip Code)</w:t>
            </w:r>
          </w:p>
        </w:tc>
      </w:tr>
    </w:tbl>
    <w:p>
      <w:pPr>
        <w:spacing w:after="0" w:line="90"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Registrant’s telephone number, including area code: (949) 753-6800</w:t>
            </w:r>
          </w:p>
        </w:tc>
      </w:tr>
      <w:tr>
        <w:trPr>
          <w:trHeight w:val="234"/>
        </w:trPr>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84"/>
        </w:trPr>
        <w:tc>
          <w:tcPr>
            <w:tcW w:w="1380" w:type="dxa"/>
            <w:vAlign w:val="bottom"/>
          </w:tcPr>
          <w:p>
            <w:pPr>
              <w:spacing w:after="0"/>
              <w:rPr>
                <w:sz w:val="20"/>
                <w:szCs w:val="20"/>
                <w:color w:val="auto"/>
              </w:rPr>
            </w:pPr>
            <w:r>
              <w:rPr>
                <w:rFonts w:ascii="Arial" w:cs="Arial" w:eastAsia="Arial" w:hAnsi="Arial"/>
                <w:sz w:val="18"/>
                <w:szCs w:val="18"/>
                <w:color w:val="auto"/>
                <w:w w:val="90"/>
              </w:rPr>
              <w:t>Title of Each Class</w:t>
            </w:r>
          </w:p>
        </w:tc>
        <w:tc>
          <w:tcPr>
            <w:tcW w:w="1180" w:type="dxa"/>
            <w:vAlign w:val="bottom"/>
          </w:tcPr>
          <w:p>
            <w:pPr>
              <w:spacing w:after="0"/>
              <w:rPr>
                <w:sz w:val="24"/>
                <w:szCs w:val="24"/>
                <w:color w:val="auto"/>
              </w:rPr>
            </w:pPr>
          </w:p>
        </w:tc>
        <w:tc>
          <w:tcPr>
            <w:tcW w:w="6180" w:type="dxa"/>
            <w:vAlign w:val="bottom"/>
            <w:gridSpan w:val="3"/>
          </w:tcPr>
          <w:p>
            <w:pPr>
              <w:ind w:left="2700"/>
              <w:spacing w:after="0"/>
              <w:rPr>
                <w:sz w:val="20"/>
                <w:szCs w:val="20"/>
                <w:color w:val="auto"/>
              </w:rPr>
            </w:pPr>
            <w:r>
              <w:rPr>
                <w:rFonts w:ascii="Arial" w:cs="Arial" w:eastAsia="Arial" w:hAnsi="Arial"/>
                <w:sz w:val="18"/>
                <w:szCs w:val="18"/>
                <w:color w:val="auto"/>
                <w:w w:val="93"/>
              </w:rPr>
              <w:t>Name of Each Exchange on Which Registered</w:t>
            </w:r>
          </w:p>
        </w:tc>
      </w:tr>
      <w:tr>
        <w:trPr>
          <w:trHeight w:val="20"/>
        </w:trPr>
        <w:tc>
          <w:tcPr>
            <w:tcW w:w="13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2560" w:type="dxa"/>
            <w:vAlign w:val="bottom"/>
            <w:gridSpan w:val="2"/>
          </w:tcPr>
          <w:p>
            <w:pPr>
              <w:spacing w:after="0"/>
              <w:rPr>
                <w:sz w:val="20"/>
                <w:szCs w:val="20"/>
                <w:color w:val="auto"/>
              </w:rPr>
            </w:pPr>
            <w:r>
              <w:rPr>
                <w:rFonts w:ascii="Arial" w:cs="Arial" w:eastAsia="Arial" w:hAnsi="Arial"/>
                <w:sz w:val="18"/>
                <w:szCs w:val="18"/>
                <w:color w:val="auto"/>
              </w:rPr>
              <w:t>Common Stock, no par value</w:t>
            </w:r>
          </w:p>
        </w:tc>
        <w:tc>
          <w:tcPr>
            <w:tcW w:w="6180" w:type="dxa"/>
            <w:vAlign w:val="bottom"/>
            <w:gridSpan w:val="3"/>
          </w:tcPr>
          <w:p>
            <w:pPr>
              <w:ind w:left="2700"/>
              <w:spacing w:after="0"/>
              <w:rPr>
                <w:sz w:val="20"/>
                <w:szCs w:val="20"/>
                <w:color w:val="auto"/>
              </w:rPr>
            </w:pPr>
            <w:r>
              <w:rPr>
                <w:rFonts w:ascii="Arial" w:cs="Arial" w:eastAsia="Arial" w:hAnsi="Arial"/>
                <w:sz w:val="18"/>
                <w:szCs w:val="18"/>
                <w:color w:val="auto"/>
                <w:w w:val="92"/>
              </w:rPr>
              <w:t>The Nasdaq Stock Market LLC (Global Market)</w:t>
            </w:r>
          </w:p>
        </w:tc>
      </w:tr>
      <w:tr>
        <w:trPr>
          <w:trHeight w:val="432"/>
        </w:trPr>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8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ind w:left="5200"/>
        <w:spacing w:after="0" w:line="207" w:lineRule="exact"/>
        <w:rPr>
          <w:sz w:val="20"/>
          <w:szCs w:val="20"/>
          <w:color w:val="auto"/>
        </w:rPr>
      </w:pPr>
      <w:r>
        <w:rPr>
          <w:rFonts w:ascii="Arial" w:cs="Arial" w:eastAsia="Arial" w:hAnsi="Arial"/>
          <w:sz w:val="18"/>
          <w:szCs w:val="18"/>
          <w:color w:val="auto"/>
        </w:rPr>
        <w:t>Yes o  No</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07" w:lineRule="exact"/>
        <w:tabs>
          <w:tab w:leader="none" w:pos="970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7"/>
          <w:szCs w:val="17"/>
          <w:color w:val="auto"/>
        </w:rPr>
        <w:t>Yes o  No</w:t>
      </w:r>
      <w:r>
        <w:rPr>
          <w:rFonts w:ascii="MS PGothic" w:cs="MS PGothic" w:eastAsia="MS PGothic" w:hAnsi="MS PGothic"/>
          <w:sz w:val="17"/>
          <w:szCs w:val="17"/>
          <w:color w:val="auto"/>
        </w:rPr>
        <w:t>☒</w:t>
      </w:r>
    </w:p>
    <w:p>
      <w:pPr>
        <w:spacing w:after="0" w:line="258"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Noo</w:t>
      </w:r>
    </w:p>
    <w:p>
      <w:pPr>
        <w:spacing w:after="0" w:line="184" w:lineRule="exact"/>
        <w:rPr>
          <w:sz w:val="24"/>
          <w:szCs w:val="24"/>
          <w:color w:val="auto"/>
        </w:rPr>
      </w:pPr>
    </w:p>
    <w:p>
      <w:pPr>
        <w:ind w:right="20"/>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filer”,”accelerated filer" and “smaller reporting company” in Rule 12b-2 of the Exchange Act.</w:t>
      </w:r>
    </w:p>
    <w:p>
      <w:pPr>
        <w:ind w:left="260"/>
        <w:spacing w:after="0" w:line="207" w:lineRule="exact"/>
        <w:tabs>
          <w:tab w:leader="none" w:pos="2340" w:val="left"/>
          <w:tab w:leader="none" w:pos="4120" w:val="left"/>
          <w:tab w:leader="none" w:pos="61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w:t>
      </w:r>
      <w:r>
        <w:rPr>
          <w:rFonts w:ascii="MS PGothic" w:cs="MS PGothic" w:eastAsia="MS PGothic" w:hAnsi="MS PGothic"/>
          <w:sz w:val="18"/>
          <w:szCs w:val="18"/>
          <w:color w:val="auto"/>
        </w:rPr>
        <w:t>☒</w:t>
      </w:r>
    </w:p>
    <w:p>
      <w:pPr>
        <w:spacing w:after="0" w:line="258" w:lineRule="exact"/>
        <w:rPr>
          <w:sz w:val="24"/>
          <w:szCs w:val="24"/>
          <w:color w:val="auto"/>
        </w:rPr>
      </w:pPr>
    </w:p>
    <w:p>
      <w:pPr>
        <w:ind w:right="60"/>
        <w:spacing w:after="0" w:line="257" w:lineRule="auto"/>
        <w:rPr>
          <w:sz w:val="20"/>
          <w:szCs w:val="20"/>
          <w:color w:val="auto"/>
        </w:rPr>
      </w:pPr>
      <w:r>
        <w:rPr>
          <w:rFonts w:ascii="Arial" w:cs="Arial" w:eastAsia="Arial" w:hAnsi="Arial"/>
          <w:sz w:val="18"/>
          <w:szCs w:val="18"/>
          <w:color w:val="auto"/>
        </w:rPr>
        <w:t>The aggregate market value of the 17,372,449 shares of the registrant’s common stock held by non-affiliates as of the date of filing of this report, based upon the closing price of the registrant’s common stock of $7.34 per share reported by Nasdaq as of June 28, 2013, was approximately $127,513,776. For purposes of this computation, a registrant sponsored pension plan and all directors and executive officers are deemed to be affiliates. Such determination is not an admission that such plan, directors and executive officers are, in fact, affiliates of the registrant. The number of shares of the registrant's Common Stock outstanding on March 3, 2014 was 24,437,296.</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proxy statement for registrant’s 2014 annual shareholders meeting is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8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8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Business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1A.</w:t>
            </w:r>
          </w:p>
        </w:tc>
        <w:tc>
          <w:tcPr>
            <w:tcW w:w="8480" w:type="dxa"/>
            <w:vAlign w:val="bottom"/>
          </w:tcPr>
          <w:p>
            <w:pPr>
              <w:ind w:left="460"/>
              <w:spacing w:after="0"/>
              <w:rPr>
                <w:sz w:val="20"/>
                <w:szCs w:val="20"/>
                <w:color w:val="auto"/>
              </w:rPr>
            </w:pPr>
            <w:r>
              <w:rPr>
                <w:rFonts w:ascii="Arial" w:cs="Arial" w:eastAsia="Arial" w:hAnsi="Arial"/>
                <w:sz w:val="18"/>
                <w:szCs w:val="18"/>
                <w:color w:val="auto"/>
              </w:rPr>
              <w:t>Risk Factors</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1B.</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Unresolved Staff Comments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2.</w:t>
            </w:r>
          </w:p>
        </w:tc>
        <w:tc>
          <w:tcPr>
            <w:tcW w:w="8480" w:type="dxa"/>
            <w:vAlign w:val="bottom"/>
          </w:tcPr>
          <w:p>
            <w:pPr>
              <w:ind w:left="460"/>
              <w:spacing w:after="0"/>
              <w:rPr>
                <w:sz w:val="20"/>
                <w:szCs w:val="20"/>
                <w:color w:val="auto"/>
              </w:rPr>
            </w:pPr>
            <w:r>
              <w:rPr>
                <w:rFonts w:ascii="Arial" w:cs="Arial" w:eastAsia="Arial" w:hAnsi="Arial"/>
                <w:sz w:val="18"/>
                <w:szCs w:val="18"/>
                <w:color w:val="auto"/>
              </w:rPr>
              <w:t>Properties</w:t>
            </w:r>
          </w:p>
        </w:tc>
        <w:tc>
          <w:tcPr>
            <w:tcW w:w="16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3.</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Legal Proceedings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4.</w:t>
            </w:r>
          </w:p>
        </w:tc>
        <w:tc>
          <w:tcPr>
            <w:tcW w:w="8480" w:type="dxa"/>
            <w:vAlign w:val="bottom"/>
          </w:tcPr>
          <w:p>
            <w:pPr>
              <w:ind w:left="460"/>
              <w:spacing w:after="0"/>
              <w:rPr>
                <w:sz w:val="20"/>
                <w:szCs w:val="20"/>
                <w:color w:val="auto"/>
              </w:rPr>
            </w:pPr>
            <w:r>
              <w:rPr>
                <w:rFonts w:ascii="Arial" w:cs="Arial" w:eastAsia="Arial" w:hAnsi="Arial"/>
                <w:sz w:val="18"/>
                <w:szCs w:val="18"/>
                <w:color w:val="auto"/>
              </w:rPr>
              <w:t>Mine Safety Disclosures</w:t>
            </w:r>
          </w:p>
        </w:tc>
        <w:tc>
          <w:tcPr>
            <w:tcW w:w="168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Executive Officers of the Registrant</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rPr>
              <w:t>PART II</w:t>
            </w:r>
          </w:p>
        </w:tc>
        <w:tc>
          <w:tcPr>
            <w:tcW w:w="84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40" w:type="dxa"/>
            <w:vAlign w:val="bottom"/>
          </w:tcPr>
          <w:p>
            <w:pPr>
              <w:ind w:left="160"/>
              <w:spacing w:after="0" w:line="201" w:lineRule="exact"/>
              <w:rPr>
                <w:sz w:val="20"/>
                <w:szCs w:val="20"/>
                <w:color w:val="auto"/>
              </w:rPr>
            </w:pPr>
            <w:r>
              <w:rPr>
                <w:rFonts w:ascii="Arial" w:cs="Arial" w:eastAsia="Arial" w:hAnsi="Arial"/>
                <w:sz w:val="18"/>
                <w:szCs w:val="18"/>
                <w:color w:val="auto"/>
              </w:rPr>
              <w:t>Item 5.</w:t>
            </w:r>
          </w:p>
        </w:tc>
        <w:tc>
          <w:tcPr>
            <w:tcW w:w="8480" w:type="dxa"/>
            <w:vAlign w:val="bottom"/>
          </w:tcPr>
          <w:p>
            <w:pPr>
              <w:ind w:left="460"/>
              <w:spacing w:after="0" w:line="201" w:lineRule="exact"/>
              <w:rPr>
                <w:sz w:val="20"/>
                <w:szCs w:val="20"/>
                <w:color w:val="auto"/>
              </w:rPr>
            </w:pPr>
            <w:r>
              <w:rPr>
                <w:rFonts w:ascii="Arial" w:cs="Arial" w:eastAsia="Arial" w:hAnsi="Arial"/>
                <w:sz w:val="18"/>
                <w:szCs w:val="18"/>
                <w:color w:val="auto"/>
                <w:w w:val="98"/>
              </w:rPr>
              <w:t>Market for Registrant’s Common Equity, Related Stockholder Matters, and Issuer Purchases of Equity</w:t>
            </w:r>
          </w:p>
        </w:tc>
        <w:tc>
          <w:tcPr>
            <w:tcW w:w="168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80" w:type="dxa"/>
            <w:vAlign w:val="bottom"/>
          </w:tcPr>
          <w:p>
            <w:pPr>
              <w:ind w:left="460"/>
              <w:spacing w:after="0"/>
              <w:rPr>
                <w:sz w:val="20"/>
                <w:szCs w:val="20"/>
                <w:color w:val="auto"/>
              </w:rPr>
            </w:pPr>
            <w:r>
              <w:rPr>
                <w:rFonts w:ascii="Arial" w:cs="Arial" w:eastAsia="Arial" w:hAnsi="Arial"/>
                <w:sz w:val="18"/>
                <w:szCs w:val="18"/>
                <w:color w:val="auto"/>
              </w:rPr>
              <w:t>Securities</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6.</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Selected Financial Data</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7.</w:t>
            </w:r>
          </w:p>
        </w:tc>
        <w:tc>
          <w:tcPr>
            <w:tcW w:w="8480" w:type="dxa"/>
            <w:vAlign w:val="bottom"/>
          </w:tcPr>
          <w:p>
            <w:pPr>
              <w:ind w:left="4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7A.</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Quantitative and Qualitative Disclosures About Market Risk</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8.</w:t>
            </w:r>
          </w:p>
        </w:tc>
        <w:tc>
          <w:tcPr>
            <w:tcW w:w="8480" w:type="dxa"/>
            <w:vAlign w:val="bottom"/>
          </w:tcPr>
          <w:p>
            <w:pPr>
              <w:ind w:left="460"/>
              <w:spacing w:after="0"/>
              <w:rPr>
                <w:sz w:val="20"/>
                <w:szCs w:val="20"/>
                <w:color w:val="auto"/>
              </w:rPr>
            </w:pPr>
            <w:r>
              <w:rPr>
                <w:rFonts w:ascii="Arial" w:cs="Arial" w:eastAsia="Arial" w:hAnsi="Arial"/>
                <w:sz w:val="18"/>
                <w:szCs w:val="18"/>
                <w:color w:val="auto"/>
              </w:rPr>
              <w:t>Financial Statements and Supplementary Data</w:t>
            </w:r>
          </w:p>
        </w:tc>
        <w:tc>
          <w:tcPr>
            <w:tcW w:w="16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9.</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9A.</w:t>
            </w:r>
          </w:p>
        </w:tc>
        <w:tc>
          <w:tcPr>
            <w:tcW w:w="8480" w:type="dxa"/>
            <w:vAlign w:val="bottom"/>
          </w:tcPr>
          <w:p>
            <w:pPr>
              <w:ind w:left="460"/>
              <w:spacing w:after="0"/>
              <w:rPr>
                <w:sz w:val="20"/>
                <w:szCs w:val="20"/>
                <w:color w:val="auto"/>
              </w:rPr>
            </w:pPr>
            <w:r>
              <w:rPr>
                <w:rFonts w:ascii="Arial" w:cs="Arial" w:eastAsia="Arial" w:hAnsi="Arial"/>
                <w:sz w:val="18"/>
                <w:szCs w:val="18"/>
                <w:color w:val="auto"/>
              </w:rPr>
              <w:t>Controls and Procedures</w:t>
            </w:r>
          </w:p>
        </w:tc>
        <w:tc>
          <w:tcPr>
            <w:tcW w:w="168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9B.</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Other Information</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8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EEEEEE"/>
          </w:tcPr>
          <w:p>
            <w:pPr>
              <w:spacing w:after="0"/>
              <w:rPr>
                <w:sz w:val="20"/>
                <w:szCs w:val="20"/>
                <w:color w:val="auto"/>
              </w:rPr>
            </w:pPr>
            <w:r>
              <w:rPr>
                <w:rFonts w:ascii="Arial" w:cs="Arial" w:eastAsia="Arial" w:hAnsi="Arial"/>
                <w:sz w:val="18"/>
                <w:szCs w:val="18"/>
                <w:color w:val="auto"/>
              </w:rPr>
              <w:t>PART III</w:t>
            </w:r>
          </w:p>
        </w:tc>
        <w:tc>
          <w:tcPr>
            <w:tcW w:w="84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10.</w:t>
            </w:r>
          </w:p>
        </w:tc>
        <w:tc>
          <w:tcPr>
            <w:tcW w:w="8480" w:type="dxa"/>
            <w:vAlign w:val="bottom"/>
          </w:tcPr>
          <w:p>
            <w:pPr>
              <w:ind w:left="460"/>
              <w:spacing w:after="0"/>
              <w:rPr>
                <w:sz w:val="20"/>
                <w:szCs w:val="20"/>
                <w:color w:val="auto"/>
              </w:rPr>
            </w:pPr>
            <w:r>
              <w:rPr>
                <w:rFonts w:ascii="Arial" w:cs="Arial" w:eastAsia="Arial" w:hAnsi="Arial"/>
                <w:sz w:val="18"/>
                <w:szCs w:val="18"/>
                <w:color w:val="auto"/>
              </w:rPr>
              <w:t>Directors, Executive Officers and Corporate Governance</w:t>
            </w: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11.</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Executive Compensation</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12.</w:t>
            </w:r>
          </w:p>
        </w:tc>
        <w:tc>
          <w:tcPr>
            <w:tcW w:w="8480" w:type="dxa"/>
            <w:vAlign w:val="bottom"/>
          </w:tcPr>
          <w:p>
            <w:pPr>
              <w:ind w:left="460"/>
              <w:spacing w:after="0"/>
              <w:rPr>
                <w:sz w:val="20"/>
                <w:szCs w:val="20"/>
                <w:color w:val="auto"/>
              </w:rPr>
            </w:pPr>
            <w:r>
              <w:rPr>
                <w:rFonts w:ascii="Arial" w:cs="Arial" w:eastAsia="Arial" w:hAnsi="Arial"/>
                <w:sz w:val="18"/>
                <w:szCs w:val="18"/>
                <w:color w:val="auto"/>
                <w:w w:val="99"/>
              </w:rPr>
              <w:t>Security Ownership of Certain Beneficial Owners and Management and Related Stockholder Matters</w:t>
            </w: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13.</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160"/>
              <w:spacing w:after="0"/>
              <w:rPr>
                <w:sz w:val="20"/>
                <w:szCs w:val="20"/>
                <w:color w:val="auto"/>
              </w:rPr>
            </w:pPr>
            <w:r>
              <w:rPr>
                <w:rFonts w:ascii="Arial" w:cs="Arial" w:eastAsia="Arial" w:hAnsi="Arial"/>
                <w:sz w:val="18"/>
                <w:szCs w:val="18"/>
                <w:color w:val="auto"/>
              </w:rPr>
              <w:t>Item 14.</w:t>
            </w:r>
          </w:p>
        </w:tc>
        <w:tc>
          <w:tcPr>
            <w:tcW w:w="8480" w:type="dxa"/>
            <w:vAlign w:val="bottom"/>
          </w:tcPr>
          <w:p>
            <w:pPr>
              <w:ind w:left="460"/>
              <w:spacing w:after="0"/>
              <w:rPr>
                <w:sz w:val="20"/>
                <w:szCs w:val="20"/>
                <w:color w:val="auto"/>
              </w:rPr>
            </w:pPr>
            <w:r>
              <w:rPr>
                <w:rFonts w:ascii="Arial" w:cs="Arial" w:eastAsia="Arial" w:hAnsi="Arial"/>
                <w:sz w:val="18"/>
                <w:szCs w:val="18"/>
                <w:color w:val="auto"/>
              </w:rPr>
              <w:t>Principal Accountant Fees and Services</w:t>
            </w:r>
          </w:p>
        </w:tc>
        <w:tc>
          <w:tcPr>
            <w:tcW w:w="16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848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PART IV</w:t>
            </w:r>
          </w:p>
        </w:tc>
        <w:tc>
          <w:tcPr>
            <w:tcW w:w="8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Item 15.</w:t>
            </w:r>
          </w:p>
        </w:tc>
        <w:tc>
          <w:tcPr>
            <w:tcW w:w="8480" w:type="dxa"/>
            <w:vAlign w:val="bottom"/>
            <w:shd w:val="clear" w:color="auto" w:fill="EEEEEE"/>
          </w:tcPr>
          <w:p>
            <w:pPr>
              <w:ind w:left="460"/>
              <w:spacing w:after="0"/>
              <w:rPr>
                <w:sz w:val="20"/>
                <w:szCs w:val="20"/>
                <w:color w:val="auto"/>
              </w:rPr>
            </w:pPr>
            <w:r>
              <w:rPr>
                <w:rFonts w:ascii="Arial" w:cs="Arial" w:eastAsia="Arial" w:hAnsi="Arial"/>
                <w:sz w:val="18"/>
                <w:szCs w:val="18"/>
                <w:color w:val="auto"/>
              </w:rPr>
              <w:t>Exhibits, Financial Statement Schedules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(iii) directly originated an immaterial amount of vehicle purchase money loans by lending money directly to consumers, and (iv) directly originated an immaterial amount of loans secured by automobiles owned by consumers. In this report, we refer to all of such contracts and loans as "automobile contracts."</w:t>
      </w:r>
    </w:p>
    <w:p>
      <w:pPr>
        <w:spacing w:after="0" w:line="19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were incorporated and began our operations in March 1991. We consist of Consumer Portfolio Services, Inc. and subsidiaries (collectively, “we,” “us,” “CPS” or “the Company”). From inception through December 31, 2013, we have purchased a total of approximately $10.4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From 2008 through 2010, our managed portfolio decreased each year due to our strategy of limiting contract purchases to conserve our liquidity during the financial crisis and resulting recession, as discussed further below. However, since October 2009, we have gradually increased contract purchases, which, in turn, has resulted in increases in our managed portfolio. Contract purchase volumes and managed portfolio levels for the five years ended December 31, 2013 are shown in the table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80" w:type="dxa"/>
            <w:vAlign w:val="bottom"/>
            <w:gridSpan w:val="5"/>
          </w:tcPr>
          <w:p>
            <w:pPr>
              <w:ind w:left="124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Managed Portfolio at Period</w:t>
            </w:r>
          </w:p>
        </w:tc>
        <w:tc>
          <w:tcPr>
            <w:tcW w:w="160" w:type="dxa"/>
            <w:vAlign w:val="bottom"/>
          </w:tcPr>
          <w:p>
            <w:pPr>
              <w:spacing w:after="0"/>
              <w:rPr>
                <w:sz w:val="16"/>
                <w:szCs w:val="16"/>
                <w:color w:val="auto"/>
              </w:rPr>
            </w:pPr>
          </w:p>
        </w:tc>
      </w:tr>
      <w:tr>
        <w:trPr>
          <w:trHeight w:val="234"/>
        </w:trPr>
        <w:tc>
          <w:tcPr>
            <w:tcW w:w="2300" w:type="dxa"/>
            <w:vAlign w:val="bottom"/>
            <w:gridSpan w:val="2"/>
          </w:tcPr>
          <w:p>
            <w:pPr>
              <w:ind w:left="800"/>
              <w:spacing w:after="0"/>
              <w:rPr>
                <w:sz w:val="20"/>
                <w:szCs w:val="20"/>
                <w:color w:val="auto"/>
              </w:rPr>
            </w:pPr>
            <w:r>
              <w:rPr>
                <w:rFonts w:ascii="Arial" w:cs="Arial" w:eastAsia="Arial" w:hAnsi="Arial"/>
                <w:sz w:val="18"/>
                <w:szCs w:val="18"/>
                <w:b w:val="1"/>
                <w:bCs w:val="1"/>
                <w:color w:val="auto"/>
              </w:rPr>
              <w:t>Year</w:t>
            </w:r>
          </w:p>
        </w:tc>
        <w:tc>
          <w:tcPr>
            <w:tcW w:w="30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1"/>
              </w:rPr>
              <w:t>Contracts Purchased in Period</w:t>
            </w:r>
          </w:p>
        </w:tc>
        <w:tc>
          <w:tcPr>
            <w:tcW w:w="120" w:type="dxa"/>
            <w:vAlign w:val="bottom"/>
          </w:tcPr>
          <w:p>
            <w:pPr>
              <w:spacing w:after="0"/>
              <w:rPr>
                <w:sz w:val="20"/>
                <w:szCs w:val="20"/>
                <w:color w:val="auto"/>
              </w:rPr>
            </w:pPr>
          </w:p>
        </w:tc>
        <w:tc>
          <w:tcPr>
            <w:tcW w:w="2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End</w:t>
            </w:r>
          </w:p>
        </w:tc>
      </w:tr>
      <w:tr>
        <w:trPr>
          <w:trHeight w:val="210"/>
        </w:trPr>
        <w:tc>
          <w:tcPr>
            <w:tcW w:w="1960" w:type="dxa"/>
            <w:vAlign w:val="bottom"/>
            <w:tcBorders>
              <w:top w:val="single" w:sz="8" w:color="auto"/>
            </w:tcBorders>
            <w:shd w:val="clear" w:color="auto" w:fill="EEEEEE"/>
          </w:tcPr>
          <w:p>
            <w:pPr>
              <w:jc w:val="right"/>
              <w:ind w:right="650"/>
              <w:spacing w:after="0"/>
              <w:rPr>
                <w:sz w:val="20"/>
                <w:szCs w:val="20"/>
                <w:color w:val="auto"/>
              </w:rPr>
            </w:pPr>
            <w:r>
              <w:rPr>
                <w:rFonts w:ascii="Arial" w:cs="Arial" w:eastAsia="Arial" w:hAnsi="Arial"/>
                <w:sz w:val="18"/>
                <w:szCs w:val="18"/>
                <w:color w:val="333333"/>
              </w:rPr>
              <w:t>2008</w:t>
            </w:r>
          </w:p>
        </w:tc>
        <w:tc>
          <w:tcPr>
            <w:tcW w:w="3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5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2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60" w:type="dxa"/>
            <w:vAlign w:val="bottom"/>
            <w:tcBorders>
              <w:top w:val="single" w:sz="8" w:color="EEEEEE"/>
            </w:tcBorders>
            <w:shd w:val="clear" w:color="auto" w:fill="EEEEEE"/>
          </w:tcPr>
          <w:p>
            <w:pPr>
              <w:spacing w:after="0"/>
              <w:rPr>
                <w:sz w:val="18"/>
                <w:szCs w:val="18"/>
                <w:color w:val="auto"/>
              </w:rPr>
            </w:pPr>
          </w:p>
        </w:tc>
      </w:tr>
      <w:tr>
        <w:trPr>
          <w:trHeight w:val="216"/>
        </w:trPr>
        <w:tc>
          <w:tcPr>
            <w:tcW w:w="1960" w:type="dxa"/>
            <w:vAlign w:val="bottom"/>
          </w:tcPr>
          <w:p>
            <w:pPr>
              <w:jc w:val="right"/>
              <w:ind w:right="650"/>
              <w:spacing w:after="0"/>
              <w:rPr>
                <w:sz w:val="20"/>
                <w:szCs w:val="20"/>
                <w:color w:val="auto"/>
              </w:rPr>
            </w:pPr>
            <w:r>
              <w:rPr>
                <w:rFonts w:ascii="Arial" w:cs="Arial" w:eastAsia="Arial" w:hAnsi="Arial"/>
                <w:sz w:val="18"/>
                <w:szCs w:val="18"/>
                <w:color w:val="333333"/>
              </w:rPr>
              <w:t>2009</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8,599</w:t>
            </w:r>
          </w:p>
        </w:tc>
        <w:tc>
          <w:tcPr>
            <w:tcW w:w="12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1,194,722</w:t>
            </w:r>
          </w:p>
        </w:tc>
        <w:tc>
          <w:tcPr>
            <w:tcW w:w="160" w:type="dxa"/>
            <w:vAlign w:val="bottom"/>
          </w:tcPr>
          <w:p>
            <w:pPr>
              <w:spacing w:after="0"/>
              <w:rPr>
                <w:sz w:val="18"/>
                <w:szCs w:val="18"/>
                <w:color w:val="auto"/>
              </w:rPr>
            </w:pPr>
          </w:p>
        </w:tc>
      </w:tr>
      <w:tr>
        <w:trPr>
          <w:trHeight w:val="216"/>
        </w:trPr>
        <w:tc>
          <w:tcPr>
            <w:tcW w:w="196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333333"/>
              </w:rPr>
              <w:t>2010</w:t>
            </w: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113,023</w:t>
            </w:r>
          </w:p>
        </w:tc>
        <w:tc>
          <w:tcPr>
            <w:tcW w:w="120" w:type="dxa"/>
            <w:vAlign w:val="bottom"/>
            <w:shd w:val="clear" w:color="auto" w:fill="EEEEEE"/>
          </w:tcPr>
          <w:p>
            <w:pPr>
              <w:spacing w:after="0"/>
              <w:rPr>
                <w:sz w:val="18"/>
                <w:szCs w:val="18"/>
                <w:color w:val="auto"/>
              </w:rPr>
            </w:pPr>
          </w:p>
        </w:tc>
        <w:tc>
          <w:tcPr>
            <w:tcW w:w="2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756,203</w:t>
            </w:r>
          </w:p>
        </w:tc>
      </w:tr>
      <w:tr>
        <w:trPr>
          <w:trHeight w:val="216"/>
        </w:trPr>
        <w:tc>
          <w:tcPr>
            <w:tcW w:w="1960" w:type="dxa"/>
            <w:vAlign w:val="bottom"/>
          </w:tcPr>
          <w:p>
            <w:pPr>
              <w:jc w:val="right"/>
              <w:ind w:right="650"/>
              <w:spacing w:after="0"/>
              <w:rPr>
                <w:sz w:val="20"/>
                <w:szCs w:val="20"/>
                <w:color w:val="auto"/>
              </w:rPr>
            </w:pPr>
            <w:r>
              <w:rPr>
                <w:rFonts w:ascii="Arial" w:cs="Arial" w:eastAsia="Arial" w:hAnsi="Arial"/>
                <w:sz w:val="18"/>
                <w:szCs w:val="18"/>
                <w:color w:val="333333"/>
              </w:rPr>
              <w:t>2011</w:t>
            </w: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284,236</w:t>
            </w:r>
          </w:p>
        </w:tc>
        <w:tc>
          <w:tcPr>
            <w:tcW w:w="120" w:type="dxa"/>
            <w:vAlign w:val="bottom"/>
          </w:tcPr>
          <w:p>
            <w:pPr>
              <w:spacing w:after="0"/>
              <w:rPr>
                <w:sz w:val="18"/>
                <w:szCs w:val="18"/>
                <w:color w:val="auto"/>
              </w:rPr>
            </w:pPr>
          </w:p>
        </w:tc>
        <w:tc>
          <w:tcPr>
            <w:tcW w:w="2560" w:type="dxa"/>
            <w:vAlign w:val="bottom"/>
            <w:gridSpan w:val="2"/>
          </w:tcPr>
          <w:p>
            <w:pPr>
              <w:jc w:val="right"/>
              <w:ind w:right="160"/>
              <w:spacing w:after="0"/>
              <w:rPr>
                <w:sz w:val="20"/>
                <w:szCs w:val="20"/>
                <w:color w:val="auto"/>
              </w:rPr>
            </w:pPr>
            <w:r>
              <w:rPr>
                <w:rFonts w:ascii="Arial" w:cs="Arial" w:eastAsia="Arial" w:hAnsi="Arial"/>
                <w:sz w:val="18"/>
                <w:szCs w:val="18"/>
                <w:color w:val="auto"/>
              </w:rPr>
              <w:t>794,649</w:t>
            </w:r>
          </w:p>
        </w:tc>
      </w:tr>
      <w:tr>
        <w:trPr>
          <w:trHeight w:val="216"/>
        </w:trPr>
        <w:tc>
          <w:tcPr>
            <w:tcW w:w="196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333333"/>
              </w:rPr>
              <w:t>2012</w:t>
            </w:r>
          </w:p>
        </w:tc>
        <w:tc>
          <w:tcPr>
            <w:tcW w:w="3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0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551,742</w:t>
            </w:r>
          </w:p>
        </w:tc>
        <w:tc>
          <w:tcPr>
            <w:tcW w:w="120" w:type="dxa"/>
            <w:vAlign w:val="bottom"/>
            <w:shd w:val="clear" w:color="auto" w:fill="EEEEEE"/>
          </w:tcPr>
          <w:p>
            <w:pPr>
              <w:spacing w:after="0"/>
              <w:rPr>
                <w:sz w:val="18"/>
                <w:szCs w:val="18"/>
                <w:color w:val="auto"/>
              </w:rPr>
            </w:pPr>
          </w:p>
        </w:tc>
        <w:tc>
          <w:tcPr>
            <w:tcW w:w="2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897,575</w:t>
            </w:r>
          </w:p>
        </w:tc>
      </w:tr>
      <w:tr>
        <w:trPr>
          <w:trHeight w:val="230"/>
        </w:trPr>
        <w:tc>
          <w:tcPr>
            <w:tcW w:w="1960" w:type="dxa"/>
            <w:vAlign w:val="bottom"/>
          </w:tcPr>
          <w:p>
            <w:pPr>
              <w:jc w:val="right"/>
              <w:ind w:right="650"/>
              <w:spacing w:after="0"/>
              <w:rPr>
                <w:sz w:val="20"/>
                <w:szCs w:val="20"/>
                <w:color w:val="auto"/>
              </w:rPr>
            </w:pPr>
            <w:r>
              <w:rPr>
                <w:rFonts w:ascii="Arial" w:cs="Arial" w:eastAsia="Arial" w:hAnsi="Arial"/>
                <w:sz w:val="18"/>
                <w:szCs w:val="18"/>
                <w:color w:val="333333"/>
              </w:rPr>
              <w:t>2013</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0" w:type="dxa"/>
            <w:vAlign w:val="bottom"/>
            <w:gridSpan w:val="2"/>
          </w:tcPr>
          <w:p>
            <w:pPr>
              <w:jc w:val="right"/>
              <w:ind w:right="500"/>
              <w:spacing w:after="0"/>
              <w:rPr>
                <w:sz w:val="20"/>
                <w:szCs w:val="20"/>
                <w:color w:val="auto"/>
              </w:rPr>
            </w:pPr>
            <w:r>
              <w:rPr>
                <w:rFonts w:ascii="Arial" w:cs="Arial" w:eastAsia="Arial" w:hAnsi="Arial"/>
                <w:sz w:val="18"/>
                <w:szCs w:val="18"/>
                <w:color w:val="auto"/>
              </w:rPr>
              <w:t>764,087</w:t>
            </w:r>
          </w:p>
        </w:tc>
        <w:tc>
          <w:tcPr>
            <w:tcW w:w="12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1,231,422</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We are headquartered in Irvine, California, where most operational and administrative functions are centralized. Most credit and underwriting functions are performed in our California headquarters with some credit functions performed in our Florida and Nevada offices. We service our automobile contracts from our California headquarters and from three servicing branches in Virginia, Florida and Illinois.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3" w:name="page4"/>
    <w:bookmarkEnd w:id="3"/>
    <w:p>
      <w:pPr>
        <w:ind w:right="80" w:firstLine="324"/>
        <w:spacing w:after="0" w:line="289" w:lineRule="auto"/>
        <w:rPr>
          <w:sz w:val="20"/>
          <w:szCs w:val="20"/>
          <w:color w:val="auto"/>
        </w:rPr>
      </w:pPr>
      <w:r>
        <w:rPr>
          <w:rFonts w:ascii="Arial" w:cs="Arial" w:eastAsia="Arial" w:hAnsi="Arial"/>
          <w:sz w:val="16"/>
          <w:szCs w:val="16"/>
          <w:color w:val="auto"/>
        </w:rPr>
        <w:t>We direct our marketing efforts primarily to dealers, rather than to consumers. We establish relationships with dealers through our employee marketing representatives, who contact prospective dealers to explain our automobile contract purchase programs, and thereafter provide dealer training and support services. Our marketing representatives represent us exclusively. They may be located either in our Irvine headquarters or in the field, in which case they work from their homes and support dealers in their geographic area. Our marketing representatives present dealers with a marketing package, which includes our promotional material containing the terms offered by us for the purchase of automobile contracts, a copy of our standard-form dealer agreement, and required documentation relating to automobile contracts. As of December 31, 2013, we had 95 marketing representatives and we were actively receiving applications from 16,128 dealers in 48 states. As of December 31, 2013, approximately 66% of our active dealers were franchised new car dealers that sell both new and used vehicles, and the remainder were independent used car dealers. For the years ended December 31, 2013 and 2012, approximately 91% of the automobile contracts purchased under our programs consisted of financing for used cars and 9% consisted of financing for new cars.</w:t>
      </w:r>
    </w:p>
    <w:p>
      <w:pPr>
        <w:spacing w:after="0" w:line="167"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 Depending on the structure of the securitization, the transaction may be treated for financial accounting purposes as a sale of the contracts or as a secured financing.</w:t>
      </w:r>
    </w:p>
    <w:p>
      <w:pPr>
        <w:spacing w:after="0" w:line="187"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We depend upon the availability of short-term warehouse credit facilities and access to long-term financing through the issuance of asset-backed securities collateralized by our automobile contracts. Since 1994, we have completed 61 term securitizations of approximately $8.5 billion in contracts. From July 2003 through April 2008 all of our securitizations were structured as secured financings. The second of our two securitization transactions in 2008 (completed in September 2008) was in substance a sale of the related contracts, and was treated as a sale for financial accounting purposes. The remaining receivables from that September 2008 securitization were re-securitized in September 2010 in a structure that maintained sale treatment for accounting purposes. In 2011, we completed three securitizations of approximately $335.6 million in newly originated contracts. During 2012 we completed four securitizations of approximately $603.5 million in contracts, including $58.2 million in contracts that were repurchased from 2006 and 2007 securitizations in 2012. In 2013 we completed four securitizations of approximately $778.0 million in contracts. All of our 12 securitizations from and after September 2010 have been structured as secured financings.</w:t>
      </w:r>
    </w:p>
    <w:p>
      <w:pPr>
        <w:spacing w:after="0" w:line="18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 adverse changes that took place in the market from the fourth quarter of 2007 through the end of 2009 caused us to conserve liquidity by significantly reducing our purchases of automobile contracts. However, since October 2009 we have established new funding facilities and gradually increased our contract purchases. In September 2010 we took advantage of the improvement in the market for asset-backed securities by re-securitizing the remaining underlying receivables from our unrated September 2008 securitization. The September 2010 transaction was our first rated term securitization since 1993 that did not utilize a financial guaranty. Similarly, from that point forward, all of our securitizations have been structured without financial guarantees. Since February 2011, we have maintained two $100 million warehouse credit facilities with aggregate funding capacity of $200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Sub-Prime Auto Finance Industry</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Automobile financing is the second largest consumer finance market in the United States. The automobile finance industry can be divided into two principal segments: a prime credit market and a sub-prime credit market. Traditional automobile finance companies, such as commercial banks, savings institutions, credit unions and captive finance companies of automobile manufacturers, generally lend to the most creditworthy, or so-called prime, borrowers. The sub-prime automobile credit market, in which we operate, provides financing to less creditworthy borrowers, at higher interest rates.</w:t>
      </w:r>
    </w:p>
    <w:p>
      <w:pPr>
        <w:spacing w:after="0" w:line="15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Historically, traditional lenders have not served the sub-prime market or have done so through programs that were not consistently available. Independent companies specializing in sub-prime automobile financing and subsidiaries of larger financial services companies currently compete in this segment of the automobile finance market, which we believe remains highly fragmented, with no single company having a dominant position in the market.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 w:name="page5"/>
    <w:bookmarkEnd w:id="4"/>
    <w:p>
      <w:pPr>
        <w:ind w:right="120" w:firstLine="324"/>
        <w:spacing w:after="0" w:line="270" w:lineRule="auto"/>
        <w:rPr>
          <w:sz w:val="20"/>
          <w:szCs w:val="20"/>
          <w:color w:val="auto"/>
        </w:rPr>
      </w:pPr>
      <w:r>
        <w:rPr>
          <w:rFonts w:ascii="Arial" w:cs="Arial" w:eastAsia="Arial" w:hAnsi="Arial"/>
          <w:sz w:val="17"/>
          <w:szCs w:val="17"/>
          <w:color w:val="auto"/>
        </w:rPr>
        <w:t>Recent past economic conditions have negatively affected many aspects of our industry. First, as stated above, throughout 2008 and 2009 there was reduced demand for asset-backed securities secured by consumer finance receivables, including sub-prime automobile receivables. Second, lenders who previously provided short-term warehouse financing for sub-prime automobile finance companies such as ours were reluctant to provide such short-term financing due to the uncertainty regarding the prospects of obtaining long-term financing through the issuance of asset-backed securities. In addition, many capital market participants such as investment banks, financial guaranty providers and institutional investors who previously played a role in the sub-prime auto finance industry withdrew from the industry, or in some cases, ceased to do business. Finally, broad economic weakness and high levels of unemployment during 2008, 2009 and thereafter made many of the obligors under our receivables less willing or able to pay, resulting in higher delinquencies, charge-offs and losses. Each of these factors has adversely affected our results of operations. However, as stated above, since October 2009, improvements in the capital markets have allowed us to obtain new short-term credit facilities, and to regularly access long-term funding as demonstrated by the 12 rated term securitizations we have completed since September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Operations</w:t>
      </w:r>
    </w:p>
    <w:p>
      <w:pPr>
        <w:spacing w:after="0" w:line="225"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Our automobile financing programs are designed to serve sub-prime customers, who generally have limited credit histories, low incomes or past credit problems. Because we serve customers who are unable to meet certain credit standards, we incur greater risks, and generally receive interest rates higher than those charged in the prime credit market. We also sustain a higher level of credit losses because of the higher risk customers we serve.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Originations</w:t>
      </w:r>
    </w:p>
    <w:p>
      <w:pPr>
        <w:spacing w:after="0" w:line="225"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When a retail automobile buyer elects to obtain financing from a dealer, the dealer takes a credit application to submit to its financing sources. Typically, a dealer will submit the buyer's application to more than one financing source for review. We believe the dealer’s decision to choose a financing source is based primarily on: (i) the monthly payment made available to the dealer's customer; (ii) the purchase price offered to the dealer for the contract; (iii) the timeliness, consistency and predictability of response; (iv) funding turnaround time; (v) any conditions to purchase; and (vi) the financial stability of the financing source. Dealers can send credit applications to us by entering the necessary data on our website or through one of several third-party application aggregators. For the year ended December 31, 2013, we received approximately 78% of all applications through DealerTrack (the industry leading dealership application aggregator), 5% via our website and 17% via other aggregators. Our automated application decisioning system produced our initial decision within minutes on approximately 99% of those applications.</w:t>
      </w:r>
    </w:p>
    <w:p>
      <w:pPr>
        <w:spacing w:after="0" w:line="17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Upon receipt of information from a dealer, we immediately order a credit report to document the buyer's credit history. If, upon review by our proprietary automated decisioning system, or in some cases, one of our credit analysts, we determine that the automobile contract meets our underwriting criteria, or would meet such criteria with modification, we request and review further information and, ultimately, decide whether to approve the automobile contract for purchase.</w:t>
      </w:r>
    </w:p>
    <w:p>
      <w:pPr>
        <w:spacing w:after="0" w:line="187"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Dealers with which we do business are under no obligation to submit any automobile contracts to us, nor are we obligated to purchase any automobile contracts from them. During the year ended December 31, 2013, no dealer accounted for more than 0.90% of the total number of automobile contracts we purchased. The following table sets forth the geographical sources of the automobile contracts we purchased (based on the addresses of the customers as stated on our records) during the years ended December 31, 2013 and 2012.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8"/>
                <w:szCs w:val="18"/>
                <w:b w:val="1"/>
                <w:bCs w:val="1"/>
                <w:color w:val="auto"/>
                <w:w w:val="90"/>
              </w:rPr>
              <w:t>Contracts Purchased During the Year Ended</w:t>
            </w:r>
          </w:p>
        </w:tc>
        <w:tc>
          <w:tcPr>
            <w:tcW w:w="1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00" w:type="dxa"/>
            <w:vAlign w:val="bottom"/>
          </w:tcPr>
          <w:p>
            <w:pPr>
              <w:spacing w:after="0"/>
              <w:rPr>
                <w:sz w:val="19"/>
                <w:szCs w:val="19"/>
                <w:color w:val="auto"/>
              </w:rPr>
            </w:pPr>
          </w:p>
        </w:tc>
        <w:tc>
          <w:tcPr>
            <w:tcW w:w="3920" w:type="dxa"/>
            <w:vAlign w:val="bottom"/>
            <w:gridSpan w:val="4"/>
          </w:tcPr>
          <w:p>
            <w:pPr>
              <w:jc w:val="right"/>
              <w:ind w:right="1420"/>
              <w:spacing w:after="0"/>
              <w:rPr>
                <w:sz w:val="20"/>
                <w:szCs w:val="20"/>
                <w:color w:val="auto"/>
              </w:rPr>
            </w:pPr>
            <w:r>
              <w:rPr>
                <w:rFonts w:ascii="Arial" w:cs="Arial" w:eastAsia="Arial" w:hAnsi="Arial"/>
                <w:sz w:val="18"/>
                <w:szCs w:val="18"/>
                <w:b w:val="1"/>
                <w:bCs w:val="1"/>
                <w:color w:val="auto"/>
              </w:rPr>
              <w:t>December 31, 2013</w:t>
            </w:r>
          </w:p>
        </w:tc>
        <w:tc>
          <w:tcPr>
            <w:tcW w:w="350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gridSpan w:val="2"/>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960" w:type="dxa"/>
            <w:vAlign w:val="bottom"/>
            <w:tcBorders>
              <w:top w:val="single" w:sz="8" w:color="auto"/>
            </w:tcBorders>
            <w:gridSpan w:val="2"/>
          </w:tcPr>
          <w:p>
            <w:pPr>
              <w:jc w:val="right"/>
              <w:ind w:right="840"/>
              <w:spacing w:after="0"/>
              <w:rPr>
                <w:sz w:val="20"/>
                <w:szCs w:val="20"/>
                <w:color w:val="auto"/>
              </w:rPr>
            </w:pPr>
            <w:r>
              <w:rPr>
                <w:rFonts w:ascii="Arial" w:cs="Arial" w:eastAsia="Arial" w:hAnsi="Arial"/>
                <w:sz w:val="18"/>
                <w:szCs w:val="18"/>
                <w:b w:val="1"/>
                <w:bCs w:val="1"/>
                <w:color w:val="auto"/>
              </w:rPr>
              <w:t>Number</w:t>
            </w:r>
          </w:p>
        </w:tc>
        <w:tc>
          <w:tcPr>
            <w:tcW w:w="1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Percent (1)</w:t>
            </w:r>
          </w:p>
        </w:tc>
        <w:tc>
          <w:tcPr>
            <w:tcW w:w="360" w:type="dxa"/>
            <w:vAlign w:val="bottom"/>
          </w:tcPr>
          <w:p>
            <w:pPr>
              <w:spacing w:after="0"/>
              <w:rPr>
                <w:sz w:val="19"/>
                <w:szCs w:val="19"/>
                <w:color w:val="auto"/>
              </w:rPr>
            </w:pPr>
          </w:p>
        </w:tc>
        <w:tc>
          <w:tcPr>
            <w:tcW w:w="1920" w:type="dxa"/>
            <w:vAlign w:val="bottom"/>
            <w:tcBorders>
              <w:top w:val="single" w:sz="8" w:color="auto"/>
            </w:tcBorders>
            <w:gridSpan w:val="2"/>
          </w:tcPr>
          <w:p>
            <w:pPr>
              <w:jc w:val="right"/>
              <w:ind w:right="800"/>
              <w:spacing w:after="0"/>
              <w:rPr>
                <w:sz w:val="20"/>
                <w:szCs w:val="20"/>
                <w:color w:val="auto"/>
              </w:rPr>
            </w:pPr>
            <w:r>
              <w:rPr>
                <w:rFonts w:ascii="Arial" w:cs="Arial" w:eastAsia="Arial" w:hAnsi="Arial"/>
                <w:sz w:val="18"/>
                <w:szCs w:val="18"/>
                <w:b w:val="1"/>
                <w:bCs w:val="1"/>
                <w:color w:val="auto"/>
              </w:rPr>
              <w:t>Number</w:t>
            </w:r>
          </w:p>
        </w:tc>
        <w:tc>
          <w:tcPr>
            <w:tcW w:w="15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Percent (1)</w:t>
            </w:r>
          </w:p>
        </w:tc>
        <w:tc>
          <w:tcPr>
            <w:tcW w:w="100" w:type="dxa"/>
            <w:vAlign w:val="bottom"/>
            <w:gridSpan w:val="2"/>
          </w:tcPr>
          <w:p>
            <w:pPr>
              <w:spacing w:after="0"/>
              <w:rPr>
                <w:sz w:val="19"/>
                <w:szCs w:val="19"/>
                <w:color w:val="auto"/>
              </w:rPr>
            </w:pP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333333"/>
              </w:rPr>
              <w:t>California</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5,175</w:t>
            </w:r>
          </w:p>
        </w:tc>
        <w:tc>
          <w:tcPr>
            <w:tcW w:w="36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4,868</w:t>
            </w:r>
          </w:p>
        </w:tc>
        <w:tc>
          <w:tcPr>
            <w:tcW w:w="3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333333"/>
              </w:rPr>
              <w:t>Texas</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4,910</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3,424</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333333"/>
              </w:rPr>
              <w:t>Pennsylvania</w:t>
            </w: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2,962</w:t>
            </w: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w:t>
            </w:r>
          </w:p>
        </w:tc>
        <w:tc>
          <w:tcPr>
            <w:tcW w:w="1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3,324</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333333"/>
              </w:rPr>
              <w:t>Illinois</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2,536</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5.2%</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1,542</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333333"/>
              </w:rPr>
              <w:t>Georgia</w:t>
            </w: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2,503</w:t>
            </w: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5.1%</w:t>
            </w:r>
          </w:p>
        </w:tc>
        <w:tc>
          <w:tcPr>
            <w:tcW w:w="1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1,791</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w:t>
            </w:r>
          </w:p>
        </w:tc>
        <w:tc>
          <w:tcPr>
            <w:tcW w:w="80" w:type="dxa"/>
            <w:vAlign w:val="bottom"/>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333333"/>
              </w:rPr>
              <w:t>New Jersey</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2,479</w:t>
            </w: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1,460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333333"/>
              </w:rPr>
              <w:t>Other States</w:t>
            </w: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28,430</w:t>
            </w:r>
          </w:p>
        </w:tc>
        <w:tc>
          <w:tcPr>
            <w:tcW w:w="1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58.0%</w:t>
            </w:r>
          </w:p>
        </w:tc>
        <w:tc>
          <w:tcPr>
            <w:tcW w:w="1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19,621</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EEEEEE"/>
          </w:tcPr>
          <w:p>
            <w:pPr>
              <w:spacing w:after="0"/>
              <w:rPr>
                <w:sz w:val="19"/>
                <w:szCs w:val="19"/>
                <w:color w:val="auto"/>
              </w:rPr>
            </w:pPr>
          </w:p>
        </w:tc>
      </w:tr>
      <w:tr>
        <w:trPr>
          <w:trHeight w:val="223"/>
        </w:trPr>
        <w:tc>
          <w:tcPr>
            <w:tcW w:w="3900" w:type="dxa"/>
            <w:vAlign w:val="bottom"/>
          </w:tcPr>
          <w:p>
            <w:pPr>
              <w:ind w:left="1660"/>
              <w:spacing w:after="0"/>
              <w:rPr>
                <w:sz w:val="20"/>
                <w:szCs w:val="20"/>
                <w:color w:val="auto"/>
              </w:rPr>
            </w:pPr>
            <w:r>
              <w:rPr>
                <w:rFonts w:ascii="Arial" w:cs="Arial" w:eastAsia="Arial" w:hAnsi="Arial"/>
                <w:sz w:val="18"/>
                <w:szCs w:val="18"/>
                <w:color w:val="333333"/>
              </w:rPr>
              <w:t>Total</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rPr>
              <w:t>48,995</w:t>
            </w:r>
          </w:p>
        </w:tc>
        <w:tc>
          <w:tcPr>
            <w:tcW w:w="3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333333"/>
              </w:rPr>
              <w:t>36,030</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The following table sets forth the geographic concentrations of our outstanding managed portfolio as of December 31, 2013 and 2012.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60" w:type="dxa"/>
            <w:vAlign w:val="bottom"/>
            <w:gridSpan w:val="4"/>
          </w:tcPr>
          <w:p>
            <w:pPr>
              <w:jc w:val="right"/>
              <w:ind w:right="1240"/>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gridSpan w:val="4"/>
          </w:tcPr>
          <w:p>
            <w:pPr>
              <w:ind w:left="620"/>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23"/>
        </w:trPr>
        <w:tc>
          <w:tcPr>
            <w:tcW w:w="3900" w:type="dxa"/>
            <w:vAlign w:val="bottom"/>
            <w:tcBorders>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gridSpan w:val="2"/>
          </w:tcPr>
          <w:p>
            <w:pPr>
              <w:jc w:val="right"/>
              <w:ind w:right="960"/>
              <w:spacing w:after="0"/>
              <w:rPr>
                <w:sz w:val="20"/>
                <w:szCs w:val="20"/>
                <w:color w:val="auto"/>
              </w:rPr>
            </w:pPr>
            <w:r>
              <w:rPr>
                <w:rFonts w:ascii="Arial" w:cs="Arial" w:eastAsia="Arial" w:hAnsi="Arial"/>
                <w:sz w:val="18"/>
                <w:szCs w:val="18"/>
                <w:b w:val="1"/>
                <w:bCs w:val="1"/>
                <w:color w:val="auto"/>
              </w:rPr>
              <w:t>Amount</w:t>
            </w:r>
          </w:p>
        </w:tc>
        <w:tc>
          <w:tcPr>
            <w:tcW w:w="1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Percent (1)</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7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Percent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EEEEEE"/>
          </w:tcPr>
          <w:p>
            <w:pPr>
              <w:ind w:left="540"/>
              <w:spacing w:after="0"/>
              <w:rPr>
                <w:sz w:val="20"/>
                <w:szCs w:val="20"/>
                <w:color w:val="auto"/>
              </w:rPr>
            </w:pPr>
            <w:r>
              <w:rPr>
                <w:rFonts w:ascii="Arial" w:cs="Arial" w:eastAsia="Arial" w:hAnsi="Arial"/>
                <w:sz w:val="18"/>
                <w:szCs w:val="18"/>
                <w:b w:val="1"/>
                <w:bCs w:val="1"/>
                <w:color w:val="auto"/>
              </w:rPr>
              <w:t>State based on obligor's residence</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8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 in millions)</w:t>
            </w: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California</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164.2</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13.3%</w:t>
            </w: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160.4</w:t>
            </w:r>
          </w:p>
        </w:tc>
        <w:tc>
          <w:tcPr>
            <w:tcW w:w="1700" w:type="dxa"/>
            <w:vAlign w:val="bottom"/>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Texas</w:t>
            </w:r>
          </w:p>
        </w:tc>
        <w:tc>
          <w:tcPr>
            <w:tcW w:w="2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123.3</w:t>
            </w: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82.6</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Pennsylvania</w:t>
            </w:r>
          </w:p>
        </w:tc>
        <w:tc>
          <w:tcPr>
            <w:tcW w:w="280" w:type="dxa"/>
            <w:vAlign w:val="bottom"/>
          </w:tcPr>
          <w:p>
            <w:pPr>
              <w:spacing w:after="0"/>
              <w:rPr>
                <w:sz w:val="18"/>
                <w:szCs w:val="18"/>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73.3</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59.5</w:t>
            </w:r>
          </w:p>
        </w:tc>
        <w:tc>
          <w:tcPr>
            <w:tcW w:w="170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Georgia</w:t>
            </w:r>
          </w:p>
        </w:tc>
        <w:tc>
          <w:tcPr>
            <w:tcW w:w="280" w:type="dxa"/>
            <w:vAlign w:val="bottom"/>
            <w:shd w:val="clear" w:color="auto" w:fill="EEEEEE"/>
          </w:tcPr>
          <w:p>
            <w:pPr>
              <w:spacing w:after="0"/>
              <w:rPr>
                <w:sz w:val="18"/>
                <w:szCs w:val="18"/>
                <w:color w:val="auto"/>
              </w:rPr>
            </w:pPr>
          </w:p>
        </w:tc>
        <w:tc>
          <w:tcPr>
            <w:tcW w:w="18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65.8</w:t>
            </w: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42.7</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Florida</w:t>
            </w:r>
          </w:p>
        </w:tc>
        <w:tc>
          <w:tcPr>
            <w:tcW w:w="280" w:type="dxa"/>
            <w:vAlign w:val="bottom"/>
          </w:tcPr>
          <w:p>
            <w:pPr>
              <w:spacing w:after="0"/>
              <w:rPr>
                <w:sz w:val="18"/>
                <w:szCs w:val="18"/>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8"/>
                <w:szCs w:val="18"/>
                <w:color w:val="auto"/>
              </w:rPr>
              <w:t>56.3</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42.8</w:t>
            </w:r>
          </w:p>
        </w:tc>
        <w:tc>
          <w:tcPr>
            <w:tcW w:w="170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All others</w:t>
            </w:r>
          </w:p>
        </w:tc>
        <w:tc>
          <w:tcPr>
            <w:tcW w:w="280" w:type="dxa"/>
            <w:vAlign w:val="bottom"/>
            <w:shd w:val="clear" w:color="auto" w:fill="EEEEEE"/>
          </w:tcPr>
          <w:p>
            <w:pPr>
              <w:spacing w:after="0"/>
              <w:rPr>
                <w:sz w:val="19"/>
                <w:szCs w:val="19"/>
                <w:color w:val="auto"/>
              </w:rPr>
            </w:pPr>
          </w:p>
        </w:tc>
        <w:tc>
          <w:tcPr>
            <w:tcW w:w="180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748.5</w:t>
            </w: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509.6</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EEEEEE"/>
          </w:tcPr>
          <w:p>
            <w:pPr>
              <w:ind w:left="166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1,231.4</w:t>
            </w:r>
          </w:p>
        </w:tc>
        <w:tc>
          <w:tcPr>
            <w:tcW w:w="480" w:type="dxa"/>
            <w:vAlign w:val="bottom"/>
            <w:shd w:val="clear" w:color="auto" w:fill="EEEEEE"/>
          </w:tcPr>
          <w:p>
            <w:pPr>
              <w:spacing w:after="0"/>
              <w:rPr>
                <w:sz w:val="21"/>
                <w:szCs w:val="21"/>
                <w:color w:val="auto"/>
              </w:rPr>
            </w:pPr>
          </w:p>
        </w:tc>
        <w:tc>
          <w:tcPr>
            <w:tcW w:w="16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897.6</w:t>
            </w:r>
          </w:p>
        </w:tc>
        <w:tc>
          <w:tcPr>
            <w:tcW w:w="1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i w:val="1"/>
                <w:iCs w:val="1"/>
                <w:color w:val="auto"/>
              </w:rPr>
              <w:t>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(1) Percentages may not total to 100.0% due to rounding.</w:t>
      </w:r>
    </w:p>
    <w:p>
      <w:pPr>
        <w:spacing w:after="0" w:line="21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purchase automobile contracts from dealers at a price generally computed as the total amount financed under the automobile contracts, adjusted for an acquisition fee, which may either increase or decrease the automobile contract purchase price we pay. The amount of the acquisition fee, and whether it results in an increase or decrease to the automobile contract purchase price, is based on the perceived credit risk of and, in some cases, the interest rate on the automobile contract. The following table summarizes the average net acquisition fees we charged dealers and the weighted average annual percentage rate on our purchased contracts for the periods shown: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Average net acquisition fee amount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836</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1,382</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9"/>
              </w:rPr>
              <w:t>Average net acquisition fee as % of amount financed</w:t>
            </w:r>
          </w:p>
        </w:tc>
        <w:tc>
          <w:tcPr>
            <w:tcW w:w="2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annual percentage interest rate</w:t>
            </w:r>
          </w:p>
        </w:tc>
        <w:tc>
          <w:tcPr>
            <w:tcW w:w="2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20.3%</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20.1%</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believe that levels of acquisition fees are determined partially by competition in the marketplace, which has increased somewhat since 2009, and also by our pricing strategy. Our pricing strategy is driven by our new contract purchase and yield objectives.</w:t>
      </w:r>
    </w:p>
    <w:p>
      <w:pPr>
        <w:spacing w:after="0" w:line="170" w:lineRule="exact"/>
        <w:rPr>
          <w:sz w:val="20"/>
          <w:szCs w:val="20"/>
          <w:color w:val="auto"/>
        </w:rPr>
      </w:pPr>
    </w:p>
    <w:p>
      <w:pPr>
        <w:jc w:val="both"/>
        <w:ind w:right="420" w:firstLine="324"/>
        <w:spacing w:after="0" w:line="277" w:lineRule="auto"/>
        <w:rPr>
          <w:sz w:val="20"/>
          <w:szCs w:val="20"/>
          <w:color w:val="auto"/>
        </w:rPr>
      </w:pPr>
      <w:r>
        <w:rPr>
          <w:rFonts w:ascii="Arial" w:cs="Arial" w:eastAsia="Arial" w:hAnsi="Arial"/>
          <w:sz w:val="18"/>
          <w:szCs w:val="18"/>
          <w:color w:val="auto"/>
        </w:rPr>
        <w:t>We offer seven different financing programs to our dealership customers, and price each program according to the relative credit risk. Our programs cover a wide band of the credit spectrum and are labeled as follows:</w:t>
      </w:r>
    </w:p>
    <w:p>
      <w:pPr>
        <w:spacing w:after="0" w:line="170" w:lineRule="exact"/>
        <w:rPr>
          <w:sz w:val="20"/>
          <w:szCs w:val="20"/>
          <w:color w:val="auto"/>
        </w:rPr>
      </w:pPr>
    </w:p>
    <w:p>
      <w:pPr>
        <w:jc w:val="both"/>
        <w:ind w:right="420" w:firstLine="324"/>
        <w:spacing w:after="0" w:line="286" w:lineRule="auto"/>
        <w:rPr>
          <w:sz w:val="20"/>
          <w:szCs w:val="20"/>
          <w:color w:val="auto"/>
        </w:rPr>
      </w:pPr>
      <w:r>
        <w:rPr>
          <w:rFonts w:ascii="Arial" w:cs="Arial" w:eastAsia="Arial" w:hAnsi="Arial"/>
          <w:sz w:val="17"/>
          <w:szCs w:val="17"/>
          <w:u w:val="single" w:color="auto"/>
          <w:color w:val="auto"/>
        </w:rPr>
        <w:t>First Time Buyer</w:t>
      </w:r>
      <w:r>
        <w:rPr>
          <w:rFonts w:ascii="Arial" w:cs="Arial" w:eastAsia="Arial" w:hAnsi="Arial"/>
          <w:sz w:val="17"/>
          <w:szCs w:val="17"/>
          <w:color w:val="auto"/>
        </w:rPr>
        <w:t xml:space="preserve"> – This program accommodates an applicant who has limited significant past credit history, such as a previous auto loan. Since the applicant has limited credit history, the contract interest rate and dealer acquisition fees tend to be higher, and the loan amount, loan-to-value ratio, down payment and payment-to-income ratio requirements tend to be more restrictive compared to our other programs.</w:t>
      </w:r>
    </w:p>
    <w:p>
      <w:pPr>
        <w:spacing w:after="0" w:line="16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u w:val="single" w:color="auto"/>
          <w:color w:val="auto"/>
        </w:rPr>
        <w:t>Mercury / Delta</w:t>
      </w:r>
      <w:r>
        <w:rPr>
          <w:rFonts w:ascii="Arial" w:cs="Arial" w:eastAsia="Arial" w:hAnsi="Arial"/>
          <w:sz w:val="18"/>
          <w:szCs w:val="18"/>
          <w:color w:val="auto"/>
        </w:rPr>
        <w:t xml:space="preserve"> – This program accommodates an applicant who may have had significant past non-performing credit including recent derogatory credit. As a result, the contract interest rate and dealer acquisition fees tend to be higher, and the loan amount, loan-to-value ratio, down payment, and payment-to-income ratio requirements tend to be more restrictive compared to our other programs.</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 This program accommodates an applicant who may have significant past non-performing credit, but who has also exhibited some performing credit in their history. The contract interest rate and dealer acquisition fees are comparable to the First Time Buyer and Mercury/Delta programs, but the loan amount, loan-to-value ratio and down payment requirements are somewhat less restrictive.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 w:name="page7"/>
    <w:bookmarkEnd w:id="6"/>
    <w:p>
      <w:pPr>
        <w:jc w:val="both"/>
        <w:ind w:right="120" w:firstLine="324"/>
        <w:spacing w:after="0" w:line="286" w:lineRule="auto"/>
        <w:rPr>
          <w:sz w:val="20"/>
          <w:szCs w:val="20"/>
          <w:color w:val="auto"/>
        </w:rPr>
      </w:pPr>
      <w:r>
        <w:rPr>
          <w:rFonts w:ascii="Arial" w:cs="Arial" w:eastAsia="Arial" w:hAnsi="Arial"/>
          <w:sz w:val="17"/>
          <w:szCs w:val="17"/>
          <w:u w:val="single" w:color="auto"/>
          <w:color w:val="auto"/>
        </w:rPr>
        <w:t>Alpha</w:t>
      </w:r>
      <w:r>
        <w:rPr>
          <w:rFonts w:ascii="Arial" w:cs="Arial" w:eastAsia="Arial" w:hAnsi="Arial"/>
          <w:sz w:val="17"/>
          <w:szCs w:val="17"/>
          <w:color w:val="auto"/>
        </w:rPr>
        <w:t xml:space="preserve"> – This program accommodates applicants who may have a discharged bankruptcy, but who have also exhibited performing credit. In addition, the program allows for homeowners who may have had other significant non-performing credit in the past. The contract interest rate and dealer acquisition fees are lower than the Standard program, down payment and payment-to-income ratio requirements are somewhat less restrictive.</w:t>
      </w:r>
    </w:p>
    <w:p>
      <w:pPr>
        <w:spacing w:after="0" w:line="16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u w:val="single" w:color="auto"/>
          <w:color w:val="auto"/>
        </w:rPr>
        <w:t>Alpha Plus</w:t>
      </w:r>
      <w:r>
        <w:rPr>
          <w:rFonts w:ascii="Arial" w:cs="Arial" w:eastAsia="Arial" w:hAnsi="Arial"/>
          <w:sz w:val="18"/>
          <w:szCs w:val="18"/>
          <w:color w:val="auto"/>
        </w:rPr>
        <w:t xml:space="preserve"> – This program accommodates applicants with past non-performing credit, but with a stronger history of recent performing credit, including auto or mortgage related credit, and higher incomes than the Alpha program. Contract interest rates and dealer acquisition fees are lower than the Alpha program.</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u w:val="single" w:color="auto"/>
          <w:color w:val="auto"/>
        </w:rPr>
        <w:t>Super Alpha</w:t>
      </w:r>
      <w:r>
        <w:rPr>
          <w:rFonts w:ascii="Arial" w:cs="Arial" w:eastAsia="Arial" w:hAnsi="Arial"/>
          <w:sz w:val="18"/>
          <w:szCs w:val="18"/>
          <w:color w:val="auto"/>
        </w:rPr>
        <w:t xml:space="preserve"> – This program accommodates applicants with past non-performing credit, but with a somewhat stronger history of recent performing credit, including auto or mortgage related credit, and higher incomes than the Alpha Plus program. Contract interest rates and dealer acquisition fees are lower, and the maximum loan amount is somewhat higher, than the Alpha Plus program.</w:t>
      </w:r>
    </w:p>
    <w:p>
      <w:pPr>
        <w:spacing w:after="0" w:line="181"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u w:val="single" w:color="auto"/>
          <w:color w:val="auto"/>
        </w:rPr>
        <w:t>Preferred</w:t>
      </w:r>
      <w:r>
        <w:rPr>
          <w:rFonts w:ascii="Arial" w:cs="Arial" w:eastAsia="Arial" w:hAnsi="Arial"/>
          <w:sz w:val="16"/>
          <w:szCs w:val="16"/>
          <w:color w:val="auto"/>
        </w:rPr>
        <w:t xml:space="preserve"> - This program accommodates applicants with past non-performing credit, but who demonstrate a somewhat stronger history of recent performing credit than the Super Alpha program. Contract interest rates and dealer acquisition fees are lower than the Super Alpha program.</w:t>
      </w:r>
    </w:p>
    <w:p>
      <w:pPr>
        <w:spacing w:after="0" w:line="124"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Our upper credit tier products, which are our Preferred, Super Alpha, Alpha Plus and Alpha programs, accounted for approximately 74% of our new contract originations in 2013, 72% in 2012 and 77% in 2011, measured by aggregate amount financed.</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identifies the credit program, sorted from highest to lowest credit quality, under which we purchased automobile contracts during the years ended December 31, 2013, 2012 and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8"/>
          </w:tcPr>
          <w:p>
            <w:pPr>
              <w:jc w:val="center"/>
              <w:ind w:left="810"/>
              <w:spacing w:after="0"/>
              <w:rPr>
                <w:sz w:val="20"/>
                <w:szCs w:val="20"/>
                <w:color w:val="auto"/>
              </w:rPr>
            </w:pPr>
            <w:r>
              <w:rPr>
                <w:rFonts w:ascii="Arial" w:cs="Arial" w:eastAsia="Arial" w:hAnsi="Arial"/>
                <w:sz w:val="18"/>
                <w:szCs w:val="18"/>
                <w:b w:val="1"/>
                <w:bCs w:val="1"/>
                <w:color w:val="auto"/>
                <w:w w:val="90"/>
              </w:rPr>
              <w:t>Contracts Purchased During the Year Ended (1)</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December 31, 2013</w:t>
            </w:r>
          </w:p>
        </w:tc>
        <w:tc>
          <w:tcPr>
            <w:tcW w:w="160" w:type="dxa"/>
            <w:vAlign w:val="bottom"/>
          </w:tcPr>
          <w:p>
            <w:pPr>
              <w:spacing w:after="0"/>
              <w:rPr>
                <w:sz w:val="20"/>
                <w:szCs w:val="20"/>
                <w:color w:val="auto"/>
              </w:rPr>
            </w:pPr>
          </w:p>
        </w:tc>
        <w:tc>
          <w:tcPr>
            <w:tcW w:w="278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Pr>
          <w:p>
            <w:pPr>
              <w:spacing w:after="0"/>
              <w:rPr>
                <w:sz w:val="20"/>
                <w:szCs w:val="20"/>
                <w:color w:val="auto"/>
              </w:rPr>
            </w:pPr>
          </w:p>
        </w:tc>
        <w:tc>
          <w:tcPr>
            <w:tcW w:w="2520" w:type="dxa"/>
            <w:vAlign w:val="bottom"/>
            <w:gridSpan w:val="4"/>
          </w:tcPr>
          <w:p>
            <w:pPr>
              <w:ind w:left="400"/>
              <w:spacing w:after="0"/>
              <w:rPr>
                <w:sz w:val="20"/>
                <w:szCs w:val="20"/>
                <w:color w:val="auto"/>
              </w:rPr>
            </w:pPr>
            <w:r>
              <w:rPr>
                <w:rFonts w:ascii="Arial" w:cs="Arial" w:eastAsia="Arial" w:hAnsi="Arial"/>
                <w:sz w:val="18"/>
                <w:szCs w:val="18"/>
                <w:b w:val="1"/>
                <w:bCs w:val="1"/>
                <w:color w:val="auto"/>
              </w:rPr>
              <w:t>December 31, 2011</w:t>
            </w:r>
          </w:p>
        </w:tc>
        <w:tc>
          <w:tcPr>
            <w:tcW w:w="0" w:type="dxa"/>
            <w:vAlign w:val="bottom"/>
          </w:tcPr>
          <w:p>
            <w:pPr>
              <w:spacing w:after="0"/>
              <w:rPr>
                <w:sz w:val="1"/>
                <w:szCs w:val="1"/>
                <w:color w:val="auto"/>
              </w:rPr>
            </w:pPr>
          </w:p>
        </w:tc>
      </w:tr>
      <w:tr>
        <w:trPr>
          <w:trHeight w:val="191"/>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780" w:type="dxa"/>
            <w:vAlign w:val="bottom"/>
            <w:tcBorders>
              <w:top w:val="single" w:sz="8" w:color="auto"/>
            </w:tcBorders>
            <w:gridSpan w:val="4"/>
          </w:tcPr>
          <w:p>
            <w:pPr>
              <w:jc w:val="center"/>
              <w:ind w:right="600"/>
              <w:spacing w:after="0" w:line="191" w:lineRule="exact"/>
              <w:rPr>
                <w:sz w:val="20"/>
                <w:szCs w:val="20"/>
                <w:color w:val="auto"/>
              </w:rPr>
            </w:pPr>
            <w:r>
              <w:rPr>
                <w:rFonts w:ascii="Arial" w:cs="Arial" w:eastAsia="Arial" w:hAnsi="Arial"/>
                <w:sz w:val="18"/>
                <w:szCs w:val="18"/>
                <w:b w:val="1"/>
                <w:bCs w:val="1"/>
                <w:color w:val="auto"/>
                <w:w w:val="88"/>
              </w:rPr>
              <w:t>(dollars in thousands)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Amount</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Financed</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Percent (1)</w:t>
            </w:r>
          </w:p>
        </w:tc>
        <w:tc>
          <w:tcPr>
            <w:tcW w:w="160" w:type="dxa"/>
            <w:vAlign w:val="bottom"/>
          </w:tcPr>
          <w:p>
            <w:pPr>
              <w:spacing w:after="0"/>
              <w:rPr>
                <w:sz w:val="20"/>
                <w:szCs w:val="2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Financed</w:t>
            </w: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 (1)</w:t>
            </w:r>
          </w:p>
        </w:tc>
        <w:tc>
          <w:tcPr>
            <w:tcW w:w="180" w:type="dxa"/>
            <w:vAlign w:val="bottom"/>
          </w:tcPr>
          <w:p>
            <w:pPr>
              <w:spacing w:after="0"/>
              <w:rPr>
                <w:sz w:val="20"/>
                <w:szCs w:val="2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Financed</w:t>
            </w: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Percent (1)</w:t>
            </w:r>
          </w:p>
        </w:tc>
        <w:tc>
          <w:tcPr>
            <w:tcW w:w="0" w:type="dxa"/>
            <w:vAlign w:val="bottom"/>
          </w:tcPr>
          <w:p>
            <w:pPr>
              <w:spacing w:after="0"/>
              <w:rPr>
                <w:sz w:val="1"/>
                <w:szCs w:val="1"/>
                <w:color w:val="auto"/>
              </w:rPr>
            </w:pPr>
          </w:p>
        </w:tc>
      </w:tr>
      <w:tr>
        <w:trPr>
          <w:trHeight w:val="216"/>
        </w:trPr>
        <w:tc>
          <w:tcPr>
            <w:tcW w:w="2000" w:type="dxa"/>
            <w:vAlign w:val="bottom"/>
            <w:shd w:val="clear" w:color="auto" w:fill="EEEEEE"/>
          </w:tcPr>
          <w:p>
            <w:pPr>
              <w:spacing w:after="0"/>
              <w:rPr>
                <w:sz w:val="20"/>
                <w:szCs w:val="20"/>
                <w:color w:val="auto"/>
              </w:rPr>
            </w:pPr>
            <w:r>
              <w:rPr>
                <w:rFonts w:ascii="Arial" w:cs="Arial" w:eastAsia="Arial" w:hAnsi="Arial"/>
                <w:sz w:val="18"/>
                <w:szCs w:val="18"/>
                <w:color w:val="auto"/>
              </w:rPr>
              <w:t>Preferred</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25,135</w:t>
            </w: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19,715</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9,979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Super Alpha</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116,551</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95,303</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52,610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00" w:type="dxa"/>
            <w:vAlign w:val="bottom"/>
            <w:shd w:val="clear" w:color="auto" w:fill="EEEEEE"/>
          </w:tcPr>
          <w:p>
            <w:pPr>
              <w:spacing w:after="0"/>
              <w:rPr>
                <w:sz w:val="20"/>
                <w:szCs w:val="20"/>
                <w:color w:val="auto"/>
              </w:rPr>
            </w:pPr>
            <w:r>
              <w:rPr>
                <w:rFonts w:ascii="Arial" w:cs="Arial" w:eastAsia="Arial" w:hAnsi="Arial"/>
                <w:sz w:val="18"/>
                <w:szCs w:val="18"/>
                <w:color w:val="auto"/>
              </w:rPr>
              <w:t>Alpha Plus</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101,907</w:t>
            </w: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71,172</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40,944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Alpha</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320,558</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213,371</w:t>
            </w:r>
          </w:p>
        </w:tc>
        <w:tc>
          <w:tcPr>
            <w:tcW w:w="32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114,322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00" w:type="dxa"/>
            <w:vAlign w:val="bottom"/>
            <w:shd w:val="clear" w:color="auto" w:fill="EEEEEE"/>
          </w:tcPr>
          <w:p>
            <w:pPr>
              <w:spacing w:after="0"/>
              <w:rPr>
                <w:sz w:val="20"/>
                <w:szCs w:val="20"/>
                <w:color w:val="auto"/>
              </w:rPr>
            </w:pPr>
            <w:r>
              <w:rPr>
                <w:rFonts w:ascii="Arial" w:cs="Arial" w:eastAsia="Arial" w:hAnsi="Arial"/>
                <w:sz w:val="18"/>
                <w:szCs w:val="18"/>
                <w:color w:val="auto"/>
              </w:rPr>
              <w:t>Standard</w:t>
            </w: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78,320</w:t>
            </w: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10.3%</w:t>
            </w:r>
          </w:p>
        </w:tc>
        <w:tc>
          <w:tcPr>
            <w:tcW w:w="1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62,405</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34,508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Mercury / Delta</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66,656</w:t>
            </w: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52,077</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15,578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00" w:type="dxa"/>
            <w:vAlign w:val="bottom"/>
            <w:shd w:val="clear" w:color="auto" w:fill="EEEEEE"/>
          </w:tcPr>
          <w:p>
            <w:pPr>
              <w:spacing w:after="0"/>
              <w:rPr>
                <w:sz w:val="20"/>
                <w:szCs w:val="20"/>
                <w:color w:val="auto"/>
              </w:rPr>
            </w:pPr>
            <w:r>
              <w:rPr>
                <w:rFonts w:ascii="Arial" w:cs="Arial" w:eastAsia="Arial" w:hAnsi="Arial"/>
                <w:sz w:val="18"/>
                <w:szCs w:val="18"/>
                <w:color w:val="auto"/>
              </w:rPr>
              <w:t>First Time Buyer</w:t>
            </w:r>
          </w:p>
        </w:tc>
        <w:tc>
          <w:tcPr>
            <w:tcW w:w="7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54,960</w:t>
            </w:r>
          </w:p>
        </w:tc>
        <w:tc>
          <w:tcPr>
            <w:tcW w:w="15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7.2%</w:t>
            </w:r>
          </w:p>
        </w:tc>
        <w:tc>
          <w:tcPr>
            <w:tcW w:w="1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37,699</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6.8%</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16,295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764,087</w:t>
            </w:r>
          </w:p>
        </w:tc>
        <w:tc>
          <w:tcPr>
            <w:tcW w:w="3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551,742</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284,236</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0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60" w:type="dxa"/>
            <w:vAlign w:val="bottom"/>
            <w:gridSpan w:val="5"/>
          </w:tcPr>
          <w:p>
            <w:pPr>
              <w:spacing w:after="0"/>
              <w:rPr>
                <w:sz w:val="20"/>
                <w:szCs w:val="20"/>
                <w:color w:val="auto"/>
              </w:rPr>
            </w:pPr>
            <w:r>
              <w:rPr>
                <w:rFonts w:ascii="Arial" w:cs="Arial" w:eastAsia="Arial" w:hAnsi="Arial"/>
                <w:sz w:val="18"/>
                <w:szCs w:val="18"/>
                <w:i w:val="1"/>
                <w:iCs w:val="1"/>
                <w:color w:val="auto"/>
                <w:w w:val="92"/>
              </w:rPr>
              <w:t>(1) Percentages may not total to 100.0% due to rounding.</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attempt to control misrepresentation regarding the customer's credit worthiness by carefully screening the automobile contracts we purchase, by establishing and maintaining professional business relationships with dealers, and by including certain representations and warranties by the dealer in the dealer agreement. Pursuant to the dealer agreement, we may require the dealer to repurchase any automobile contract in the event that the dealer breaches its representations or warranties. There can be no assurance, however, that any dealer will have the willingness or the financial resources to satisfy its repurchase obligations to us.</w:t>
      </w:r>
    </w:p>
    <w:p>
      <w:pPr>
        <w:spacing w:after="0" w:line="188"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In addition to our purchases of installment contracts from dealers, we purchased from 2006 through 2008 an immaterial number of vehicle purchase money loans, evidenced by promissory notes and security agreements. A non-affiliated lender originated all such loans directly to vehicle purchasers, and sold the loans to us. We began financing vehicle purchases by lending money directly to consumers in January 2008, on terms similar to those that we offered through dealers, though without a down payment requirement and with more restrictive loan-to-value and credit score requirements. In October 2008 we suspended purchases of loans from other lenders and direct lending to consumers. There can be no assurance as to whether or not we will recommence these programs, the extent to which we may make such loans, or as to their future performance. In 2012, we initiated a program to make direct loans secured by automobiles to consumers who own their vehicles. As of December 31, 2013 our managed portfolio includes $1.9 million of such loans.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Underwriting</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To be eligible for purchase, we require that the automobile contract be originated by a dealer that has entered into a dealer agreement with us. The automobile contract must be secured by a first priority lien on a new or used automobile, light truck or passenger van and must meet our underwriting criteria. In addition, each automobile contract requires the customer to maintain physical damage insurance covering the financed vehicle and naming us as a loss payee. We may, nonetheless, suffer a loss upon theft or physical damage of any financed vehicle if the customer fails to maintain insurance as required by the automobile contract and is unable to pay for repairs to or replacement of the vehicle.</w:t>
      </w:r>
    </w:p>
    <w:p>
      <w:pPr>
        <w:spacing w:after="0" w:line="17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We believe that our underwriting criteria enable us to evaluate effectively the creditworthiness of sub-prime customers and the adequacy of the financed vehicle as security for an automobile contract. The underwriting criteria include standards for price, term, amount of down payment, installment payment and interest rate; mileage, age and type of vehicle; principal amount of the automobile contract in relation to the value of the vehicle; customer income level, employment and residence stability, credit history and debt service ability, as well as other factors. Specifically, our underwriting guidelines generally limit the maximum principal amount of a purchased automobile contract to 115% of wholesale book value in the case of used vehicles or to 115% of the manufacturer's invoice in the case of new vehicles, plus, in each case, sales tax, licensing and, when the customer purchases such additional items, a service contract or a policy to supplement the customer’s casualty policy in the event of a total loss of the related vehicle. We generally do not finance vehicles that are more than 11 model years old or have in excess of 135,000 miles. Under most of our programs, the maximum term of a purchased contract is 72 months; a shorter maximum term may be applicable based on the program and mileage. Automobile contracts with the maximum term of up to 72 months may be purchased if the customer is among the more creditworthy of our obligors and the vehicle generally has less than 50,000 miles. Automobile contract purchase criteria are subject to change from time to time as circumstances may warrant. Prior to purchasing an automobile contract, our underwriters verify the customer's employment, income, residency, insurance coverage, and credit information by contacting various parties noted on the customer's application, credit information bureaus and other sources. In addition, we contact each customer by telephone to confirm that the customer understands and agrees to the terms of the related automobile contract. During this "welcome call," we also ask the customer a series of open ended questions about his application and the contract, which may uncover potential misrepresentations.</w:t>
      </w:r>
    </w:p>
    <w:p>
      <w:pPr>
        <w:spacing w:after="0" w:line="16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Credit Scoring</w:t>
      </w:r>
      <w:r>
        <w:rPr>
          <w:rFonts w:ascii="Arial" w:cs="Arial" w:eastAsia="Arial" w:hAnsi="Arial"/>
          <w:sz w:val="17"/>
          <w:szCs w:val="17"/>
          <w:color w:val="auto"/>
        </w:rPr>
        <w:t>. We use proprietary scoring models to assign each automobile contract several "credit scores" at the time the application is received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dealer and the customer's credit information is retrieved from the credit reporting agencies. These proprietary scores are used to help determine whether or not we want to approve the application and, if so, the program and pricing we will offer to the dealer. The credit scores are based on a variety of parameters including the customer's credit history, employment and residence stability, income, and the specific dealer. Once a vehicle is selected by the customer and a proposed deal structure is provided to us by the dealer, our scores will then consider the loan-to-value ratio, payment-to-income ratio, down payment amount, sales price and the make of the vehicle. We have developed the credit scores utilizing statistical risk management techniques and historical performance data from our managed portfolio. We believe this improves our allocation of credit evaluation resources, enhances our competitiveness in the marketplace and manages the risk inherent in the sub-prime market.</w:t>
      </w:r>
    </w:p>
    <w:p>
      <w:pPr>
        <w:spacing w:after="0" w:line="1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Characteristics of Contracts. </w:t>
      </w:r>
      <w:r>
        <w:rPr>
          <w:rFonts w:ascii="Arial" w:cs="Arial" w:eastAsia="Arial" w:hAnsi="Arial"/>
          <w:sz w:val="18"/>
          <w:szCs w:val="18"/>
          <w:color w:val="auto"/>
        </w:rPr>
        <w:t>All of the automobile contracts we purchase are fully amortizing and provide for level payments over the term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automobile contract. All automobile contracts may be prepaid at any time without penalty. The average original principal amount financed under the CPS programs in 2013 was $15,395, with an average original term of 61 months and an average down payment amount of 12.7%. Based on information contained in customer applications for this 12-month period, the retail purchase price of the related automobiles averaged $15,906 (which excludes tax, license fees and any additional costs such as a service contract) and the average age of the vehicle at the time the automobile contract was purchased was five years. The average age of our customers is approximately 42, with approximately $57,000 in average annual household income and an average of six years tenure with his or her current employer.</w:t>
      </w:r>
    </w:p>
    <w:p>
      <w:pPr>
        <w:spacing w:after="0" w:line="18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Dealer Compliance</w:t>
      </w:r>
      <w:r>
        <w:rPr>
          <w:rFonts w:ascii="Arial" w:cs="Arial" w:eastAsia="Arial" w:hAnsi="Arial"/>
          <w:sz w:val="18"/>
          <w:szCs w:val="18"/>
          <w:color w:val="auto"/>
        </w:rPr>
        <w:t>. The dealer agreement and related assignment contain representations and warranties by the dealer that an application for state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of each financed vehicle, naming us as secured party with respect to the vehicle, was effected by the time of sale of the related automobile contract to us, and that all necessary steps have been taken to obtain a perfected first priority security interest in each financed vehicle in favor of us under the laws of the state in which the financed vehicle is registered. To the extent that we do not receive such state registration within three months of purchasing the automobile contract, our dealer compliance group will work with the dealer in an attempt to rectify the situation. If these efforts are unsuccessful, we generally will require the dealer to repurchase the automobile contract.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Servicing and Collection</w:t>
      </w:r>
    </w:p>
    <w:p>
      <w:pPr>
        <w:spacing w:after="0" w:line="22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currently service all automobile contracts that we own as well as those automobile contracts that are included in portfolios that we have sold in securitizations or service for third parties. We organize our servicing activities based on the tasks performed by our personnel. Our servicing activities consist of mailing monthly billing statements; collecting, accounting for and posting of all payments received; responding to customer inquiries; taking all necessary action to maintain the security interest granted in the financed vehicle or other collateral; investigating delinquencies; communicating with the customer to obtain timely payments; repossessing and liquidating the collateral when necessary; collecting deficiency balances; and generally monitoring each automobile contract and the related collateral. We are typically entitled to receive a base monthly servicing fee equal to 2.5% per annum computed as a percentage of the declining outstanding principal balance of the non-charged-off automobile contracts in the securitization pools</w:t>
      </w:r>
      <w:r>
        <w:rPr>
          <w:rFonts w:ascii="Arial" w:cs="Arial" w:eastAsia="Arial" w:hAnsi="Arial"/>
          <w:sz w:val="17"/>
          <w:szCs w:val="17"/>
          <w:b w:val="1"/>
          <w:bCs w:val="1"/>
          <w:color w:val="auto"/>
        </w:rPr>
        <w:t>.</w:t>
      </w:r>
      <w:r>
        <w:rPr>
          <w:rFonts w:ascii="Arial" w:cs="Arial" w:eastAsia="Arial" w:hAnsi="Arial"/>
          <w:sz w:val="17"/>
          <w:szCs w:val="17"/>
          <w:color w:val="auto"/>
        </w:rPr>
        <w:t xml:space="preserve"> The servicing fee is included in interest income for those securitization transactions that are treated as financings.</w:t>
      </w:r>
    </w:p>
    <w:p>
      <w:pPr>
        <w:spacing w:after="0" w:line="17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 xml:space="preserve">Collection Procedures. </w:t>
      </w:r>
      <w:r>
        <w:rPr>
          <w:rFonts w:ascii="Arial" w:cs="Arial" w:eastAsia="Arial" w:hAnsi="Arial"/>
          <w:sz w:val="16"/>
          <w:szCs w:val="16"/>
          <w:color w:val="auto"/>
        </w:rPr>
        <w:t>We believe that our ability to monitor performance and collect payments owed from sub-prime customers is primarily a function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collection approach and support systems. We believe that if payment problems are identified early and our collection staff works closely with customers to address these problems, it is possible to correct many problems before they deteriorate further. To this end, we utilize pro-active collection procedures, which include making early and frequent contact with delinquent customers; educating customers as to the importance of maintaining good credit; and employing a consultative and customer service approach to assist the customer in meeting his or her obligations, which includes attempting to identify the underlying causes of delinquency and cure them whenever possible. In support of our collection activities, we maintain a computerized collection system specifically designed to service automobile contracts with sub-prime customers and similar consumer obligations.</w:t>
      </w:r>
    </w:p>
    <w:p>
      <w:pPr>
        <w:spacing w:after="0" w:line="167"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attempt to make telephonic contact with delinquent customers from one to 15 days after their monthly payment due date, depending on our proprietary behavioral scorecards which assess the customer’s likelihood of payment during early stages of delinquency. Our contact priorities may be based on the customers' physical location, stage of delinquency, size of balance or other parameters. Our collectors inquire of the customer the reason for the delinquency and when we can expect to receive the payment. The collector will attempt to get the customer to make an electronic payment over the phone or a promise for the payment for a time generally not to exceed one week from the date of the call. If the customer makes such a promise, the account is routed to a promise queue and is not contacted until the outcome of the promise is known. If the payment is made by the promise date and the account is no longer delinquent, the account is routed out of the collection system. If the payment is not made, or if the payment is made, but the account remains delinquent, the account is returned to the queue for subsequent contacts.</w:t>
      </w:r>
    </w:p>
    <w:p>
      <w:pPr>
        <w:spacing w:after="0" w:line="179" w:lineRule="exact"/>
        <w:rPr>
          <w:sz w:val="20"/>
          <w:szCs w:val="20"/>
          <w:color w:val="auto"/>
        </w:rPr>
      </w:pPr>
    </w:p>
    <w:p>
      <w:pPr>
        <w:ind w:right="220" w:firstLine="324"/>
        <w:spacing w:after="0" w:line="297" w:lineRule="auto"/>
        <w:rPr>
          <w:sz w:val="20"/>
          <w:szCs w:val="20"/>
          <w:color w:val="auto"/>
        </w:rPr>
      </w:pPr>
      <w:r>
        <w:rPr>
          <w:rFonts w:ascii="Arial" w:cs="Arial" w:eastAsia="Arial" w:hAnsi="Arial"/>
          <w:sz w:val="16"/>
          <w:szCs w:val="16"/>
          <w:color w:val="auto"/>
        </w:rPr>
        <w:t>If a customer fails to make or keep promises for payments, or if the customer is uncooperative or attempts to evade contact or hide the vehicle, a supervisor will review the collection activity relating to the account to determine if repossession of the vehicle is warranted. Generally, such a decision will occur between the 60th and 90th day past the customer's payment due date, but could occur sooner or later, depending on the specific circumstances. At the time the vehicle is repossessed we will stop accruing interest on this automobile contract, and reclassify the remaining automobile contract balance to other assets. In addition we will apply a specific reserve to this automobile contract so that the net balance represents the estimated fair value less costs to sell.</w:t>
      </w:r>
    </w:p>
    <w:p>
      <w:pPr>
        <w:spacing w:after="0" w:line="1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If we elect to repossess the vehicle, we assign the task to an independent local repossession service. Such services are licensed and/or bonded as required by law. When the vehicle is recovered, the repossession service delivers it to a wholesale automobile auction, where it is kept until sold. Financed vehicles that have been repossessed are generally resold through unaffiliated automobile auctions, which are attended principally by car dealers. Net liquidation proceeds are applied to the customer's outstanding obligation under the automobile contract. Such proceeds usually are insufficient to pay the customer's obligation in full, resulting in a deficiency. In most cases we will continue to contact our customers to recover all or a portion of this deficiency for up to several years after charge-off.</w:t>
      </w:r>
    </w:p>
    <w:p>
      <w:pPr>
        <w:spacing w:after="0" w:line="193"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Once an automobile contract becomes greater than 90 days delinquent, we do not recognize additional interest income until the borrower makes sufficient payments to be less than 90 days delinquent. Any payments received by a borrower that are greater than 90 days delinquent are first applied to accrued interest and then to principal reduction.</w:t>
      </w:r>
    </w:p>
    <w:p>
      <w:pPr>
        <w:spacing w:after="0" w:line="18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generally charge off the balance of any contract by the earlier of the end of the month in which the automobile contract becomes five scheduled installments past due or, in the case of repossessions, the month that we receive the proceeds from the liquidation of the financed vehicle or if the vehicle has been in repossession inventory for more than three months. In the case of repossession, the amount of the charge-off is the difference between the outstanding principal balance of the defaulted automobile contract and the net repossession sale proceeds.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Credit Experience</w:t>
      </w:r>
    </w:p>
    <w:p>
      <w:pPr>
        <w:spacing w:after="0" w:line="225"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weighted average seasoning of our total owned portfolio excluding contracts acquired from Fireside Bank (“Fireside Portfolio”), represented in the tables below, was 14 months, 18 months and 27 months as of December 31, 2013, December 31, 2012, and December 31, 2011, respectively. Our primary method of monitoring ongoing credit quality of our portfolio is to closely review monthly delinquency, default and net charge off activity and the related trends. The tables below document the delinquency, repossession and net credit loss experience of all such automobile contracts that we were servicing as of the respective dates shown. The tables do not include the experience of third party servicing portfolios.</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Delinquency, Repossession and Extension Experience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7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 2013</w:t>
            </w:r>
          </w:p>
        </w:tc>
        <w:tc>
          <w:tcPr>
            <w:tcW w:w="274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2012</w:t>
            </w:r>
          </w:p>
        </w:tc>
        <w:tc>
          <w:tcPr>
            <w:tcW w:w="2460" w:type="dxa"/>
            <w:vAlign w:val="bottom"/>
            <w:gridSpan w:val="6"/>
          </w:tcPr>
          <w:p>
            <w:pPr>
              <w:ind w:left="460"/>
              <w:spacing w:after="0"/>
              <w:rPr>
                <w:sz w:val="20"/>
                <w:szCs w:val="20"/>
                <w:color w:val="auto"/>
              </w:rPr>
            </w:pPr>
            <w:r>
              <w:rPr>
                <w:rFonts w:ascii="Arial" w:cs="Arial" w:eastAsia="Arial" w:hAnsi="Arial"/>
                <w:sz w:val="18"/>
                <w:szCs w:val="18"/>
                <w:b w:val="1"/>
                <w:bCs w:val="1"/>
                <w:color w:val="auto"/>
              </w:rPr>
              <w:t>December 31, 2011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Number of</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Number of</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Delinquency Experience</w:t>
            </w: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Contracts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6"/>
          </w:tcPr>
          <w:p>
            <w:pPr>
              <w:ind w:left="300"/>
              <w:spacing w:after="0"/>
              <w:rPr>
                <w:sz w:val="20"/>
                <w:szCs w:val="20"/>
                <w:color w:val="auto"/>
              </w:rPr>
            </w:pPr>
            <w:r>
              <w:rPr>
                <w:rFonts w:ascii="Arial" w:cs="Arial" w:eastAsia="Arial" w:hAnsi="Arial"/>
                <w:sz w:val="18"/>
                <w:szCs w:val="18"/>
                <w:b w:val="1"/>
                <w:bCs w:val="1"/>
                <w:color w:val="auto"/>
              </w:rPr>
              <w:t>(Dollars in thousands)</w:t>
            </w: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Gross servicing portfolio (1)</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94,206</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1,213,793</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74,124</w:t>
            </w:r>
          </w:p>
        </w:tc>
        <w:tc>
          <w:tcPr>
            <w:tcW w:w="3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825,186</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69,765</w:t>
            </w:r>
          </w:p>
        </w:tc>
        <w:tc>
          <w:tcPr>
            <w:tcW w:w="3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588,993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Period of delinquency (2)</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31-60 days</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2,652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21,887</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2,545</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18,034</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2,051</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61-90 days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24,914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9,360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91+ days</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11,060</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5,297</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1,601</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delinquencies (2)</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57,861</w:t>
            </w:r>
          </w:p>
        </w:tc>
        <w:tc>
          <w:tcPr>
            <w:tcW w:w="3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32,691</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Amount in repossession (3)</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2,961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25,010</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12,506</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10,097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20" w:type="dxa"/>
            <w:vAlign w:val="bottom"/>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420" w:type="dxa"/>
            <w:vAlign w:val="bottom"/>
          </w:tcPr>
          <w:p>
            <w:pPr>
              <w:ind w:left="180"/>
              <w:spacing w:after="0"/>
              <w:rPr>
                <w:sz w:val="20"/>
                <w:szCs w:val="20"/>
                <w:color w:val="auto"/>
              </w:rPr>
            </w:pPr>
            <w:r>
              <w:rPr>
                <w:rFonts w:ascii="Arial" w:cs="Arial" w:eastAsia="Arial" w:hAnsi="Arial"/>
                <w:sz w:val="18"/>
                <w:szCs w:val="18"/>
                <w:color w:val="auto"/>
              </w:rPr>
              <w:t>repossession (2)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8,799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82,871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6,429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45,197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6,908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36,287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20" w:type="dxa"/>
            <w:vAlign w:val="bottom"/>
            <w:tcBorders>
              <w:top w:val="single" w:sz="8" w:color="EEEEEE"/>
            </w:tcBorders>
            <w:shd w:val="clear" w:color="auto" w:fill="EEEEEE"/>
          </w:tcPr>
          <w:p>
            <w:pPr>
              <w:spacing w:after="0" w:line="156" w:lineRule="exact"/>
              <w:rPr>
                <w:sz w:val="20"/>
                <w:szCs w:val="20"/>
                <w:color w:val="auto"/>
              </w:rPr>
            </w:pPr>
            <w:r>
              <w:rPr>
                <w:rFonts w:ascii="Arial" w:cs="Arial" w:eastAsia="Arial" w:hAnsi="Arial"/>
                <w:sz w:val="18"/>
                <w:szCs w:val="18"/>
                <w:color w:val="auto"/>
              </w:rPr>
              <w:t>Delinquencies as a percentage of gross</w:t>
            </w:r>
          </w:p>
        </w:tc>
        <w:tc>
          <w:tcPr>
            <w:tcW w:w="1040" w:type="dxa"/>
            <w:vAlign w:val="bottom"/>
            <w:tcBorders>
              <w:top w:val="single" w:sz="8" w:color="auto"/>
            </w:tcBorders>
            <w:shd w:val="clear" w:color="auto" w:fill="EEEEEE"/>
          </w:tcPr>
          <w:p>
            <w:pPr>
              <w:spacing w:after="0"/>
              <w:rPr>
                <w:sz w:val="13"/>
                <w:szCs w:val="13"/>
                <w:color w:val="auto"/>
              </w:rPr>
            </w:pPr>
          </w:p>
        </w:tc>
        <w:tc>
          <w:tcPr>
            <w:tcW w:w="18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auto"/>
            </w:tcBorders>
            <w:shd w:val="clear" w:color="auto" w:fill="EEEEEE"/>
          </w:tcPr>
          <w:p>
            <w:pPr>
              <w:spacing w:after="0"/>
              <w:rPr>
                <w:sz w:val="13"/>
                <w:szCs w:val="13"/>
                <w:color w:val="auto"/>
              </w:rPr>
            </w:pPr>
          </w:p>
        </w:tc>
        <w:tc>
          <w:tcPr>
            <w:tcW w:w="880" w:type="dxa"/>
            <w:vAlign w:val="bottom"/>
            <w:tcBorders>
              <w:top w:val="single" w:sz="8" w:color="auto"/>
            </w:tcBorders>
            <w:shd w:val="clear" w:color="auto" w:fill="EEEEEE"/>
          </w:tcPr>
          <w:p>
            <w:pPr>
              <w:spacing w:after="0"/>
              <w:rPr>
                <w:sz w:val="13"/>
                <w:szCs w:val="13"/>
                <w:color w:val="auto"/>
              </w:rPr>
            </w:pPr>
          </w:p>
        </w:tc>
        <w:tc>
          <w:tcPr>
            <w:tcW w:w="360" w:type="dxa"/>
            <w:vAlign w:val="bottom"/>
            <w:tcBorders>
              <w:top w:val="single" w:sz="8" w:color="EEEEEE"/>
            </w:tcBorders>
            <w:shd w:val="clear" w:color="auto" w:fill="EEEEEE"/>
          </w:tcPr>
          <w:p>
            <w:pPr>
              <w:spacing w:after="0"/>
              <w:rPr>
                <w:sz w:val="13"/>
                <w:szCs w:val="13"/>
                <w:color w:val="auto"/>
              </w:rPr>
            </w:pPr>
          </w:p>
        </w:tc>
        <w:tc>
          <w:tcPr>
            <w:tcW w:w="1040" w:type="dxa"/>
            <w:vAlign w:val="bottom"/>
            <w:tcBorders>
              <w:top w:val="single" w:sz="8" w:color="auto"/>
            </w:tcBorders>
            <w:shd w:val="clear" w:color="auto" w:fill="EEEEEE"/>
          </w:tcPr>
          <w:p>
            <w:pPr>
              <w:spacing w:after="0"/>
              <w:rPr>
                <w:sz w:val="13"/>
                <w:szCs w:val="13"/>
                <w:color w:val="auto"/>
              </w:rPr>
            </w:pPr>
          </w:p>
        </w:tc>
        <w:tc>
          <w:tcPr>
            <w:tcW w:w="180" w:type="dxa"/>
            <w:vAlign w:val="bottom"/>
            <w:tcBorders>
              <w:top w:val="single" w:sz="8" w:color="EEEEEE"/>
            </w:tcBorders>
            <w:shd w:val="clear" w:color="auto" w:fill="EEEEEE"/>
          </w:tcPr>
          <w:p>
            <w:pPr>
              <w:spacing w:after="0"/>
              <w:rPr>
                <w:sz w:val="13"/>
                <w:szCs w:val="13"/>
                <w:color w:val="auto"/>
              </w:rPr>
            </w:pPr>
          </w:p>
        </w:tc>
        <w:tc>
          <w:tcPr>
            <w:tcW w:w="18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auto"/>
            </w:tcBorders>
            <w:shd w:val="clear" w:color="auto" w:fill="EEEEEE"/>
          </w:tcPr>
          <w:p>
            <w:pPr>
              <w:spacing w:after="0"/>
              <w:rPr>
                <w:sz w:val="13"/>
                <w:szCs w:val="13"/>
                <w:color w:val="auto"/>
              </w:rPr>
            </w:pPr>
          </w:p>
        </w:tc>
        <w:tc>
          <w:tcPr>
            <w:tcW w:w="880" w:type="dxa"/>
            <w:vAlign w:val="bottom"/>
            <w:tcBorders>
              <w:top w:val="single" w:sz="8" w:color="auto"/>
            </w:tcBorders>
            <w:shd w:val="clear" w:color="auto" w:fill="EEEEEE"/>
          </w:tcPr>
          <w:p>
            <w:pPr>
              <w:spacing w:after="0"/>
              <w:rPr>
                <w:sz w:val="13"/>
                <w:szCs w:val="13"/>
                <w:color w:val="auto"/>
              </w:rPr>
            </w:pPr>
          </w:p>
        </w:tc>
        <w:tc>
          <w:tcPr>
            <w:tcW w:w="320" w:type="dxa"/>
            <w:vAlign w:val="bottom"/>
            <w:tcBorders>
              <w:top w:val="single" w:sz="8" w:color="EEEEEE"/>
            </w:tcBorders>
            <w:shd w:val="clear" w:color="auto" w:fill="EEEEEE"/>
          </w:tcPr>
          <w:p>
            <w:pPr>
              <w:spacing w:after="0"/>
              <w:rPr>
                <w:sz w:val="13"/>
                <w:szCs w:val="13"/>
                <w:color w:val="auto"/>
              </w:rPr>
            </w:pPr>
          </w:p>
        </w:tc>
        <w:tc>
          <w:tcPr>
            <w:tcW w:w="1020" w:type="dxa"/>
            <w:vAlign w:val="bottom"/>
            <w:tcBorders>
              <w:top w:val="single" w:sz="8" w:color="auto"/>
            </w:tcBorders>
            <w:shd w:val="clear" w:color="auto" w:fill="EEEEEE"/>
          </w:tcPr>
          <w:p>
            <w:pPr>
              <w:spacing w:after="0"/>
              <w:rPr>
                <w:sz w:val="13"/>
                <w:szCs w:val="13"/>
                <w:color w:val="auto"/>
              </w:rPr>
            </w:pPr>
          </w:p>
        </w:tc>
        <w:tc>
          <w:tcPr>
            <w:tcW w:w="16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auto"/>
            </w:tcBorders>
            <w:shd w:val="clear" w:color="auto" w:fill="EEEEEE"/>
          </w:tcPr>
          <w:p>
            <w:pPr>
              <w:spacing w:after="0"/>
              <w:rPr>
                <w:sz w:val="13"/>
                <w:szCs w:val="13"/>
                <w:color w:val="auto"/>
              </w:rPr>
            </w:pPr>
          </w:p>
        </w:tc>
        <w:tc>
          <w:tcPr>
            <w:tcW w:w="88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servicing portfolio</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w:t>
            </w:r>
          </w:p>
        </w:tc>
        <w:tc>
          <w:tcPr>
            <w:tcW w:w="160" w:type="dxa"/>
            <w:vAlign w:val="bottom"/>
            <w:shd w:val="clear" w:color="auto" w:fill="EEEEEE"/>
          </w:tcPr>
          <w:p>
            <w:pPr>
              <w:spacing w:after="0"/>
              <w:rPr>
                <w:sz w:val="23"/>
                <w:szCs w:val="23"/>
                <w:color w:val="auto"/>
              </w:rPr>
            </w:pPr>
          </w:p>
        </w:tc>
        <w:tc>
          <w:tcPr>
            <w:tcW w:w="160" w:type="dxa"/>
            <w:vAlign w:val="bottom"/>
            <w:shd w:val="clear" w:color="auto" w:fill="EEEEEE"/>
          </w:tcPr>
          <w:p>
            <w:pPr>
              <w:spacing w:after="0"/>
              <w:rPr>
                <w:sz w:val="23"/>
                <w:szCs w:val="23"/>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4.8%</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EEEEEE"/>
          </w:tcPr>
          <w:p>
            <w:pPr>
              <w:spacing w:after="0"/>
              <w:rPr>
                <w:sz w:val="23"/>
                <w:szCs w:val="23"/>
                <w:color w:val="auto"/>
              </w:rPr>
            </w:pPr>
          </w:p>
        </w:tc>
        <w:tc>
          <w:tcPr>
            <w:tcW w:w="140" w:type="dxa"/>
            <w:vAlign w:val="bottom"/>
            <w:shd w:val="clear" w:color="auto" w:fill="EEEEEE"/>
          </w:tcPr>
          <w:p>
            <w:pPr>
              <w:spacing w:after="0"/>
              <w:rPr>
                <w:sz w:val="23"/>
                <w:szCs w:val="23"/>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EEEEEE"/>
          </w:tcPr>
          <w:p>
            <w:pPr>
              <w:spacing w:after="0"/>
              <w:rPr>
                <w:sz w:val="23"/>
                <w:szCs w:val="23"/>
                <w:color w:val="auto"/>
              </w:rPr>
            </w:pPr>
          </w:p>
        </w:tc>
        <w:tc>
          <w:tcPr>
            <w:tcW w:w="140" w:type="dxa"/>
            <w:vAlign w:val="bottom"/>
            <w:shd w:val="clear" w:color="auto" w:fill="EEEEEE"/>
          </w:tcPr>
          <w:p>
            <w:pPr>
              <w:spacing w:after="0"/>
              <w:rPr>
                <w:sz w:val="23"/>
                <w:szCs w:val="23"/>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as a percentage of gross</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servicing portfolio</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9.3%</w:t>
            </w:r>
          </w:p>
        </w:tc>
        <w:tc>
          <w:tcPr>
            <w:tcW w:w="160" w:type="dxa"/>
            <w:vAlign w:val="bottom"/>
            <w:shd w:val="clear" w:color="auto" w:fill="EEEEEE"/>
          </w:tcPr>
          <w:p>
            <w:pPr>
              <w:spacing w:after="0"/>
              <w:rPr>
                <w:sz w:val="23"/>
                <w:szCs w:val="23"/>
                <w:color w:val="auto"/>
              </w:rPr>
            </w:pPr>
          </w:p>
        </w:tc>
        <w:tc>
          <w:tcPr>
            <w:tcW w:w="160" w:type="dxa"/>
            <w:vAlign w:val="bottom"/>
            <w:shd w:val="clear" w:color="auto" w:fill="EEEEEE"/>
          </w:tcPr>
          <w:p>
            <w:pPr>
              <w:spacing w:after="0"/>
              <w:rPr>
                <w:sz w:val="23"/>
                <w:szCs w:val="23"/>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6.8%</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EEEEEE"/>
          </w:tcPr>
          <w:p>
            <w:pPr>
              <w:spacing w:after="0"/>
              <w:rPr>
                <w:sz w:val="23"/>
                <w:szCs w:val="23"/>
                <w:color w:val="auto"/>
              </w:rPr>
            </w:pPr>
          </w:p>
        </w:tc>
        <w:tc>
          <w:tcPr>
            <w:tcW w:w="140" w:type="dxa"/>
            <w:vAlign w:val="bottom"/>
            <w:shd w:val="clear" w:color="auto" w:fill="EEEEEE"/>
          </w:tcPr>
          <w:p>
            <w:pPr>
              <w:spacing w:after="0"/>
              <w:rPr>
                <w:sz w:val="23"/>
                <w:szCs w:val="23"/>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5.5%</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EEEEEE"/>
          </w:tcPr>
          <w:p>
            <w:pPr>
              <w:spacing w:after="0"/>
              <w:rPr>
                <w:sz w:val="23"/>
                <w:szCs w:val="23"/>
                <w:color w:val="auto"/>
              </w:rPr>
            </w:pPr>
          </w:p>
        </w:tc>
        <w:tc>
          <w:tcPr>
            <w:tcW w:w="140" w:type="dxa"/>
            <w:vAlign w:val="bottom"/>
            <w:shd w:val="clear" w:color="auto" w:fill="EEEEEE"/>
          </w:tcPr>
          <w:p>
            <w:pPr>
              <w:spacing w:after="0"/>
              <w:rPr>
                <w:sz w:val="23"/>
                <w:szCs w:val="23"/>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Extension Experience</w:t>
            </w: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Contracts with one extension, accruing (4)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13,754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176,236</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9,094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73,632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12,183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4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accruing (4).</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5,449</w:t>
            </w:r>
          </w:p>
        </w:tc>
        <w:tc>
          <w:tcPr>
            <w:tcW w:w="160" w:type="dxa"/>
            <w:vAlign w:val="bottom"/>
            <w:shd w:val="clear" w:color="auto" w:fill="EEEEEE"/>
          </w:tcPr>
          <w:p>
            <w:pPr>
              <w:spacing w:after="0"/>
              <w:rPr>
                <w:sz w:val="23"/>
                <w:szCs w:val="23"/>
                <w:color w:val="auto"/>
              </w:rPr>
            </w:pPr>
          </w:p>
        </w:tc>
        <w:tc>
          <w:tcPr>
            <w:tcW w:w="160" w:type="dxa"/>
            <w:vAlign w:val="bottom"/>
            <w:shd w:val="clear" w:color="auto" w:fill="EEEEEE"/>
          </w:tcPr>
          <w:p>
            <w:pPr>
              <w:spacing w:after="0"/>
              <w:rPr>
                <w:sz w:val="23"/>
                <w:szCs w:val="23"/>
                <w:color w:val="auto"/>
              </w:rPr>
            </w:pPr>
          </w:p>
        </w:tc>
        <w:tc>
          <w:tcPr>
            <w:tcW w:w="12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43,869</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7,795</w:t>
            </w:r>
          </w:p>
        </w:tc>
        <w:tc>
          <w:tcPr>
            <w:tcW w:w="180" w:type="dxa"/>
            <w:vAlign w:val="bottom"/>
            <w:shd w:val="clear" w:color="auto" w:fill="EEEEEE"/>
          </w:tcPr>
          <w:p>
            <w:pPr>
              <w:spacing w:after="0"/>
              <w:rPr>
                <w:sz w:val="23"/>
                <w:szCs w:val="23"/>
                <w:color w:val="auto"/>
              </w:rPr>
            </w:pPr>
          </w:p>
        </w:tc>
        <w:tc>
          <w:tcPr>
            <w:tcW w:w="140" w:type="dxa"/>
            <w:vAlign w:val="bottom"/>
            <w:shd w:val="clear" w:color="auto" w:fill="EEEEEE"/>
          </w:tcPr>
          <w:p>
            <w:pPr>
              <w:spacing w:after="0"/>
              <w:rPr>
                <w:sz w:val="23"/>
                <w:szCs w:val="23"/>
                <w:color w:val="auto"/>
              </w:rPr>
            </w:pPr>
          </w:p>
        </w:tc>
        <w:tc>
          <w:tcPr>
            <w:tcW w:w="12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37,761</w:t>
            </w:r>
          </w:p>
        </w:tc>
        <w:tc>
          <w:tcPr>
            <w:tcW w:w="11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10,515</w:t>
            </w:r>
          </w:p>
        </w:tc>
        <w:tc>
          <w:tcPr>
            <w:tcW w:w="160" w:type="dxa"/>
            <w:vAlign w:val="bottom"/>
            <w:shd w:val="clear" w:color="auto" w:fill="EEEEEE"/>
          </w:tcPr>
          <w:p>
            <w:pPr>
              <w:spacing w:after="0"/>
              <w:rPr>
                <w:sz w:val="23"/>
                <w:szCs w:val="23"/>
                <w:color w:val="auto"/>
              </w:rPr>
            </w:pPr>
          </w:p>
        </w:tc>
        <w:tc>
          <w:tcPr>
            <w:tcW w:w="140" w:type="dxa"/>
            <w:vAlign w:val="bottom"/>
            <w:shd w:val="clear" w:color="auto" w:fill="EEEEEE"/>
          </w:tcPr>
          <w:p>
            <w:pPr>
              <w:spacing w:after="0"/>
              <w:rPr>
                <w:sz w:val="23"/>
                <w:szCs w:val="23"/>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67,987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220,105</w:t>
            </w:r>
          </w:p>
        </w:tc>
        <w:tc>
          <w:tcPr>
            <w:tcW w:w="3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111,393</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81" w:right="239" w:bottom="1440" w:gutter="0" w:footer="0" w:header="0"/>
        </w:sectPr>
      </w:pPr>
    </w:p>
    <w:p>
      <w:pPr>
        <w:spacing w:after="0"/>
        <w:rPr>
          <w:sz w:val="20"/>
          <w:szCs w:val="20"/>
          <w:color w:val="auto"/>
        </w:rPr>
      </w:pPr>
      <w:r>
        <w:rPr>
          <w:rFonts w:ascii="Arial" w:cs="Arial" w:eastAsia="Arial" w:hAnsi="Arial"/>
          <w:sz w:val="16"/>
          <w:szCs w:val="16"/>
          <w:color w:val="auto"/>
        </w:rPr>
        <w:t>Contracts with one extension, non-accrual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35" w:lineRule="exact"/>
        <w:rPr>
          <w:sz w:val="20"/>
          <w:szCs w:val="20"/>
          <w:color w:val="auto"/>
        </w:rPr>
      </w:pPr>
    </w:p>
    <w:p>
      <w:pPr>
        <w:ind w:left="200" w:right="520" w:hanging="197"/>
        <w:spacing w:after="0" w:line="277" w:lineRule="auto"/>
        <w:rPr>
          <w:sz w:val="20"/>
          <w:szCs w:val="20"/>
          <w:color w:val="auto"/>
        </w:rPr>
      </w:pPr>
      <w:r>
        <w:rPr>
          <w:rFonts w:ascii="Arial" w:cs="Arial" w:eastAsia="Arial" w:hAnsi="Arial"/>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410"/>
              <w:spacing w:after="0"/>
              <w:rPr>
                <w:sz w:val="20"/>
                <w:szCs w:val="20"/>
                <w:color w:val="auto"/>
              </w:rPr>
            </w:pPr>
            <w:r>
              <w:rPr>
                <w:rFonts w:ascii="Arial" w:cs="Arial" w:eastAsia="Arial" w:hAnsi="Arial"/>
                <w:sz w:val="18"/>
                <w:szCs w:val="18"/>
                <w:color w:val="auto"/>
                <w:w w:val="84"/>
              </w:rPr>
              <w:t>1,030</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9,348</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632</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4,401</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1,211</w:t>
            </w:r>
          </w:p>
        </w:tc>
        <w:tc>
          <w:tcPr>
            <w:tcW w:w="920" w:type="dxa"/>
            <w:vAlign w:val="bottom"/>
          </w:tcPr>
          <w:p>
            <w:pPr>
              <w:jc w:val="right"/>
              <w:spacing w:after="0"/>
              <w:rPr>
                <w:sz w:val="20"/>
                <w:szCs w:val="20"/>
                <w:color w:val="auto"/>
              </w:rPr>
            </w:pPr>
            <w:r>
              <w:rPr>
                <w:rFonts w:ascii="Arial" w:cs="Arial" w:eastAsia="Arial" w:hAnsi="Arial"/>
                <w:sz w:val="18"/>
                <w:szCs w:val="18"/>
                <w:color w:val="auto"/>
              </w:rPr>
              <w:t>5,918</w:t>
            </w:r>
          </w:p>
        </w:tc>
      </w:tr>
      <w:tr>
        <w:trPr>
          <w:trHeight w:val="473"/>
        </w:trPr>
        <w:tc>
          <w:tcPr>
            <w:tcW w:w="900" w:type="dxa"/>
            <w:vAlign w:val="bottom"/>
          </w:tcPr>
          <w:p>
            <w:pPr>
              <w:jc w:val="right"/>
              <w:ind w:right="410"/>
              <w:spacing w:after="0"/>
              <w:rPr>
                <w:sz w:val="20"/>
                <w:szCs w:val="20"/>
                <w:color w:val="auto"/>
              </w:rPr>
            </w:pPr>
            <w:r>
              <w:rPr>
                <w:rFonts w:ascii="Arial" w:cs="Arial" w:eastAsia="Arial" w:hAnsi="Arial"/>
                <w:sz w:val="18"/>
                <w:szCs w:val="18"/>
                <w:color w:val="auto"/>
              </w:rPr>
              <w:t>622</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3,267</w:t>
            </w:r>
          </w:p>
        </w:tc>
        <w:tc>
          <w:tcPr>
            <w:tcW w:w="1380" w:type="dxa"/>
            <w:vAlign w:val="bottom"/>
          </w:tcPr>
          <w:p>
            <w:pPr>
              <w:jc w:val="right"/>
              <w:ind w:right="390"/>
              <w:spacing w:after="0"/>
              <w:rPr>
                <w:sz w:val="20"/>
                <w:szCs w:val="20"/>
                <w:color w:val="auto"/>
              </w:rPr>
            </w:pPr>
            <w:r>
              <w:rPr>
                <w:rFonts w:ascii="Arial" w:cs="Arial" w:eastAsia="Arial" w:hAnsi="Arial"/>
                <w:sz w:val="18"/>
                <w:szCs w:val="18"/>
                <w:color w:val="auto"/>
              </w:rPr>
              <w:t>1,044</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4,344</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2,054</w:t>
            </w:r>
          </w:p>
        </w:tc>
        <w:tc>
          <w:tcPr>
            <w:tcW w:w="920" w:type="dxa"/>
            <w:vAlign w:val="bottom"/>
          </w:tcPr>
          <w:p>
            <w:pPr>
              <w:jc w:val="right"/>
              <w:spacing w:after="0"/>
              <w:rPr>
                <w:sz w:val="20"/>
                <w:szCs w:val="20"/>
                <w:color w:val="auto"/>
              </w:rPr>
            </w:pPr>
            <w:r>
              <w:rPr>
                <w:rFonts w:ascii="Arial" w:cs="Arial" w:eastAsia="Arial" w:hAnsi="Arial"/>
                <w:sz w:val="18"/>
                <w:szCs w:val="18"/>
                <w:color w:val="auto"/>
              </w:rPr>
              <w:t>10,737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-299720</wp:posOffset>
            </wp:positionV>
            <wp:extent cx="724662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60" w:space="720"/>
            <w:col w:w="7340"/>
          </w:cols>
          <w:pgMar w:left="240" w:top="88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0"/>
        </w:trPr>
        <w:tc>
          <w:tcPr>
            <w:tcW w:w="34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1,652</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12,615</w:t>
            </w:r>
          </w:p>
        </w:tc>
        <w:tc>
          <w:tcPr>
            <w:tcW w:w="1400" w:type="dxa"/>
            <w:vAlign w:val="bottom"/>
            <w:gridSpan w:val="2"/>
          </w:tcPr>
          <w:p>
            <w:pPr>
              <w:jc w:val="right"/>
              <w:ind w:right="360"/>
              <w:spacing w:after="0" w:line="189" w:lineRule="exact"/>
              <w:rPr>
                <w:sz w:val="20"/>
                <w:szCs w:val="20"/>
                <w:color w:val="auto"/>
              </w:rPr>
            </w:pPr>
            <w:r>
              <w:rPr>
                <w:rFonts w:ascii="Arial" w:cs="Arial" w:eastAsia="Arial" w:hAnsi="Arial"/>
                <w:sz w:val="18"/>
                <w:szCs w:val="18"/>
                <w:color w:val="auto"/>
              </w:rPr>
              <w:t>1,676</w:t>
            </w:r>
          </w:p>
        </w:tc>
        <w:tc>
          <w:tcPr>
            <w:tcW w:w="26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8,745</w:t>
            </w:r>
          </w:p>
        </w:tc>
        <w:tc>
          <w:tcPr>
            <w:tcW w:w="1340" w:type="dxa"/>
            <w:vAlign w:val="bottom"/>
            <w:gridSpan w:val="2"/>
          </w:tcPr>
          <w:p>
            <w:pPr>
              <w:jc w:val="right"/>
              <w:ind w:right="320"/>
              <w:spacing w:after="0" w:line="189" w:lineRule="exact"/>
              <w:rPr>
                <w:sz w:val="20"/>
                <w:szCs w:val="20"/>
                <w:color w:val="auto"/>
              </w:rPr>
            </w:pPr>
            <w:r>
              <w:rPr>
                <w:rFonts w:ascii="Arial" w:cs="Arial" w:eastAsia="Arial" w:hAnsi="Arial"/>
                <w:sz w:val="18"/>
                <w:szCs w:val="18"/>
                <w:color w:val="auto"/>
              </w:rPr>
              <w:t>3,265</w:t>
            </w:r>
          </w:p>
        </w:tc>
        <w:tc>
          <w:tcPr>
            <w:tcW w:w="2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16,655</w:t>
            </w:r>
          </w:p>
        </w:tc>
        <w:tc>
          <w:tcPr>
            <w:tcW w:w="80" w:type="dxa"/>
            <w:vAlign w:val="bottom"/>
          </w:tcPr>
          <w:p>
            <w:pPr>
              <w:spacing w:after="0"/>
              <w:rPr>
                <w:sz w:val="16"/>
                <w:szCs w:val="16"/>
                <w:color w:val="auto"/>
              </w:rPr>
            </w:pPr>
          </w:p>
        </w:tc>
      </w:tr>
      <w:tr>
        <w:trPr>
          <w:trHeight w:val="230"/>
        </w:trPr>
        <w:tc>
          <w:tcPr>
            <w:tcW w:w="344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76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76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780" w:type="dxa"/>
            <w:vAlign w:val="bottom"/>
            <w:tcBorders>
              <w:bottom w:val="single" w:sz="8" w:color="auto"/>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 accounts with extensions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20,855</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232,720</w:t>
            </w: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18,565</w:t>
            </w:r>
          </w:p>
        </w:tc>
        <w:tc>
          <w:tcPr>
            <w:tcW w:w="36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120,138</w:t>
            </w:r>
          </w:p>
        </w:tc>
        <w:tc>
          <w:tcPr>
            <w:tcW w:w="3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25,963</w:t>
            </w:r>
          </w:p>
        </w:tc>
        <w:tc>
          <w:tcPr>
            <w:tcW w:w="32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159,797</w:t>
            </w: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9"/>
        </w:trPr>
        <w:tc>
          <w:tcPr>
            <w:tcW w:w="3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0"/>
        <w:spacing w:after="0" w:line="288" w:lineRule="auto"/>
        <w:rPr>
          <w:sz w:val="20"/>
          <w:szCs w:val="20"/>
          <w:color w:val="auto"/>
        </w:rPr>
      </w:pPr>
      <w:r>
        <w:rPr>
          <w:rFonts w:ascii="Arial" w:cs="Arial" w:eastAsia="Arial" w:hAnsi="Arial"/>
          <w:sz w:val="16"/>
          <w:szCs w:val="16"/>
          <w:i w:val="1"/>
          <w:iCs w:val="1"/>
          <w:color w:val="auto"/>
        </w:rPr>
        <w:t xml:space="preserve">Delinquency Experience </w:t>
      </w:r>
      <w:r>
        <w:rPr>
          <w:rFonts w:ascii="Arial" w:cs="Arial" w:eastAsia="Arial" w:hAnsi="Arial"/>
          <w:sz w:val="16"/>
          <w:szCs w:val="16"/>
          <w:color w:val="auto"/>
        </w:rPr>
        <w:t>Gross servicing portfolio (1) Period of delinquency (2)</w:t>
      </w:r>
    </w:p>
    <w:p>
      <w:pPr>
        <w:spacing w:after="0"/>
        <w:rPr>
          <w:sz w:val="20"/>
          <w:szCs w:val="20"/>
          <w:color w:val="auto"/>
        </w:rPr>
      </w:pPr>
      <w:r>
        <w:rPr>
          <w:rFonts w:ascii="Arial" w:cs="Arial" w:eastAsia="Arial" w:hAnsi="Arial"/>
          <w:sz w:val="18"/>
          <w:szCs w:val="18"/>
          <w:color w:val="auto"/>
        </w:rPr>
        <w:t>31-60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days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delinquencies (2)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Amount in repossession (3)</w:t>
      </w:r>
    </w:p>
    <w:p>
      <w:pPr>
        <w:spacing w:after="0" w:line="9" w:lineRule="exact"/>
        <w:rPr>
          <w:sz w:val="20"/>
          <w:szCs w:val="20"/>
          <w:color w:val="auto"/>
        </w:rPr>
      </w:pPr>
    </w:p>
    <w:p>
      <w:pPr>
        <w:ind w:left="200" w:right="580" w:hanging="197"/>
        <w:spacing w:after="0" w:line="273" w:lineRule="auto"/>
        <w:rPr>
          <w:sz w:val="20"/>
          <w:szCs w:val="20"/>
          <w:color w:val="auto"/>
        </w:rPr>
      </w:pPr>
      <w:r>
        <w:rPr>
          <w:rFonts w:ascii="Arial" w:cs="Arial" w:eastAsia="Arial" w:hAnsi="Arial"/>
          <w:sz w:val="18"/>
          <w:szCs w:val="18"/>
          <w:color w:val="auto"/>
        </w:rPr>
        <w:t>Total delinquencies and amount in repossession (2)</w:t>
      </w:r>
    </w:p>
    <w:p>
      <w:pPr>
        <w:spacing w:after="0" w:line="1" w:lineRule="exact"/>
        <w:rPr>
          <w:sz w:val="20"/>
          <w:szCs w:val="20"/>
          <w:color w:val="auto"/>
        </w:rPr>
      </w:pPr>
    </w:p>
    <w:p>
      <w:pPr>
        <w:ind w:left="200" w:right="260" w:hanging="197"/>
        <w:spacing w:after="0" w:line="277" w:lineRule="auto"/>
        <w:rPr>
          <w:sz w:val="20"/>
          <w:szCs w:val="20"/>
          <w:color w:val="auto"/>
        </w:rPr>
      </w:pPr>
      <w:r>
        <w:rPr>
          <w:rFonts w:ascii="Arial" w:cs="Arial" w:eastAsia="Arial" w:hAnsi="Arial"/>
          <w:sz w:val="18"/>
          <w:szCs w:val="18"/>
          <w:color w:val="auto"/>
        </w:rPr>
        <w:t>Delinquencies as a percentage of gross servicing portfolio</w:t>
      </w:r>
    </w:p>
    <w:p>
      <w:pPr>
        <w:spacing w:after="0" w:line="184" w:lineRule="exact"/>
        <w:rPr>
          <w:sz w:val="20"/>
          <w:szCs w:val="20"/>
          <w:color w:val="auto"/>
        </w:rPr>
      </w:pPr>
    </w:p>
    <w:p>
      <w:pPr>
        <w:ind w:left="200" w:right="180" w:hanging="197"/>
        <w:spacing w:after="0" w:line="264" w:lineRule="auto"/>
        <w:rPr>
          <w:sz w:val="20"/>
          <w:szCs w:val="20"/>
          <w:color w:val="auto"/>
        </w:rPr>
      </w:pPr>
      <w:r>
        <w:rPr>
          <w:rFonts w:ascii="Arial" w:cs="Arial" w:eastAsia="Arial" w:hAnsi="Arial"/>
          <w:sz w:val="18"/>
          <w:szCs w:val="18"/>
          <w:color w:val="auto"/>
        </w:rPr>
        <w:t>Total delinquencies and amount in repossession as a percentage of gross servicing portfolio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Experience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Contracts with one extension, accruing (4) Contracts with two or more extensions,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accruing (4)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one extension, non-accrual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200" w:right="220" w:hanging="197"/>
        <w:spacing w:after="0" w:line="276" w:lineRule="auto"/>
        <w:rPr>
          <w:sz w:val="20"/>
          <w:szCs w:val="20"/>
          <w:color w:val="auto"/>
        </w:rPr>
      </w:pPr>
      <w:r>
        <w:rPr>
          <w:rFonts w:ascii="Arial" w:cs="Arial" w:eastAsia="Arial" w:hAnsi="Arial"/>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ind w:right="3440"/>
        <w:spacing w:after="0"/>
        <w:rPr>
          <w:sz w:val="20"/>
          <w:szCs w:val="20"/>
          <w:color w:val="auto"/>
        </w:rPr>
      </w:pPr>
      <w:r>
        <w:rPr>
          <w:rFonts w:ascii="Arial" w:cs="Arial" w:eastAsia="Arial" w:hAnsi="Arial"/>
          <w:sz w:val="18"/>
          <w:szCs w:val="18"/>
          <w:b w:val="1"/>
          <w:bCs w:val="1"/>
          <w:color w:val="auto"/>
        </w:rPr>
        <w:t>Fireside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 2013</w:t>
            </w:r>
          </w:p>
        </w:tc>
        <w:tc>
          <w:tcPr>
            <w:tcW w:w="274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2012</w:t>
            </w:r>
          </w:p>
        </w:tc>
        <w:tc>
          <w:tcPr>
            <w:tcW w:w="23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December 31, 2011</w:t>
            </w:r>
          </w:p>
        </w:tc>
      </w:tr>
      <w:tr>
        <w:trPr>
          <w:trHeight w:val="191"/>
        </w:trPr>
        <w:tc>
          <w:tcPr>
            <w:tcW w:w="122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Number of</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Number of</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34"/>
        </w:trPr>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Contracts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195"/>
        </w:trPr>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6"/>
          </w:tcPr>
          <w:p>
            <w:pPr>
              <w:ind w:left="300"/>
              <w:spacing w:after="0" w:line="195" w:lineRule="exact"/>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4,893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14,786</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15,039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60,804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33,256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172,248</w:t>
            </w:r>
          </w:p>
        </w:tc>
      </w:tr>
      <w:tr>
        <w:trPr>
          <w:trHeight w:val="418"/>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878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2,206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4,872</w:t>
            </w: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710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1,767</w:t>
            </w: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332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09"/>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w:t>
            </w:r>
          </w:p>
        </w:tc>
        <w:tc>
          <w:tcPr>
            <w:tcW w:w="3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7,542</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703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1,481</w:t>
            </w: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439"/>
        </w:trPr>
        <w:tc>
          <w:tcPr>
            <w:tcW w:w="1040" w:type="dxa"/>
            <w:vAlign w:val="bottom"/>
          </w:tcPr>
          <w:p>
            <w:pPr>
              <w:jc w:val="right"/>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1,485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1,114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3,951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1,995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9,023</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878"/>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662"/>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3,945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3,117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15,262</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4,462</w:t>
            </w:r>
          </w:p>
        </w:tc>
      </w:tr>
      <w:tr>
        <w:trPr>
          <w:trHeight w:val="44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2,924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717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4"/>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6,869</w:t>
            </w:r>
          </w:p>
        </w:tc>
        <w:tc>
          <w:tcPr>
            <w:tcW w:w="3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15,979</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4,470</w:t>
            </w:r>
          </w:p>
        </w:tc>
      </w:tr>
      <w:tr>
        <w:trPr>
          <w:trHeight w:val="647"/>
        </w:trPr>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726</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44"/>
        </w:trPr>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-3677285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-3402965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-3128010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-2836545</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-2107565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-1550035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-1275715</wp:posOffset>
            </wp:positionV>
            <wp:extent cx="72466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-847090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-563880</wp:posOffset>
            </wp:positionV>
            <wp:extent cx="72466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060" w:space="380"/>
            <w:col w:w="798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20" w:type="dxa"/>
            <w:vAlign w:val="bottom"/>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shd w:val="clear" w:color="auto" w:fill="EEEEEE"/>
          </w:tcPr>
          <w:p>
            <w:pPr>
              <w:spacing w:after="0"/>
              <w:rPr>
                <w:sz w:val="16"/>
                <w:szCs w:val="16"/>
                <w:color w:val="auto"/>
              </w:rPr>
            </w:pPr>
          </w:p>
        </w:tc>
        <w:tc>
          <w:tcPr>
            <w:tcW w:w="104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95</w:t>
            </w:r>
          </w:p>
        </w:tc>
        <w:tc>
          <w:tcPr>
            <w:tcW w:w="340" w:type="dxa"/>
            <w:vAlign w:val="bottom"/>
            <w:shd w:val="clear" w:color="auto" w:fill="EEEEEE"/>
          </w:tcPr>
          <w:p>
            <w:pPr>
              <w:spacing w:after="0"/>
              <w:rPr>
                <w:sz w:val="16"/>
                <w:szCs w:val="16"/>
                <w:color w:val="auto"/>
              </w:rPr>
            </w:pPr>
          </w:p>
        </w:tc>
        <w:tc>
          <w:tcPr>
            <w:tcW w:w="38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360"/>
              <w:spacing w:after="0" w:line="192" w:lineRule="exact"/>
              <w:rPr>
                <w:sz w:val="20"/>
                <w:szCs w:val="20"/>
                <w:color w:val="auto"/>
              </w:rPr>
            </w:pPr>
            <w:r>
              <w:rPr>
                <w:rFonts w:ascii="Arial" w:cs="Arial" w:eastAsia="Arial" w:hAnsi="Arial"/>
                <w:sz w:val="18"/>
                <w:szCs w:val="18"/>
                <w:color w:val="auto"/>
              </w:rPr>
              <w:t>273</w:t>
            </w:r>
          </w:p>
        </w:tc>
        <w:tc>
          <w:tcPr>
            <w:tcW w:w="1400" w:type="dxa"/>
            <w:vAlign w:val="bottom"/>
            <w:gridSpan w:val="2"/>
            <w:shd w:val="clear" w:color="auto" w:fill="EEEEEE"/>
          </w:tcPr>
          <w:p>
            <w:pPr>
              <w:jc w:val="right"/>
              <w:ind w:right="360"/>
              <w:spacing w:after="0" w:line="192" w:lineRule="exact"/>
              <w:rPr>
                <w:sz w:val="20"/>
                <w:szCs w:val="20"/>
                <w:color w:val="auto"/>
              </w:rPr>
            </w:pPr>
            <w:r>
              <w:rPr>
                <w:rFonts w:ascii="Arial" w:cs="Arial" w:eastAsia="Arial" w:hAnsi="Arial"/>
                <w:sz w:val="18"/>
                <w:szCs w:val="18"/>
                <w:color w:val="auto"/>
              </w:rPr>
              <w:t>166</w:t>
            </w:r>
          </w:p>
        </w:tc>
        <w:tc>
          <w:tcPr>
            <w:tcW w:w="30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746</w:t>
            </w:r>
          </w:p>
        </w:tc>
        <w:tc>
          <w:tcPr>
            <w:tcW w:w="134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3</w:t>
            </w:r>
          </w:p>
        </w:tc>
        <w:tc>
          <w:tcPr>
            <w:tcW w:w="340" w:type="dxa"/>
            <w:vAlign w:val="bottom"/>
            <w:shd w:val="clear" w:color="auto" w:fill="EEEEEE"/>
          </w:tcPr>
          <w:p>
            <w:pPr>
              <w:spacing w:after="0"/>
              <w:rPr>
                <w:sz w:val="16"/>
                <w:szCs w:val="16"/>
                <w:color w:val="auto"/>
              </w:rPr>
            </w:pPr>
          </w:p>
        </w:tc>
        <w:tc>
          <w:tcPr>
            <w:tcW w:w="78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25</w:t>
            </w:r>
          </w:p>
        </w:tc>
      </w:tr>
      <w:tr>
        <w:trPr>
          <w:trHeight w:val="230"/>
        </w:trPr>
        <w:tc>
          <w:tcPr>
            <w:tcW w:w="20" w:type="dxa"/>
            <w:vAlign w:val="bottom"/>
          </w:tcPr>
          <w:p>
            <w:pPr>
              <w:spacing w:after="0"/>
              <w:rPr>
                <w:sz w:val="19"/>
                <w:szCs w:val="19"/>
                <w:color w:val="auto"/>
              </w:rPr>
            </w:pPr>
          </w:p>
        </w:tc>
        <w:tc>
          <w:tcPr>
            <w:tcW w:w="342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1,983</w:t>
            </w:r>
          </w:p>
        </w:tc>
        <w:tc>
          <w:tcPr>
            <w:tcW w:w="340" w:type="dxa"/>
            <w:vAlign w:val="bottom"/>
            <w:tcBorders>
              <w:bottom w:val="single" w:sz="8" w:color="EEEEEE"/>
            </w:tcBorders>
            <w:shd w:val="clear" w:color="auto" w:fill="EEEEEE"/>
          </w:tcPr>
          <w:p>
            <w:pPr>
              <w:spacing w:after="0"/>
              <w:rPr>
                <w:sz w:val="19"/>
                <w:szCs w:val="19"/>
                <w:color w:val="auto"/>
              </w:rPr>
            </w:pPr>
          </w:p>
        </w:tc>
        <w:tc>
          <w:tcPr>
            <w:tcW w:w="380" w:type="dxa"/>
            <w:vAlign w:val="bottom"/>
            <w:tcBorders>
              <w:bottom w:val="single" w:sz="8" w:color="auto"/>
            </w:tcBorders>
            <w:shd w:val="clear" w:color="auto" w:fill="EEEEEE"/>
          </w:tcPr>
          <w:p>
            <w:pPr>
              <w:jc w:val="right"/>
              <w:ind w:right="1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7,142</w:t>
            </w:r>
          </w:p>
        </w:tc>
        <w:tc>
          <w:tcPr>
            <w:tcW w:w="36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3,417</w:t>
            </w:r>
          </w:p>
        </w:tc>
        <w:tc>
          <w:tcPr>
            <w:tcW w:w="36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16,725</w:t>
            </w:r>
          </w:p>
        </w:tc>
        <w:tc>
          <w:tcPr>
            <w:tcW w:w="32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729</w:t>
            </w:r>
          </w:p>
        </w:tc>
        <w:tc>
          <w:tcPr>
            <w:tcW w:w="32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4,495</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000"/>
        <w:spacing w:after="0" w:line="288" w:lineRule="auto"/>
        <w:rPr>
          <w:sz w:val="20"/>
          <w:szCs w:val="20"/>
          <w:color w:val="auto"/>
        </w:rPr>
      </w:pPr>
      <w:r>
        <w:rPr>
          <w:rFonts w:ascii="Arial" w:cs="Arial" w:eastAsia="Arial" w:hAnsi="Arial"/>
          <w:sz w:val="16"/>
          <w:szCs w:val="16"/>
          <w:i w:val="1"/>
          <w:iCs w:val="1"/>
          <w:color w:val="auto"/>
        </w:rPr>
        <w:t xml:space="preserve">Delinquency Experience </w:t>
      </w:r>
      <w:r>
        <w:rPr>
          <w:rFonts w:ascii="Arial" w:cs="Arial" w:eastAsia="Arial" w:hAnsi="Arial"/>
          <w:sz w:val="16"/>
          <w:szCs w:val="16"/>
          <w:color w:val="auto"/>
        </w:rPr>
        <w:t>Gross servicing portfolio (1) Period of delinquency (2)</w:t>
      </w:r>
    </w:p>
    <w:p>
      <w:pPr>
        <w:spacing w:after="0"/>
        <w:rPr>
          <w:sz w:val="20"/>
          <w:szCs w:val="20"/>
          <w:color w:val="auto"/>
        </w:rPr>
      </w:pPr>
      <w:r>
        <w:rPr>
          <w:rFonts w:ascii="Arial" w:cs="Arial" w:eastAsia="Arial" w:hAnsi="Arial"/>
          <w:sz w:val="18"/>
          <w:szCs w:val="18"/>
          <w:color w:val="auto"/>
        </w:rPr>
        <w:t>31-60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 days</w:t>
      </w:r>
    </w:p>
    <w:p>
      <w:pPr>
        <w:spacing w:after="0" w:line="22" w:lineRule="exact"/>
        <w:rPr>
          <w:sz w:val="20"/>
          <w:szCs w:val="20"/>
          <w:color w:val="auto"/>
        </w:rPr>
      </w:pPr>
    </w:p>
    <w:p>
      <w:pPr>
        <w:ind w:right="1060"/>
        <w:spacing w:after="0" w:line="291" w:lineRule="auto"/>
        <w:rPr>
          <w:sz w:val="20"/>
          <w:szCs w:val="20"/>
          <w:color w:val="auto"/>
        </w:rPr>
      </w:pPr>
      <w:r>
        <w:rPr>
          <w:rFonts w:ascii="Arial" w:cs="Arial" w:eastAsia="Arial" w:hAnsi="Arial"/>
          <w:sz w:val="16"/>
          <w:szCs w:val="16"/>
          <w:color w:val="auto"/>
        </w:rPr>
        <w:t>Total delinquencies (2) … Amount in repossession (3)</w:t>
      </w:r>
    </w:p>
    <w:p>
      <w:pPr>
        <w:ind w:left="200" w:right="580" w:hanging="197"/>
        <w:spacing w:after="0" w:line="273" w:lineRule="auto"/>
        <w:rPr>
          <w:sz w:val="20"/>
          <w:szCs w:val="20"/>
          <w:color w:val="auto"/>
        </w:rPr>
      </w:pPr>
      <w:r>
        <w:rPr>
          <w:rFonts w:ascii="Arial" w:cs="Arial" w:eastAsia="Arial" w:hAnsi="Arial"/>
          <w:sz w:val="18"/>
          <w:szCs w:val="18"/>
          <w:color w:val="auto"/>
        </w:rPr>
        <w:t>Total delinquencies and amount in repossession (2)</w:t>
      </w:r>
    </w:p>
    <w:p>
      <w:pPr>
        <w:spacing w:after="0" w:line="1" w:lineRule="exact"/>
        <w:rPr>
          <w:sz w:val="20"/>
          <w:szCs w:val="20"/>
          <w:color w:val="auto"/>
        </w:rPr>
      </w:pPr>
    </w:p>
    <w:p>
      <w:pPr>
        <w:ind w:left="200" w:right="260" w:hanging="197"/>
        <w:spacing w:after="0" w:line="258" w:lineRule="auto"/>
        <w:rPr>
          <w:sz w:val="20"/>
          <w:szCs w:val="20"/>
          <w:color w:val="auto"/>
        </w:rPr>
      </w:pPr>
      <w:r>
        <w:rPr>
          <w:rFonts w:ascii="Arial" w:cs="Arial" w:eastAsia="Arial" w:hAnsi="Arial"/>
          <w:sz w:val="18"/>
          <w:szCs w:val="18"/>
          <w:color w:val="auto"/>
        </w:rPr>
        <w:t>Delinquencies as a percentage of gross servicing portfolio</w:t>
      </w:r>
    </w:p>
    <w:p>
      <w:pPr>
        <w:spacing w:after="0" w:line="1" w:lineRule="exact"/>
        <w:rPr>
          <w:sz w:val="20"/>
          <w:szCs w:val="20"/>
          <w:color w:val="auto"/>
        </w:rPr>
      </w:pPr>
    </w:p>
    <w:p>
      <w:pPr>
        <w:ind w:left="200" w:right="180" w:hanging="197"/>
        <w:spacing w:after="0" w:line="263" w:lineRule="auto"/>
        <w:rPr>
          <w:sz w:val="20"/>
          <w:szCs w:val="20"/>
          <w:color w:val="auto"/>
        </w:rPr>
      </w:pPr>
      <w:r>
        <w:rPr>
          <w:rFonts w:ascii="Arial" w:cs="Arial" w:eastAsia="Arial" w:hAnsi="Arial"/>
          <w:sz w:val="18"/>
          <w:szCs w:val="18"/>
          <w:color w:val="auto"/>
        </w:rPr>
        <w:t>Total delinquencies and amount in repossession as a percentage of gross servicing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 Experience</w:t>
      </w:r>
    </w:p>
    <w:p>
      <w:pPr>
        <w:spacing w:after="0" w:line="2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Contracts with one extension, accruing (4) Contracts with two or more extensions,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accruing (4)</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Contracts with one extension, non-accrual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200" w:right="220" w:hanging="197"/>
        <w:spacing w:after="0" w:line="276" w:lineRule="auto"/>
        <w:rPr>
          <w:sz w:val="20"/>
          <w:szCs w:val="20"/>
          <w:color w:val="auto"/>
        </w:rPr>
      </w:pPr>
      <w:r>
        <w:rPr>
          <w:rFonts w:ascii="Arial" w:cs="Arial" w:eastAsia="Arial" w:hAnsi="Arial"/>
          <w:sz w:val="18"/>
          <w:szCs w:val="18"/>
          <w:color w:val="auto"/>
        </w:rPr>
        <w:t>Contracts with two or more extensions, non-accrual (4)</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8"/>
          <w:szCs w:val="18"/>
          <w:b w:val="1"/>
          <w:bCs w:val="1"/>
          <w:color w:val="auto"/>
        </w:rPr>
        <w:t>Delinquency and Extension Experience (1)</w:t>
      </w:r>
    </w:p>
    <w:p>
      <w:pPr>
        <w:spacing w:after="0" w:line="27" w:lineRule="exact"/>
        <w:rPr>
          <w:sz w:val="20"/>
          <w:szCs w:val="20"/>
          <w:color w:val="auto"/>
        </w:rPr>
      </w:pPr>
    </w:p>
    <w:p>
      <w:pPr>
        <w:jc w:val="center"/>
        <w:ind w:right="3440"/>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 2013</w:t>
            </w:r>
          </w:p>
        </w:tc>
        <w:tc>
          <w:tcPr>
            <w:tcW w:w="274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 2012</w:t>
            </w:r>
          </w:p>
        </w:tc>
        <w:tc>
          <w:tcPr>
            <w:tcW w:w="23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December 31, 2011</w:t>
            </w:r>
          </w:p>
        </w:tc>
      </w:tr>
      <w:tr>
        <w:trPr>
          <w:trHeight w:val="191"/>
        </w:trPr>
        <w:tc>
          <w:tcPr>
            <w:tcW w:w="1220" w:type="dxa"/>
            <w:vAlign w:val="bottom"/>
            <w:tcBorders>
              <w:top w:val="single" w:sz="8" w:color="auto"/>
            </w:tcBorders>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Borders>
              <w:top w:val="single" w:sz="8" w:color="auto"/>
            </w:tcBorders>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rPr>
              <w:t>Number of</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1"/>
              </w:rPr>
              <w:t>Number of</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r>
      <w:tr>
        <w:trPr>
          <w:trHeight w:val="234"/>
        </w:trPr>
        <w:tc>
          <w:tcPr>
            <w:tcW w:w="12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Contracts</w:t>
            </w: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195"/>
        </w:trPr>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6"/>
          </w:tcPr>
          <w:p>
            <w:pPr>
              <w:ind w:left="300"/>
              <w:spacing w:after="0" w:line="195" w:lineRule="exact"/>
              <w:rPr>
                <w:sz w:val="20"/>
                <w:szCs w:val="20"/>
                <w:color w:val="auto"/>
              </w:rPr>
            </w:pPr>
            <w:r>
              <w:rPr>
                <w:rFonts w:ascii="Arial" w:cs="Arial" w:eastAsia="Arial" w:hAnsi="Arial"/>
                <w:sz w:val="18"/>
                <w:szCs w:val="18"/>
                <w:b w:val="1"/>
                <w:bCs w:val="1"/>
                <w:color w:val="auto"/>
              </w:rPr>
              <w:t>(Dollars in thousands)</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99,099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1,228,579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89,163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885,993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103,021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761,241</w:t>
            </w:r>
          </w:p>
        </w:tc>
      </w:tr>
      <w:tr>
        <w:trPr>
          <w:trHeight w:val="418"/>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22,765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3,166</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20,240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3,139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15,581</w:t>
            </w: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2,149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25,167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10,070</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8,339</w:t>
            </w:r>
          </w:p>
        </w:tc>
      </w:tr>
      <w:tr>
        <w:trPr>
          <w:trHeight w:val="230"/>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11,294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5,628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9,811</w:t>
            </w:r>
          </w:p>
        </w:tc>
      </w:tr>
      <w:tr>
        <w:trPr>
          <w:trHeight w:val="209"/>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59,226</w:t>
            </w:r>
          </w:p>
        </w:tc>
        <w:tc>
          <w:tcPr>
            <w:tcW w:w="36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35,938</w:t>
            </w:r>
          </w:p>
        </w:tc>
        <w:tc>
          <w:tcPr>
            <w:tcW w:w="3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33,731</w:t>
            </w: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2,991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23,130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13,209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2,444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11,578</w:t>
            </w:r>
          </w:p>
        </w:tc>
      </w:tr>
      <w:tr>
        <w:trPr>
          <w:trHeight w:val="20"/>
        </w:trPr>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439"/>
        </w:trPr>
        <w:tc>
          <w:tcPr>
            <w:tcW w:w="1040" w:type="dxa"/>
            <w:vAlign w:val="bottom"/>
          </w:tcPr>
          <w:p>
            <w:pPr>
              <w:jc w:val="right"/>
              <w:spacing w:after="0"/>
              <w:rPr>
                <w:sz w:val="20"/>
                <w:szCs w:val="20"/>
                <w:color w:val="auto"/>
              </w:rPr>
            </w:pPr>
            <w:r>
              <w:rPr>
                <w:rFonts w:ascii="Arial" w:cs="Arial" w:eastAsia="Arial" w:hAnsi="Arial"/>
                <w:sz w:val="18"/>
                <w:szCs w:val="18"/>
                <w:color w:val="auto"/>
              </w:rPr>
              <w:t>9,428</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82,356</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7,543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49,147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8,903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45,309</w:t>
            </w:r>
          </w:p>
        </w:tc>
      </w:tr>
      <w:tr>
        <w:trPr>
          <w:trHeight w:val="20"/>
        </w:trPr>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9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662"/>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662"/>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14,957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180,181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12,211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88,894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12,907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79,617</w:t>
            </w:r>
          </w:p>
        </w:tc>
      </w:tr>
      <w:tr>
        <w:trPr>
          <w:trHeight w:val="446"/>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6,134</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46,793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7,929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38,478</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10,517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67,995</w:t>
            </w:r>
          </w:p>
        </w:tc>
      </w:tr>
      <w:tr>
        <w:trPr>
          <w:trHeight w:val="224"/>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226,974</w:t>
            </w:r>
          </w:p>
        </w:tc>
        <w:tc>
          <w:tcPr>
            <w:tcW w:w="36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127,372</w:t>
            </w:r>
          </w:p>
        </w:tc>
        <w:tc>
          <w:tcPr>
            <w:tcW w:w="3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147,612</w:t>
            </w:r>
          </w:p>
        </w:tc>
      </w:tr>
      <w:tr>
        <w:trPr>
          <w:trHeight w:val="647"/>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9,503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792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5,127</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1,214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5,943</w:t>
            </w:r>
          </w:p>
        </w:tc>
      </w:tr>
      <w:tr>
        <w:trPr>
          <w:trHeight w:val="444"/>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3,385</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4,364</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2,054</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-3540125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-3265170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-2990850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-2699385</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-2253615</wp:posOffset>
            </wp:positionV>
            <wp:extent cx="724662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-1550035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-1275715</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-847090</wp:posOffset>
            </wp:positionV>
            <wp:extent cx="72466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-563880</wp:posOffset>
            </wp:positionV>
            <wp:extent cx="7246620" cy="283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3060" w:space="380"/>
            <w:col w:w="7980"/>
          </w:cols>
          <w:pgMar w:left="240" w:top="877"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420" w:type="dxa"/>
            <w:vAlign w:val="bottom"/>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EEEEEE"/>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420" w:type="dxa"/>
            <w:vAlign w:val="bottom"/>
            <w:shd w:val="clear" w:color="auto" w:fill="EEEEEE"/>
          </w:tcPr>
          <w:p>
            <w:pPr>
              <w:spacing w:after="0"/>
              <w:rPr>
                <w:sz w:val="16"/>
                <w:szCs w:val="16"/>
                <w:color w:val="auto"/>
              </w:rPr>
            </w:pPr>
          </w:p>
        </w:tc>
        <w:tc>
          <w:tcPr>
            <w:tcW w:w="1040" w:type="dxa"/>
            <w:vAlign w:val="bottom"/>
            <w:shd w:val="clear" w:color="auto" w:fill="EEEEEE"/>
          </w:tcPr>
          <w:p>
            <w:pPr>
              <w:jc w:val="right"/>
              <w:spacing w:after="0" w:line="192" w:lineRule="exact"/>
              <w:rPr>
                <w:sz w:val="20"/>
                <w:szCs w:val="20"/>
                <w:color w:val="auto"/>
              </w:rPr>
            </w:pPr>
            <w:r>
              <w:rPr>
                <w:rFonts w:ascii="Arial" w:cs="Arial" w:eastAsia="Arial" w:hAnsi="Arial"/>
                <w:sz w:val="18"/>
                <w:szCs w:val="18"/>
                <w:color w:val="auto"/>
              </w:rPr>
              <w:t>1,747</w:t>
            </w:r>
          </w:p>
        </w:tc>
        <w:tc>
          <w:tcPr>
            <w:tcW w:w="3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360"/>
              <w:spacing w:after="0" w:line="192" w:lineRule="exact"/>
              <w:rPr>
                <w:sz w:val="20"/>
                <w:szCs w:val="20"/>
                <w:color w:val="auto"/>
              </w:rPr>
            </w:pPr>
            <w:r>
              <w:rPr>
                <w:rFonts w:ascii="Arial" w:cs="Arial" w:eastAsia="Arial" w:hAnsi="Arial"/>
                <w:sz w:val="18"/>
                <w:szCs w:val="18"/>
                <w:color w:val="auto"/>
              </w:rPr>
              <w:t>12,888</w:t>
            </w:r>
          </w:p>
        </w:tc>
        <w:tc>
          <w:tcPr>
            <w:tcW w:w="1400" w:type="dxa"/>
            <w:vAlign w:val="bottom"/>
            <w:gridSpan w:val="2"/>
            <w:shd w:val="clear" w:color="auto" w:fill="EEEEEE"/>
          </w:tcPr>
          <w:p>
            <w:pPr>
              <w:jc w:val="right"/>
              <w:ind w:right="360"/>
              <w:spacing w:after="0" w:line="192" w:lineRule="exact"/>
              <w:rPr>
                <w:sz w:val="20"/>
                <w:szCs w:val="20"/>
                <w:color w:val="auto"/>
              </w:rPr>
            </w:pPr>
            <w:r>
              <w:rPr>
                <w:rFonts w:ascii="Arial" w:cs="Arial" w:eastAsia="Arial" w:hAnsi="Arial"/>
                <w:sz w:val="18"/>
                <w:szCs w:val="18"/>
                <w:color w:val="auto"/>
              </w:rPr>
              <w:t>1,842</w:t>
            </w:r>
          </w:p>
        </w:tc>
        <w:tc>
          <w:tcPr>
            <w:tcW w:w="26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9,491</w:t>
            </w:r>
          </w:p>
        </w:tc>
        <w:tc>
          <w:tcPr>
            <w:tcW w:w="1340" w:type="dxa"/>
            <w:vAlign w:val="bottom"/>
            <w:gridSpan w:val="2"/>
            <w:shd w:val="clear" w:color="auto" w:fill="EEEEEE"/>
          </w:tcPr>
          <w:p>
            <w:pPr>
              <w:jc w:val="right"/>
              <w:ind w:right="320"/>
              <w:spacing w:after="0" w:line="192" w:lineRule="exact"/>
              <w:rPr>
                <w:sz w:val="20"/>
                <w:szCs w:val="20"/>
                <w:color w:val="auto"/>
              </w:rPr>
            </w:pPr>
            <w:r>
              <w:rPr>
                <w:rFonts w:ascii="Arial" w:cs="Arial" w:eastAsia="Arial" w:hAnsi="Arial"/>
                <w:sz w:val="18"/>
                <w:szCs w:val="18"/>
                <w:color w:val="auto"/>
              </w:rPr>
              <w:t>3,268</w:t>
            </w:r>
          </w:p>
        </w:tc>
        <w:tc>
          <w:tcPr>
            <w:tcW w:w="260" w:type="dxa"/>
            <w:vAlign w:val="bottom"/>
            <w:shd w:val="clear" w:color="auto" w:fill="EEEEEE"/>
          </w:tcPr>
          <w:p>
            <w:pPr>
              <w:spacing w:after="0"/>
              <w:rPr>
                <w:sz w:val="16"/>
                <w:szCs w:val="16"/>
                <w:color w:val="auto"/>
              </w:rPr>
            </w:pPr>
          </w:p>
        </w:tc>
        <w:tc>
          <w:tcPr>
            <w:tcW w:w="860" w:type="dxa"/>
            <w:vAlign w:val="bottom"/>
            <w:gridSpan w:val="2"/>
            <w:shd w:val="clear" w:color="auto" w:fill="EEEEEE"/>
          </w:tcPr>
          <w:p>
            <w:pPr>
              <w:jc w:val="right"/>
              <w:ind w:right="100"/>
              <w:spacing w:after="0" w:line="192" w:lineRule="exact"/>
              <w:rPr>
                <w:sz w:val="20"/>
                <w:szCs w:val="20"/>
                <w:color w:val="auto"/>
              </w:rPr>
            </w:pPr>
            <w:r>
              <w:rPr>
                <w:rFonts w:ascii="Arial" w:cs="Arial" w:eastAsia="Arial" w:hAnsi="Arial"/>
                <w:sz w:val="18"/>
                <w:szCs w:val="18"/>
                <w:color w:val="auto"/>
              </w:rPr>
              <w:t>16,680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with extensions</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34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239,862</w:t>
            </w:r>
          </w:p>
        </w:tc>
        <w:tc>
          <w:tcPr>
            <w:tcW w:w="36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21,982</w:t>
            </w:r>
          </w:p>
        </w:tc>
        <w:tc>
          <w:tcPr>
            <w:tcW w:w="36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136,863</w:t>
            </w:r>
          </w:p>
        </w:tc>
        <w:tc>
          <w:tcPr>
            <w:tcW w:w="320" w:type="dxa"/>
            <w:vAlign w:val="bottom"/>
            <w:tcBorders>
              <w:bottom w:val="single" w:sz="8" w:color="EEEEEE"/>
            </w:tcBorders>
            <w:shd w:val="clear" w:color="auto" w:fill="EEEEEE"/>
          </w:tcPr>
          <w:p>
            <w:pPr>
              <w:spacing w:after="0"/>
              <w:rPr>
                <w:sz w:val="19"/>
                <w:szCs w:val="19"/>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26,692</w:t>
            </w:r>
          </w:p>
        </w:tc>
        <w:tc>
          <w:tcPr>
            <w:tcW w:w="32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164,292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__________</w:t>
            </w: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00" w:hanging="332"/>
        <w:spacing w:after="0" w:line="265" w:lineRule="auto"/>
        <w:tabs>
          <w:tab w:leader="none" w:pos="340" w:val="left"/>
        </w:tabs>
        <w:numPr>
          <w:ilvl w:val="0"/>
          <w:numId w:val="2"/>
        </w:numPr>
        <w:rPr>
          <w:rFonts w:ascii="Arial" w:cs="Arial" w:eastAsia="Arial" w:hAnsi="Arial"/>
          <w:sz w:val="17"/>
          <w:szCs w:val="17"/>
          <w:i w:val="1"/>
          <w:iCs w:val="1"/>
          <w:color w:val="auto"/>
        </w:rPr>
      </w:pPr>
      <w:r>
        <w:rPr>
          <w:rFonts w:ascii="Arial" w:cs="Arial" w:eastAsia="Arial" w:hAnsi="Arial"/>
          <w:sz w:val="17"/>
          <w:szCs w:val="17"/>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purchased, including automobile contracts we subsequently sold in securitization transactions that we continue to service. The table does not include certain contracts we have serviced for third-parties on which we earn servicing fees only, and have no credit risk.</w:t>
      </w:r>
    </w:p>
    <w:p>
      <w:pPr>
        <w:ind w:left="340" w:right="60" w:hanging="332"/>
        <w:spacing w:after="0" w:line="250"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the contract balance on financed vehicles that have been repossessed but not yet liquidated.</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Net Credit Loss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 Excluding Fireside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1,044,686</w:t>
            </w:r>
          </w:p>
        </w:tc>
        <w:tc>
          <w:tcPr>
            <w:tcW w:w="64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699,030</w:t>
            </w:r>
          </w:p>
        </w:tc>
        <w:tc>
          <w:tcPr>
            <w:tcW w:w="4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597,546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1"/>
              </w:rPr>
              <w:t>Net charge-offs as a percentage of average servicing portfolio (2).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500" w:type="dxa"/>
            <w:vAlign w:val="bottom"/>
            <w:gridSpan w:val="4"/>
          </w:tcPr>
          <w:p>
            <w:pPr>
              <w:jc w:val="center"/>
              <w:ind w:left="3810"/>
              <w:spacing w:after="0"/>
              <w:rPr>
                <w:sz w:val="20"/>
                <w:szCs w:val="20"/>
                <w:color w:val="auto"/>
              </w:rPr>
            </w:pPr>
            <w:r>
              <w:rPr>
                <w:rFonts w:ascii="Arial" w:cs="Arial" w:eastAsia="Arial" w:hAnsi="Arial"/>
                <w:sz w:val="18"/>
                <w:szCs w:val="18"/>
                <w:b w:val="1"/>
                <w:bCs w:val="1"/>
                <w:color w:val="auto"/>
                <w:w w:val="90"/>
              </w:rPr>
              <w:t>Net Credit Loss Experience (1)</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680" w:type="dxa"/>
            <w:vAlign w:val="bottom"/>
            <w:gridSpan w:val="3"/>
          </w:tcPr>
          <w:p>
            <w:pPr>
              <w:jc w:val="center"/>
              <w:ind w:right="830"/>
              <w:spacing w:after="0"/>
              <w:rPr>
                <w:sz w:val="20"/>
                <w:szCs w:val="20"/>
                <w:color w:val="auto"/>
              </w:rPr>
            </w:pPr>
            <w:r>
              <w:rPr>
                <w:rFonts w:ascii="Arial" w:cs="Arial" w:eastAsia="Arial" w:hAnsi="Arial"/>
                <w:sz w:val="18"/>
                <w:szCs w:val="18"/>
                <w:b w:val="1"/>
                <w:bCs w:val="1"/>
                <w:color w:val="auto"/>
                <w:w w:val="91"/>
              </w:rPr>
              <w:t>Fireside Portfolio (3)</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31,293</w:t>
            </w:r>
          </w:p>
        </w:tc>
        <w:tc>
          <w:tcPr>
            <w:tcW w:w="64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103,548</w:t>
            </w:r>
          </w:p>
        </w:tc>
        <w:tc>
          <w:tcPr>
            <w:tcW w:w="4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191,289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1"/>
              </w:rPr>
              <w:t>Net charge-offs as a percentage of average servicing portfolio (2).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6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4.5%</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7500" w:type="dxa"/>
            <w:vAlign w:val="bottom"/>
            <w:gridSpan w:val="4"/>
          </w:tcPr>
          <w:p>
            <w:pPr>
              <w:jc w:val="center"/>
              <w:ind w:left="3810"/>
              <w:spacing w:after="0"/>
              <w:rPr>
                <w:sz w:val="20"/>
                <w:szCs w:val="20"/>
                <w:color w:val="auto"/>
              </w:rPr>
            </w:pPr>
            <w:r>
              <w:rPr>
                <w:rFonts w:ascii="Arial" w:cs="Arial" w:eastAsia="Arial" w:hAnsi="Arial"/>
                <w:sz w:val="18"/>
                <w:szCs w:val="18"/>
                <w:b w:val="1"/>
                <w:bCs w:val="1"/>
                <w:color w:val="auto"/>
                <w:w w:val="90"/>
              </w:rPr>
              <w:t>Net Credit Loss Experience (1)</w:t>
            </w: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gridSpan w:val="4"/>
          </w:tcPr>
          <w:p>
            <w:pPr>
              <w:jc w:val="center"/>
              <w:ind w:left="3790"/>
              <w:spacing w:after="0"/>
              <w:rPr>
                <w:sz w:val="20"/>
                <w:szCs w:val="20"/>
                <w:color w:val="auto"/>
              </w:rPr>
            </w:pPr>
            <w:r>
              <w:rPr>
                <w:rFonts w:ascii="Arial" w:cs="Arial" w:eastAsia="Arial" w:hAnsi="Arial"/>
                <w:sz w:val="18"/>
                <w:szCs w:val="18"/>
                <w:b w:val="1"/>
                <w:bCs w:val="1"/>
                <w:color w:val="auto"/>
                <w:w w:val="92"/>
              </w:rPr>
              <w:t>Total Owned Portfolio (3)</w:t>
            </w: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2013</w:t>
            </w:r>
          </w:p>
        </w:tc>
        <w:tc>
          <w:tcPr>
            <w:tcW w:w="6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82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13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1,075,979</w:t>
            </w:r>
          </w:p>
        </w:tc>
        <w:tc>
          <w:tcPr>
            <w:tcW w:w="64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802,579</w:t>
            </w:r>
          </w:p>
        </w:tc>
        <w:tc>
          <w:tcPr>
            <w:tcW w:w="42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788,835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2"/>
              </w:rPr>
              <w:t>Net charge-offs as a percentage of average servicing portfolio (2)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480" w:hanging="332"/>
        <w:spacing w:after="0" w:line="256"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 The information in the table represents all automobile contracts we service, excluding certain contracts we have serviced for third-parties on which we earn servicing fees only, and have no credit risk.</w:t>
      </w:r>
    </w:p>
    <w:p>
      <w:pPr>
        <w:ind w:left="340" w:right="20" w:hanging="332"/>
        <w:spacing w:after="0" w:line="250"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financial statements.</w:t>
      </w:r>
    </w:p>
    <w:p>
      <w:pPr>
        <w:spacing w:after="0" w:line="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6"/>
          <w:szCs w:val="16"/>
          <w:i w:val="1"/>
          <w:iCs w:val="1"/>
          <w:color w:val="auto"/>
        </w:rPr>
        <w:t>Amounts and percentages associated with the Fireside Portfolio reflect only the period after the acquisition of the portfolio in September 2011.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Extensions</w:t>
      </w:r>
    </w:p>
    <w:p>
      <w:pPr>
        <w:spacing w:after="0" w:line="225"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 w:name="page14"/>
    <w:bookmarkEnd w:id="13"/>
    <w:p>
      <w:pPr>
        <w:ind w:right="20" w:firstLine="324"/>
        <w:spacing w:after="0" w:line="271" w:lineRule="auto"/>
        <w:rPr>
          <w:sz w:val="20"/>
          <w:szCs w:val="20"/>
          <w:color w:val="auto"/>
        </w:rPr>
      </w:pPr>
      <w:r>
        <w:rPr>
          <w:rFonts w:ascii="Arial" w:cs="Arial" w:eastAsia="Arial" w:hAnsi="Arial"/>
          <w:sz w:val="17"/>
          <w:szCs w:val="17"/>
          <w:color w:val="auto"/>
        </w:rPr>
        <w:t>The basic question in deciding to grant an extension is whether or not we will (a) be delaying an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from the obligor, thereby indicating an additional monetary and psychological commitment to the contract on the obligor’s part. Fees collected in conjunction with an extension are credited to obligors’ outstanding accrued interest.</w:t>
      </w:r>
    </w:p>
    <w:p>
      <w:pPr>
        <w:spacing w:after="0" w:line="179"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payments;</w:t>
      </w:r>
    </w:p>
    <w:p>
      <w:pPr>
        <w:ind w:right="200" w:firstLine="8"/>
        <w:spacing w:after="0" w:line="29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16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December 31, 2013, for accounts that received extensions from 2008 through 2012: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Active or Paid</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 Active or</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 Charged</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Charged Off ≤</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 Charged</w:t>
            </w:r>
          </w:p>
        </w:tc>
        <w:tc>
          <w:tcPr>
            <w:tcW w:w="12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Off at</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Paid Off at</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&gt; 6 Months</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 &gt; 6</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6 Months</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Off ≤ 6</w:t>
            </w: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Avg Months to</w:t>
            </w:r>
          </w:p>
        </w:tc>
      </w:tr>
      <w:tr>
        <w:trPr>
          <w:trHeight w:val="216"/>
        </w:trPr>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Period of</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 Extensions</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December 31,</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Months After</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Months After</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Charge Off Post</w:t>
            </w:r>
          </w:p>
        </w:tc>
      </w:tr>
      <w:tr>
        <w:trPr>
          <w:trHeight w:val="230"/>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Granted</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Extension</w:t>
            </w:r>
          </w:p>
        </w:tc>
      </w:tr>
      <w:tr>
        <w:trPr>
          <w:trHeight w:val="210"/>
        </w:trPr>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16"/>
        </w:trPr>
        <w:tc>
          <w:tcPr>
            <w:tcW w:w="116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2008</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35,588</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11,279</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31.7%</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19,292</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54.2%</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4,819</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18</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16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32,004</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11,132</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34.8%</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15,311</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47.8%</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5,783</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16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22,593</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13,298</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58.9%</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10,870</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48.1%</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1,999</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w:t>
            </w:r>
          </w:p>
        </w:tc>
        <w:tc>
          <w:tcPr>
            <w:tcW w:w="12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16</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16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17,001</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12,311</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72.4%</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5,543</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32.6%</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w:t>
            </w:r>
          </w:p>
        </w:tc>
        <w:tc>
          <w:tcPr>
            <w:tcW w:w="12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15</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16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2012</w:t>
            </w:r>
          </w:p>
        </w:tc>
        <w:tc>
          <w:tcPr>
            <w:tcW w:w="2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18,783</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14,290</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76.1%</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3,697</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19.7%</w:t>
            </w: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796</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220" w:type="dxa"/>
            <w:vAlign w:val="bottom"/>
            <w:shd w:val="clear" w:color="auto" w:fill="EEEEEE"/>
          </w:tcPr>
          <w:p>
            <w:pPr>
              <w:jc w:val="right"/>
              <w:ind w:right="370"/>
              <w:spacing w:after="0"/>
              <w:rPr>
                <w:sz w:val="20"/>
                <w:szCs w:val="20"/>
                <w:color w:val="auto"/>
              </w:rPr>
            </w:pPr>
            <w:r>
              <w:rPr>
                <w:rFonts w:ascii="Arial" w:cs="Arial" w:eastAsia="Arial" w:hAnsi="Arial"/>
                <w:sz w:val="18"/>
                <w:szCs w:val="18"/>
                <w:color w:val="auto"/>
              </w:rPr>
              <w:t>10</w:t>
            </w:r>
          </w:p>
        </w:tc>
      </w:tr>
    </w:tbl>
    <w:p>
      <w:pPr>
        <w:spacing w:after="0"/>
        <w:rPr>
          <w:sz w:val="20"/>
          <w:szCs w:val="20"/>
          <w:color w:val="auto"/>
        </w:rPr>
      </w:pPr>
      <w:r>
        <w:rPr>
          <w:rFonts w:ascii="Arial" w:cs="Arial" w:eastAsia="Arial" w:hAnsi="Arial"/>
          <w:sz w:val="18"/>
          <w:szCs w:val="18"/>
          <w:i w:val="1"/>
          <w:iCs w:val="1"/>
          <w:color w:val="auto"/>
        </w:rPr>
        <w:t>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1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the accounts receiving extensions in 2008, 2009, 2010, 2011 and 2012, 31.7%, 34.8%, 58.9%, 72.4% and 76.1%, respectively, were either paid in full or are active and performing at December 31, 2013. With each of these successful extensions we received continued payments of interest and principal (including payment in full in many cases). Without the extension, however, we would have likely incurred a substantial loss and no additional interest revenue.</w:t>
      </w:r>
    </w:p>
    <w:p>
      <w:pPr>
        <w:spacing w:after="0" w:line="18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For extension accounts that ultimately charged off, we consider accounts that charged off more than six months after the extension to be at least partially successful. For the 2008, 2009, 2010, 2011 and 2012 extensions that charged off, the charge off was incurred, on average, 18, 15, 16, 15 and 10 months, respectively, after the extension, This indicates that even in the cases of an ultimate loss, we received additional payments of principal and interest that otherwise we would not have received.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480"/>
              <w:spacing w:after="0"/>
              <w:rPr>
                <w:sz w:val="20"/>
                <w:szCs w:val="20"/>
                <w:color w:val="auto"/>
              </w:rPr>
            </w:pPr>
            <w:r>
              <w:rPr>
                <w:rFonts w:ascii="Arial" w:cs="Arial" w:eastAsia="Arial" w:hAnsi="Arial"/>
                <w:sz w:val="18"/>
                <w:szCs w:val="18"/>
                <w:color w:val="auto"/>
                <w:w w:val="88"/>
              </w:rPr>
              <w:t>Year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7"/>
          </w:tcPr>
          <w:p>
            <w:pPr>
              <w:jc w:val="center"/>
              <w:ind w:right="600"/>
              <w:spacing w:after="0"/>
              <w:rPr>
                <w:sz w:val="20"/>
                <w:szCs w:val="20"/>
                <w:color w:val="auto"/>
              </w:rPr>
            </w:pPr>
            <w:r>
              <w:rPr>
                <w:rFonts w:ascii="Arial" w:cs="Arial" w:eastAsia="Arial" w:hAnsi="Arial"/>
                <w:sz w:val="18"/>
                <w:szCs w:val="18"/>
                <w:color w:val="auto"/>
                <w:w w:val="88"/>
              </w:rPr>
              <w:t>Year Ended</w:t>
            </w:r>
          </w:p>
        </w:tc>
        <w:tc>
          <w:tcPr>
            <w:tcW w:w="1420" w:type="dxa"/>
            <w:vAlign w:val="bottom"/>
            <w:gridSpan w:val="4"/>
          </w:tcPr>
          <w:p>
            <w:pPr>
              <w:jc w:val="center"/>
              <w:ind w:right="38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December 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7"/>
          </w:tcPr>
          <w:p>
            <w:pPr>
              <w:jc w:val="center"/>
              <w:ind w:right="600"/>
              <w:spacing w:after="0"/>
              <w:rPr>
                <w:sz w:val="20"/>
                <w:szCs w:val="20"/>
                <w:color w:val="auto"/>
              </w:rPr>
            </w:pPr>
            <w:r>
              <w:rPr>
                <w:rFonts w:ascii="Arial" w:cs="Arial" w:eastAsia="Arial" w:hAnsi="Arial"/>
                <w:sz w:val="18"/>
                <w:szCs w:val="18"/>
                <w:color w:val="auto"/>
                <w:w w:val="88"/>
              </w:rPr>
              <w:t>December 31,</w:t>
            </w:r>
          </w:p>
        </w:tc>
        <w:tc>
          <w:tcPr>
            <w:tcW w:w="1420" w:type="dxa"/>
            <w:vAlign w:val="bottom"/>
            <w:gridSpan w:val="4"/>
          </w:tcPr>
          <w:p>
            <w:pPr>
              <w:jc w:val="center"/>
              <w:ind w:right="38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2013</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w w:val="89"/>
              </w:rPr>
              <w:t>2012</w:t>
            </w: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color w:val="auto"/>
                <w:w w:val="89"/>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88"/>
              </w:rPr>
              <w:t>Average number of extensions granted per month</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1,565</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93,247</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w w:val="98"/>
              </w:rPr>
              <w:t>93,022</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86,282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40" w:type="dxa"/>
            <w:vAlign w:val="bottom"/>
            <w:gridSpan w:val="4"/>
            <w:shd w:val="clear" w:color="auto" w:fill="EEEEEE"/>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gridSpan w:val="3"/>
            <w:shd w:val="clear" w:color="auto" w:fill="EEEEEE"/>
          </w:tcPr>
          <w:p>
            <w:pPr>
              <w:jc w:val="right"/>
              <w:ind w:right="25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i w:val="1"/>
                <w:iCs w:val="1"/>
                <w:color w:val="auto"/>
              </w:rPr>
              <w:t>____________</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5"/>
          </w:tcPr>
          <w:p>
            <w:pPr>
              <w:spacing w:after="0"/>
              <w:rPr>
                <w:sz w:val="20"/>
                <w:szCs w:val="20"/>
                <w:color w:val="auto"/>
              </w:rPr>
            </w:pPr>
            <w:r>
              <w:rPr>
                <w:rFonts w:ascii="Arial" w:cs="Arial" w:eastAsia="Arial" w:hAnsi="Arial"/>
                <w:sz w:val="18"/>
                <w:szCs w:val="18"/>
                <w:i w:val="1"/>
                <w:iCs w:val="1"/>
                <w:color w:val="auto"/>
                <w:w w:val="92"/>
              </w:rPr>
              <w:t>Table excludes extensions on portfolios serviced for third parties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7"/>
          </w:tcPr>
          <w:p>
            <w:pPr>
              <w:jc w:val="right"/>
              <w:ind w:right="640"/>
              <w:spacing w:after="0"/>
              <w:rPr>
                <w:sz w:val="20"/>
                <w:szCs w:val="20"/>
                <w:color w:val="auto"/>
              </w:rPr>
            </w:pPr>
            <w:r>
              <w:rPr>
                <w:rFonts w:ascii="Arial" w:cs="Arial" w:eastAsia="Arial" w:hAnsi="Arial"/>
                <w:sz w:val="18"/>
                <w:szCs w:val="18"/>
                <w:color w:val="auto"/>
              </w:rPr>
              <w:t>December 31, 2013</w:t>
            </w:r>
          </w:p>
        </w:tc>
        <w:tc>
          <w:tcPr>
            <w:tcW w:w="220" w:type="dxa"/>
            <w:vAlign w:val="bottom"/>
          </w:tcPr>
          <w:p>
            <w:pPr>
              <w:spacing w:after="0"/>
              <w:rPr>
                <w:sz w:val="24"/>
                <w:szCs w:val="24"/>
                <w:color w:val="auto"/>
              </w:rPr>
            </w:pPr>
          </w:p>
        </w:tc>
        <w:tc>
          <w:tcPr>
            <w:tcW w:w="2620" w:type="dxa"/>
            <w:vAlign w:val="bottom"/>
            <w:gridSpan w:val="7"/>
          </w:tcPr>
          <w:p>
            <w:pPr>
              <w:ind w:left="500"/>
              <w:spacing w:after="0"/>
              <w:rPr>
                <w:sz w:val="20"/>
                <w:szCs w:val="20"/>
                <w:color w:val="auto"/>
              </w:rPr>
            </w:pPr>
            <w:r>
              <w:rPr>
                <w:rFonts w:ascii="Arial" w:cs="Arial" w:eastAsia="Arial" w:hAnsi="Arial"/>
                <w:sz w:val="18"/>
                <w:szCs w:val="18"/>
                <w:color w:val="auto"/>
              </w:rPr>
              <w:t>December 31, 2012</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20" w:type="dxa"/>
            <w:vAlign w:val="bottom"/>
            <w:gridSpan w:val="7"/>
          </w:tcPr>
          <w:p>
            <w:pPr>
              <w:ind w:left="40"/>
              <w:spacing w:after="0"/>
              <w:rPr>
                <w:sz w:val="20"/>
                <w:szCs w:val="20"/>
                <w:color w:val="auto"/>
              </w:rPr>
            </w:pPr>
            <w:r>
              <w:rPr>
                <w:rFonts w:ascii="Arial" w:cs="Arial" w:eastAsia="Arial" w:hAnsi="Arial"/>
                <w:sz w:val="18"/>
                <w:szCs w:val="18"/>
                <w:color w:val="auto"/>
              </w:rPr>
              <w:t>December 31, 2011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80"/>
              <w:spacing w:after="0" w:line="195" w:lineRule="exact"/>
              <w:rPr>
                <w:sz w:val="20"/>
                <w:szCs w:val="20"/>
                <w:color w:val="auto"/>
              </w:rPr>
            </w:pPr>
            <w:r>
              <w:rPr>
                <w:rFonts w:ascii="Arial" w:cs="Arial" w:eastAsia="Arial" w:hAnsi="Arial"/>
                <w:sz w:val="18"/>
                <w:szCs w:val="18"/>
                <w:color w:val="auto"/>
                <w:w w:val="95"/>
              </w:rPr>
              <w:t>Number of</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right"/>
              <w:ind w:right="400"/>
              <w:spacing w:after="0" w:line="195" w:lineRule="exact"/>
              <w:rPr>
                <w:sz w:val="20"/>
                <w:szCs w:val="20"/>
                <w:color w:val="auto"/>
              </w:rPr>
            </w:pPr>
            <w:r>
              <w:rPr>
                <w:rFonts w:ascii="Arial" w:cs="Arial" w:eastAsia="Arial" w:hAnsi="Arial"/>
                <w:sz w:val="18"/>
                <w:szCs w:val="18"/>
                <w:color w:val="auto"/>
              </w:rPr>
              <w:t>Number of</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4"/>
          </w:tcPr>
          <w:p>
            <w:pPr>
              <w:jc w:val="center"/>
              <w:ind w:right="20"/>
              <w:spacing w:after="0" w:line="195" w:lineRule="exact"/>
              <w:rPr>
                <w:sz w:val="20"/>
                <w:szCs w:val="20"/>
                <w:color w:val="auto"/>
              </w:rPr>
            </w:pPr>
            <w:r>
              <w:rPr>
                <w:rFonts w:ascii="Arial" w:cs="Arial" w:eastAsia="Arial" w:hAnsi="Arial"/>
                <w:sz w:val="18"/>
                <w:szCs w:val="18"/>
                <w:color w:val="auto"/>
                <w:w w:val="92"/>
              </w:rPr>
              <w:t>Number of</w:t>
            </w: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Contracts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Contracts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0"/>
                <w:szCs w:val="20"/>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8"/>
                <w:szCs w:val="18"/>
                <w:color w:val="auto"/>
                <w:w w:val="90"/>
              </w:rPr>
              <w:t>Contracts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Borders>
              <w:top w:val="single" w:sz="8" w:color="auto"/>
            </w:tcBorders>
            <w:gridSpan w:val="6"/>
          </w:tcPr>
          <w:p>
            <w:pPr>
              <w:jc w:val="right"/>
              <w:ind w:right="33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16,047</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189,684</w:t>
            </w: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13,003</w:t>
            </w:r>
          </w:p>
        </w:tc>
        <w:tc>
          <w:tcPr>
            <w:tcW w:w="10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94,021</w:t>
            </w:r>
          </w:p>
        </w:tc>
        <w:tc>
          <w:tcPr>
            <w:tcW w:w="11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14,121</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Contracts with two extensions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4,397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38,499</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23,214</w:t>
            </w: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7,720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1,486</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7,790</w:t>
            </w: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13,096</w:t>
            </w:r>
          </w:p>
        </w:tc>
        <w:tc>
          <w:tcPr>
            <w:tcW w:w="11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3,653</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Contracts with four extensions</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2,519</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5,371</w:t>
            </w: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1,082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224</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1,059</w:t>
            </w: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1,038</w:t>
            </w:r>
          </w:p>
        </w:tc>
        <w:tc>
          <w:tcPr>
            <w:tcW w:w="11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Contracts with six extensions</w:t>
            </w: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309</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160" w:type="dxa"/>
            <w:vAlign w:val="bottom"/>
            <w:gridSpan w:val="5"/>
          </w:tcPr>
          <w:p>
            <w:pPr>
              <w:jc w:val="right"/>
              <w:ind w:right="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22,838</w:t>
            </w:r>
          </w:p>
        </w:tc>
        <w:tc>
          <w:tcPr>
            <w:tcW w:w="26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239,860</w:t>
            </w: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21,982</w:t>
            </w:r>
          </w:p>
        </w:tc>
        <w:tc>
          <w:tcPr>
            <w:tcW w:w="1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136,864</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26,692</w:t>
            </w:r>
          </w:p>
        </w:tc>
        <w:tc>
          <w:tcPr>
            <w:tcW w:w="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164,292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Gross servicing portfolio</w:t>
            </w:r>
          </w:p>
        </w:tc>
        <w:tc>
          <w:tcPr>
            <w:tcW w:w="11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99,099</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1,228,579</w:t>
            </w:r>
          </w:p>
        </w:tc>
        <w:tc>
          <w:tcPr>
            <w:tcW w:w="1440" w:type="dxa"/>
            <w:vAlign w:val="bottom"/>
            <w:gridSpan w:val="3"/>
            <w:shd w:val="clear" w:color="auto" w:fill="EEEEEE"/>
          </w:tcPr>
          <w:p>
            <w:pPr>
              <w:jc w:val="right"/>
              <w:ind w:right="180"/>
              <w:spacing w:after="0"/>
              <w:rPr>
                <w:sz w:val="20"/>
                <w:szCs w:val="20"/>
                <w:color w:val="auto"/>
              </w:rPr>
            </w:pPr>
            <w:r>
              <w:rPr>
                <w:rFonts w:ascii="Arial" w:cs="Arial" w:eastAsia="Arial" w:hAnsi="Arial"/>
                <w:sz w:val="18"/>
                <w:szCs w:val="18"/>
                <w:color w:val="auto"/>
              </w:rPr>
              <w:t>89,163</w:t>
            </w:r>
          </w:p>
        </w:tc>
        <w:tc>
          <w:tcPr>
            <w:tcW w:w="100" w:type="dxa"/>
            <w:vAlign w:val="bottom"/>
            <w:shd w:val="clear" w:color="auto" w:fill="EEEEEE"/>
          </w:tcPr>
          <w:p>
            <w:pPr>
              <w:spacing w:after="0"/>
              <w:rPr>
                <w:sz w:val="18"/>
                <w:szCs w:val="18"/>
                <w:color w:val="auto"/>
              </w:rPr>
            </w:pPr>
          </w:p>
        </w:tc>
        <w:tc>
          <w:tcPr>
            <w:tcW w:w="2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885,993</w:t>
            </w:r>
          </w:p>
        </w:tc>
        <w:tc>
          <w:tcPr>
            <w:tcW w:w="1160" w:type="dxa"/>
            <w:vAlign w:val="bottom"/>
            <w:gridSpan w:val="5"/>
            <w:shd w:val="clear" w:color="auto" w:fill="EEEEEE"/>
          </w:tcPr>
          <w:p>
            <w:pPr>
              <w:jc w:val="right"/>
              <w:ind w:right="20"/>
              <w:spacing w:after="0"/>
              <w:rPr>
                <w:sz w:val="20"/>
                <w:szCs w:val="20"/>
                <w:color w:val="auto"/>
              </w:rPr>
            </w:pPr>
            <w:r>
              <w:rPr>
                <w:rFonts w:ascii="Arial" w:cs="Arial" w:eastAsia="Arial" w:hAnsi="Arial"/>
                <w:sz w:val="18"/>
                <w:szCs w:val="18"/>
                <w:color w:val="auto"/>
              </w:rPr>
              <w:t>103,021</w:t>
            </w:r>
          </w:p>
        </w:tc>
        <w:tc>
          <w:tcPr>
            <w:tcW w:w="4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761,241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i w:val="1"/>
                <w:iCs w:val="1"/>
                <w:color w:val="auto"/>
              </w:rPr>
              <w:t>____________</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gridSpan w:val="5"/>
          </w:tcPr>
          <w:p>
            <w:pPr>
              <w:spacing w:after="0"/>
              <w:rPr>
                <w:sz w:val="20"/>
                <w:szCs w:val="20"/>
                <w:color w:val="auto"/>
              </w:rPr>
            </w:pPr>
            <w:r>
              <w:rPr>
                <w:rFonts w:ascii="Arial" w:cs="Arial" w:eastAsia="Arial" w:hAnsi="Arial"/>
                <w:sz w:val="18"/>
                <w:szCs w:val="18"/>
                <w:i w:val="1"/>
                <w:iCs w:val="1"/>
                <w:color w:val="auto"/>
                <w:w w:val="92"/>
              </w:rPr>
              <w:t>Table excludes extensions on portfolios serviced for third parties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Non-Accrual Receivables</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is trained to employ a counseling approach to assist our customers with their cash flow management skills and help them to prioritize their payment obligations in order to avoid losing their vehicle to repossession. Through our experience, we have learned that once a contract becomes greater than 90 days past due, it is more likely than not that the delinquency will not be resolved and will ultimately result in a charge-off. As a result, we do not recognize any interest income or retain on our balance sheet any accrued interest for contracts that are greater than 90 days past due.</w:t>
      </w:r>
    </w:p>
    <w:p>
      <w:pPr>
        <w:spacing w:after="0" w:line="193"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If an obligor exceeds the 90 days past due threshold at the end of one period, and then makes the necessary payments such that it becomes equal to or below 90 days delinquent at the end of a subsequent period, the related contract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7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Securitization of Automobile Contracts</w:t>
      </w:r>
    </w:p>
    <w:p>
      <w:pPr>
        <w:spacing w:after="0" w:line="2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We purchase automobile contracts with the intention of financing them on a long-term basis through securitizations. All such securitizations have involved identification of specific automobile contracts, sale of those automobile contracts (and associated rights) to a special purpose subsidiary, and issuance of asset−backed securities to fund the transactions. Upon the securitization of a portfolio of automobile contracts, we retain the obligation to service the contracts, and receive a monthly fee for doing so. We have been a regular issuer of asset-backed securities since 1994, completing 61 securitizations totaling over $8.5 billion through December 31, 2013. Depending on the structure of the securitization, the transaction may be treated for financial accounting purposes either as a sale of the automobile contracts or as a secured financing. From July 2003 through April 2008, we structured our securitizations as secured financings rather than as sales of contracts. The second of our two securitizations completed in 2008 (September 2008) was in substance a sale of the related contracts, and is treated as a sale for financial accounting purposes. In September 2010 we took advantage of improvement in the market for asset-backed securities by re-securitizing the underlying receivables from our unrated September 2008 securitization. This transaction was our first rated term securitization since 1993 that did not utilize a financial guaranty. In 2011, we completed three securitizations of approximately $335.6 million in newly originated contracts. During 2012 we completed four securitizations of approximately $603.5 million in contracts, including $58.2 million in contracts that were repurchased in 2012 from securitizations completed in 2006 and 2007. In 2013 we completed four securitizations of approximately $778.0 million in contracts. From 2011 through the present, all of our securitizations have been structured as secured financings.</w:t>
      </w:r>
    </w:p>
    <w:p>
      <w:pPr>
        <w:spacing w:after="0" w:line="17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When a securitization is structured to be treated as a secured financing, the subsidiary is consolidated and, accordingly, the automobile contracts and the related securitization trust debt appear as assets and liabilities, respectively, on our consolidated balance sheet. We then recognize interest income on the contracts and interest expense on the securities issued in the securitization and record as expense a provision for probable incurred credit losses on the contracts.</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When a securitization is structured to be treated as a sale, the subsidiary is not consolidated. Accordingly, the securitization removes the sold automobile contracts from our consolidated balance sheet, the related debt does not appear as our debt, and our consolidated balance sheet shows, as an asset, a retained residual interest in the sold automobile contracts. The residual interest represents the discounted value of what we expect will be the excess of future collections on the automobile contracts over principal and interest due on the asset-backed securities. That residual interest appears on our consolidated balance sheet as "residual interest in securitizations," and the determination of its value is dependent on our estimates of the future performance of the sold automobile contracts.</w:t>
      </w:r>
    </w:p>
    <w:p>
      <w:pPr>
        <w:spacing w:after="0" w:line="19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Generally, prior to a securitization transaction we fund our automobile contract purchases primarily with proceeds from warehouse credit facilities. Since October 2009, we have established new funding facilities and gradually increased our contract purchases. We increased our short-term funding capacity by $200 million with the establishment of a $100 million credit facility in December 2010 and an additional $100 million credit facility in February 2011. In May 2012, the revolving period of the February 2011 facility expired and we entered into a new $100 million credit facility with a different lender. In March 2013, the December 2010 facility was amended to extend the revolving period to March 2015 and to include an amortization period through March 2017 for any receivables pledged to the facility at the end of the revolving period. In June 2013, the May 2012 facility was amended to extend the revolving period to June 2015 and to include an amortization period through June 2016 for any receivables pledged to the facility at the end of the revolving period. Our current maximum revolving warehouse financing capacity is $200 million.</w:t>
      </w:r>
    </w:p>
    <w:p>
      <w:pPr>
        <w:spacing w:after="0" w:line="17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Whether a securitization is treated as a secured financing or as a sale for financial accounting purposes,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 regardless of whether such automobile contracts are treated as having been sold or as having been financed. For estimation of the magnitude of such risk, it may be appropriate to look to the size of our "managed portfolio," which represents both financed and sold automobile contracts as to which such credit risk is retained. Our managed portfolio as of December 31, 2013 was approximately $1,231.4 million, including $4.9 million of receivables on which we earn only servicing fees.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Competition</w:t>
      </w:r>
    </w:p>
    <w:p>
      <w:pPr>
        <w:spacing w:after="0" w:line="225"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The automobile financing business is highly competitive. We compete with a number of national, regional and local finance companies with operations similar to ours.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Many of our competitors and potential competitors possess substantially greater financial, marketing, technical, personnel and other resources than we do. Moreover, our future profitability will be directly related to the availability and cost of our capital in relation to the availability and cost of capital to our competitors. Our competitors and potential competitors include far larger, more established companies that have access to capital markets for unsecured commercial paper and investment grade-rated debt instruments and to other funding sources that may be unavailable to us. Many of these companies also have long-standing relationships with dealers and may provide other financing to dealers, including floor plan financing for the dealers' purchase of automobiles from manufacturers, which we do not offer.</w:t>
      </w:r>
    </w:p>
    <w:p>
      <w:pPr>
        <w:spacing w:after="0" w:line="167"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believe that the principal competitive factors affecting a dealer's decision to offer automobile contracts for sale to a particular financing source are the monthly payment amount made available to the dealer’s customer, the purchase price offered for the automobile contracts, the timeliness of the response to the dealer upon submission of the initial application, the amount of required documentation, the consistency and timeliness of purchases and the financial stability of the funding source. While we believe that we can obtain from dealers sufficient automobile contracts for purchase at attractive prices by consistently applying reasonable underwriting criteria and making timely purchases of qualifying automobile contracts, there can be no assurance that we will do so.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Several federal and state consumer protection laws, including the federal Truth-In-Lending Act, the federal Equal Credit Opportunity Act, the federal Fair Debt Collection Practices Act and the Federal Trade Commission Act, regulate consumer credit transactions. These laws mandate certain disclosures with respect to finance charges on automobile contracts and impose certain other restrictions. In many states, a license is required to engage in the business of purchasing automobile contracts from dealers. In addition, laws in a number of states impose limitations on the amount of finance charges that may be charged by dealers on credit sales. The so-called Lemon Laws enacted by various states provide certain rights to purchasers with respect to automobiles that fail to satisfy express warranties. The application of Lemon Laws or violation of such other federal and state laws may give rise to a claim or defense of a customer against a dealer and its assignees, including us and those who purchase automobile contracts from us. The dealer agreement contains representations by the dealer that, as of the date of assignment of automobile contracts, no such claims or defenses have been asserted or threatened with respect to the automobile contracts and that all requirements of such federal and state laws have been complied with in all material respects. Although a dealer would be obligated to repurchase automobile contracts that involve a breach of such warranty, there can be no assurance that the dealer will have the financial resources to satisfy its repurchase obligations. Certain of these laws also regulate our servicing activities, including our methods of collection.</w:t>
      </w:r>
    </w:p>
    <w:p>
      <w:pPr>
        <w:spacing w:after="0" w:line="173"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July 2010 the Dodd-Frank Wall Street Reform and Consumer Protection Act (the “Dodd-Frank Act”) became law. The Dodd-Frank Act restructured the regulation and supervision of the financial services industry and created the Consumer Financial Protection Bureau (the “CFPB”). The CFPB has rulemaking and enforcement authority over “non-banks,” including us. Many of the provisions of the Dodd-Frank Act have extended implementation periods and delayed effective dates and will require extensive rulemaking. As a result, the ultimate effect of the Dodd-Frank Act on our business cannot be determined at this time. We believe that we are currently in material compliance with applicable statutes and regulations; however, there can be no assurance that we are correct, nor that we will be able to maintain such compliance. The past or future failure to comply with applicable statutes and regulations could have a material adverse effect on us. Furthermore, the adoption of additional statutes and regulations, changes in the interpretation and enforcement of current statutes and regulations or the expansion of our business into jurisdictions that have adopted more stringent regulatory requirements than those in which we currently conduct business could have a material adverse effect on us. In addition, due to the consumer-oriented nature of our industry and the application of certain laws and regulations, industry participants are regularly named as defendants in litigation involving alleged violations of federal and state laws and regulations and consumer law torts, including fraud. Many of these actions involve alleged violations of consumer protection laws. A significant judgment against us or within the industry in connection with any such litigation could have a material adverse effect on our financial condition, results of operations or liquidity.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As of December 31, 2013, we had 705 employees. The breakdown of the employees is as follows: 10 were senior management personnel; 348 were servicing personnel; 172 were automobile contract origination personnel; 119 were marketing personnel (95 of whom were marketing representatives); 22 were operations and systems personnel; and 34 were administrative personnel. We believe that our relations with our employees are good. We are not a party to any collective bargaining agreement.</w:t>
      </w:r>
    </w:p>
    <w:p>
      <w:pPr>
        <w:spacing w:after="0" w:line="183"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Our business, operating results and financial condition could be adversely affected by any of the following specific risks. The trading price of our common stock could decline due to any of these risks and other industry risks. This listing of risks by its nature cannot be exhaustive, and the order in which the risks appear is not intended as an indication of their relative weight or importance. In addition to the risks described below, we may encounter risks that we do not currently recognize or that we currently deem immaterial, which may also impair our business operations and the value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Require a Substantial Amount of Cash to Service Our Substantial Debt.</w:t>
      </w:r>
    </w:p>
    <w:p>
      <w:pPr>
        <w:spacing w:after="0" w:line="22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To service our existing substantial indebtedness, we require a significant amount of cash. Our ability to generate cash depends on many factors, including our successful financial and operating performance. Our financial and operational performance depends upon a number of factors, many of which are beyond our control. These factors include, without limitation:</w:t>
      </w:r>
    </w:p>
    <w:p>
      <w:pPr>
        <w:spacing w:after="0" w:line="18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economic and competitive conditions in the asset-backed securities market;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current and future automobile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our residual interests from our securitizations and warehouse credit facilities;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operating difficulties or pricing pressures we may experience;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credit enhancement for our securitizations;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establish and maintain dealer relationships;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passage of laws or regulations that affect us adversely;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with our competitors;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acquire and finance automobile contracts.</w:t>
      </w:r>
    </w:p>
    <w:p>
      <w:pPr>
        <w:spacing w:after="0" w:line="211"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Depending upon the outcome of one or more of these factors, we may not be able to generate sufficient cash flow from operations or obtain sufficient funding to satisfy all of our obligations. Such factors may result in our being unable to pay our debts timely or as agreed. If we were unable to pay our debts, we would be required to pursue one or more alternative strategies, such as selling assets, refinancing or restructuring our indebtedness or selling additional equity capital. These alternative strategies might not be feasible at the time, might prove inadequate, or could require the prior consent of our lenders. If executed, these strategies could reduce the earnings available to our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Substantial Liquidity to Operate Our Business.</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historically funded our operations principally through internally generated cash flows, sales of debt and equity securities, including through securitizations and warehouse credit facilities, borrowings under senior secured debt agreements and sales of subordinated notes. However, we may not be able to obtain sufficient funding for our future operations from such sources. During 2008, 2009 and much of 2010, our access to the capital markets was impaired with respect to both short-term and long-term funding. While our access to such funding has improved since then, our results of operations, financial condition and cash flows have been and may continue to be materially and adversely affected. We require a substantial amount of cash liquidity to operate our business. Among other things, we use such cash liquidity to:</w:t>
      </w:r>
    </w:p>
    <w:p>
      <w:pPr>
        <w:spacing w:after="0" w:line="193"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 automobile contracts;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overcollateralization in warehouse credit facilities and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securitization fees and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spread accounts in connection with securitizations;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satisfy working capital requirements and pay operating expenses;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taxes;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interest expense.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18" w:name="page19"/>
    <w:bookmarkEnd w:id="18"/>
    <w:p>
      <w:pPr>
        <w:ind w:right="60" w:firstLine="324"/>
        <w:spacing w:after="0" w:line="277" w:lineRule="auto"/>
        <w:rPr>
          <w:sz w:val="20"/>
          <w:szCs w:val="20"/>
          <w:color w:val="auto"/>
        </w:rPr>
      </w:pPr>
      <w:r>
        <w:rPr>
          <w:rFonts w:ascii="Arial" w:cs="Arial" w:eastAsia="Arial" w:hAnsi="Arial"/>
          <w:sz w:val="18"/>
          <w:szCs w:val="18"/>
          <w:color w:val="auto"/>
        </w:rPr>
        <w:t>Historically we have matched our liquidity needs to our available sources of funding by reducing our acquisition of new automobile contracts, at times to merely nominal levels. There can be no assurance that we will continue to be successful with that strategy.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History of Significant Losses.</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Until the fourth quarter of 2011, we had incurred net losses every quarter beginning with the quarter ended September 30, 2008. We were adversely affected by the economic recession affecting the United States as a whole, until recently by increased financing costs and decreased availability of capital to fund our purchases of automobile contracts, and by a decrease in the overall level of sales of automobiles and light trucks. We expect to earn quarterly profits during 2014; however, there can be no assurance as to that expectation. Our expectation of profitability is a forward-looking statement. We discuss the assumptions underlying that expectation under the caption “Forward-Looking Statements” in this report. We identify important factors that could cause actual results to differ, generally in the “Risk Factors” section of this report, and also under the caption “Forward-Looking Statements.”</w:t>
      </w:r>
    </w:p>
    <w:p>
      <w:pPr>
        <w:spacing w:after="0" w:line="1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the year ended December 31, 2013, our pretax income was $37.2 million, compared to pretax income of $9.2 million for the year 2012 and a pretax loss of $14.5 million for the year 2011. Our net income for 2013 was $21.0 million, or $0.67 per diluted share, compared to net income for 2012 of $69.4 million, or $2.72 per diluted share, and a net loss of $14.5 million, or $0.76 per diluted share, for 2011. Net income for 2012 includes an income tax benefit of $60.2 million, or $2.36 per diluted share, related to reversal of a valuation allowance against our deferred tax asset. Such tax benefit cannot be expected to recur.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Results of Operations Will Depend on Our Ability to Secure and Maintain Adequate Credit and Warehouse Financing on Favorable Terms.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strategy requires that warehouse credit facilities be available in order to purchase significant volumes of receivables.</w:t>
      </w:r>
    </w:p>
    <w:p>
      <w:pPr>
        <w:spacing w:after="0" w:line="22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Historically, our primary sources of day-to-day liquidity have been our warehouse credit facilities, in which we sold and contributed automobile contracts, as often as twice a week, to special-purpose subsidiaries, where they were "warehoused" until they were financed on a long-term basis through the issuance of asset-backed notes. Upon issuance of the notes, funds advanced under one or more warehouse credit facilities were repaid from the proceeds. In December 2010 and February 2011, we entered into separate agreements for two new $100 million revolving warehouse facilities. In May 2012, the revolving period of the February 2011 facility expired by its terms and we entered into a new $100 million credit facility with a different lender. In March 2013, we agreed to amendments of the December 2010 facility that extended its availability to March 2015 and in June 2013 we agreed to an amendment of the May 2012 credit facility that extends its availability into June 2015. Our current maximum revolving warehouse financing capacity is $200 million. See “Management’s Discussion and Analysis of Financial Condition and Results of Operations – Liquidity and Capital Resources – Liquidity”.</w:t>
      </w:r>
    </w:p>
    <w:p>
      <w:pPr>
        <w:spacing w:after="0" w:line="166"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If we are unable to maintain warehouse financing on acceptable terms, we might curtail or cease our purchases of new automobile contracts, which could lead to a material adverse effect on our results of operations, financial condition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Will Depend on Our Ability to Securitize Our Portfolio of Automobile Contracts.</w:t>
      </w:r>
    </w:p>
    <w:p>
      <w:pPr>
        <w:spacing w:after="0" w:line="229"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Historically we have depended upon our ability to obtain permanent financing for pools of automobile contracts by conducting term securitization transactions. By "permanent financing" we mean financing that extends to cover the full term during which the underlying automobile contracts are outstanding and requires repayment as the underlying automobile contracts are repaid or charged off. By contrast, our warehouse credit facilities permit us to borrow against the value of such receivables only for limited periods of time. Our past practice and future plan has been and is to repay loans made to us under our warehouse credit facilities with the proceeds of securitizations. There can be no assurance that any securitization transaction will be available on terms acceptable to us, or at all. The timing of any securitization transaction is affected by a number of factors beyond our control, any of which could cause substantial delays, including, without limitation:</w:t>
      </w:r>
    </w:p>
    <w:p>
      <w:pPr>
        <w:spacing w:after="0" w:line="18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conditions;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approval by all parties of the terms of the securitization;</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acquire a sufficient number of automobile contracts for securitization.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right="20" w:firstLine="324"/>
        <w:spacing w:after="0" w:line="297" w:lineRule="auto"/>
        <w:rPr>
          <w:sz w:val="20"/>
          <w:szCs w:val="20"/>
          <w:color w:val="auto"/>
        </w:rPr>
      </w:pPr>
      <w:r>
        <w:rPr>
          <w:rFonts w:ascii="Arial" w:cs="Arial" w:eastAsia="Arial" w:hAnsi="Arial"/>
          <w:sz w:val="16"/>
          <w:szCs w:val="16"/>
          <w:color w:val="auto"/>
        </w:rPr>
        <w:t>As stated elsewhere in this report, during 2008 and 2009 we observed adverse changes in the market for securitized pools of automobile contracts, which made permanent financing in the form of securitization transactions difficult to obtain and more costly than in prior periods. These changes included reduced liquidity and reduced demand for asset-backed securities, particularly for securities carrying a financial guaranty or for securities backed by sub-prime automobile receivables. Although we have seen improvements in the capital markets from 2010 through 2013, as compared to 2008 and 2009, if the trend of improvement in the markets for asset-backed securities should reverse, we could expect a material adverse effect on our results of operations.</w:t>
      </w:r>
    </w:p>
    <w:p>
      <w:pPr>
        <w:spacing w:after="0" w:line="154"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Results of Operations Will Depend on Cash Flows from Our Residual Interests in Our Securitization Program and Our Warehouse Credit Facilities.</w:t>
      </w:r>
    </w:p>
    <w:p>
      <w:pPr>
        <w:spacing w:after="0" w:line="166"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When we finance our automobile contracts through securitizations and warehouse credit facilities, we receive cash and a residual interest in the assets financed. Those financed assets are owned by the special-purpose subsidiary that is formed for the related securitization. This residual interest represents the right to receive the future cash flows to be generated by the automobile contracts in excess of (i) the interest and principal paid to investors or lenders on the indebtedness issued in connection with the financing, (ii) the costs of servicing the automobile contracts and (iii) certain other costs incurred in connection with completing and maintaining the securitization or warehouse credit facility. We sometimes refer to these future cash flows as "excess spread cash flows."</w:t>
      </w:r>
    </w:p>
    <w:p>
      <w:pPr>
        <w:spacing w:after="0" w:line="15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Under the financial structures we have used to date in our securitizations and warehouse credit facilities, excess spread cash flows that would otherwise be paid to the holder of the residual interest are first used to increase overcollateralization or are retained in a spread account within the securitization trusts or the warehouse facility to provide liquidity and credit enhancement for the related securities.</w:t>
      </w:r>
    </w:p>
    <w:p>
      <w:pPr>
        <w:spacing w:after="0" w:line="18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While the specific terms and mechanics vary among transactions, our securitization and warehousing agreements generally provide that we will receive excess spread cash flows only if the amount of overcollateralization and spread account balances have reached specified levels and/or the delinquency, defaults or net losses related to the automobile contracts in the automobile contract pools are below certain predetermined levels. In the event delinquencies, defaults or net losses on automobile contracts exceed these levels, the terms of the securitization or warehouse credit facility:</w:t>
      </w:r>
    </w:p>
    <w:p>
      <w:pPr>
        <w:spacing w:after="0" w:line="171" w:lineRule="exact"/>
        <w:rPr>
          <w:sz w:val="20"/>
          <w:szCs w:val="20"/>
          <w:color w:val="auto"/>
        </w:rPr>
      </w:pPr>
    </w:p>
    <w:p>
      <w:pPr>
        <w:ind w:left="340" w:right="8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may require increased credit enhancement, including an increase in the amount required to be on deposit in the spread account to be accumulated for the particular pool; and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certain circumstances, may permit affected parties to require the transfer of servicing on some or all of the securitized or warehoused contracts from us to an unaffiliated servicer.</w:t>
      </w:r>
    </w:p>
    <w:p>
      <w:pPr>
        <w:spacing w:after="0" w:line="170"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We typically retain residual interests or use them as collateral to borrow cash. In any case, the future excess spread cash flow received in respect of the residual interests is integral to the financing of our operations. The amount of cash received from residual interests depends in large part on how well our portfolio of securitized and warehoused automobile contracts performs. If our portfolio of securitized and warehoused automobile contracts has higher delinquency and loss ratios than expected, then the amount of money realized from our retained residual interests, or the amount of money we could obtain from the sale or other financing of our residual interests, would be reduced. Such higher than expected losses occurred in 2008 through 2010, which had an adverse effect on our operations, financial condition and cash flows. While losses have improved from the 2008-2010 period, should losses deteriorate significantly from current levels we would expect this to result in material adverse effects on our future results of operations, financial condition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Obtain Credit Enhancement for Our Securitizations Upon Favorable Terms, Our Results of Operations Would Be Impaired.</w:t>
      </w:r>
    </w:p>
    <w:p>
      <w:pPr>
        <w:spacing w:after="0" w:line="25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our securitizations from 1994 through 2008, we utilized credit enhancement in the form of one or more financial guaranty insurance policies issued by financial guaranty insurance companies. Each of these policies unconditionally and irrevocably guarantees timely interest and ultimate principal payments on the senior classes of the securities issued in those securitizations. These guarantees enabled these securities to achieve the highest credit rating available. This form of credit enhancement reduced the costs of our securitizations relative to alternative forms of credit enhancement available to us at the time. Due to significantly reduced investor demand for securities carrying such a financial guaranty, this form of credit enhancement may not be economic for us in the future. The 12 securitization transactions we executed from 2010 through 2013 did not utilize financial guaranty insurance policies, and none of the securities issued in those transactions received the highest possible credit ratings. As we pursue future securitizations, we may not be able to obtain:</w:t>
      </w:r>
    </w:p>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 enhancement in any form on terms acceptable to us, or at all; or</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similar highest available credit ratings for senior classes of securities to be issued in future securitizations.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20" w:name="page21"/>
    <w:bookmarkEnd w:id="20"/>
    <w:p>
      <w:pPr>
        <w:ind w:right="240" w:firstLine="324"/>
        <w:spacing w:after="0" w:line="312" w:lineRule="auto"/>
        <w:rPr>
          <w:sz w:val="20"/>
          <w:szCs w:val="20"/>
          <w:color w:val="auto"/>
        </w:rPr>
      </w:pPr>
      <w:r>
        <w:rPr>
          <w:rFonts w:ascii="Arial" w:cs="Arial" w:eastAsia="Arial" w:hAnsi="Arial"/>
          <w:sz w:val="16"/>
          <w:szCs w:val="16"/>
          <w:color w:val="auto"/>
        </w:rPr>
        <w:t>We expect to pay a greater credit spread than we have seen in the past between our securitization trust debt and risk-free investments. As of the date of this report, interest rates on risk-free debt are close to historical lows, which have offset much of the adverse effect on us of greater credit spreads. When interest rates on risk-free debt increase, we would expect increased interest expense, which could adversely affect our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Compete Successfully with our Competitors, Our Results of Operations May Be Impaired.</w:t>
      </w:r>
    </w:p>
    <w:p>
      <w:pPr>
        <w:spacing w:after="0" w:line="229"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automobile financing business is highly competitive. We compete with a number of national, regional and local finance companies. In addition, competitors or potential competitors include other types of financial services companies, such as commercial banks, savings and loan associations, leasing companies, credit unions providing retail loan financing and lease financing for new and used vehicles and captive finance companies affiliated with major automobile manufacturers, such as Ford Motor Credit Corporation. Many of our competitors and potential competitors possess substantially greater financial, marketing, technical, personnel and other resources than we do, including greater access to capital markets for unsecured commercial paper and investment grade rated debt instruments, and to other funding sources which may be unavailable to us. Moreover, our future profitability will be directly related to the availability and cost of our capital relative to that of our competitors. Many of these companies also have long-standing relationships with automobile dealers and may provide other financing to dealers, including floor plan financing for the dealers' purchases of automobiles from manufacturers,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w:t>
      </w:r>
    </w:p>
    <w:p>
      <w:pPr>
        <w:spacing w:after="0" w:line="16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If Our Dealers Do Not Submit a Sufficient Number of Suitable Automobile Contracts to Us for Purchase, Our Results of Operations May Be Impaired.</w:t>
      </w:r>
    </w:p>
    <w:p>
      <w:pPr>
        <w:spacing w:after="0" w:line="166"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We are dependent upon establishing and maintaining relationships with a large number of unaffiliated automobile dealers to supply us with automobile contracts. During the years ended December 31, 2013 and 2012, no single dealer accounted for more than 0.9% or 1.1%, respectively, of the automobile contracts we purchased. The agreements we have with dealers to purchase automobile contracts do not require dealers to submit a minimum number of automobile contracts for purchase. The failure of dealers to submit automobile contracts that meet our underwriting criteria could result in reductions in our revenues or the cash flows available to us, and, therefore, could have an adverse effect on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 Significant Number of Our Automobile Contracts Experience Defaults, Our Results of Operations May Be Impaired.</w:t>
      </w:r>
    </w:p>
    <w:p>
      <w:pPr>
        <w:spacing w:after="0" w:line="22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We specialize in the purchase and servicing of automobile contracts to finance automobile purchases by sub-prime customers, those who have limited credit history, low income, or past credit problems. Such automobile contracts entail a higher risk of non-performance, higher delinquencies and higher losses than automobile contracts with more creditworthy customers. While we believe that our pricing of the automobile contracts and the underwriting criteria and collection methods we employ enable us to control, to a degree, the higher risks inherent in automobile contracts with sub-prime customers, no assurance can be given that such pricing, criteria and methods will afford adequate protection against such risks. During the 2008-2010 period we experienced increases in the delinquency of, and credit losses on, our automobile contracts.</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automobile contracts that we purchase and hold experience defaults to a greater extent than we have anticipated, this could materially and adversely affect our results of operations, financial condition, cash flows and liquidity. Our results of operations, financial condition, cash flows and liquidity, depend, to a material extent, on the performance of automobile contracts that we purchase, warehouse and securitize. A portion of the automobile contracts that we acquire will default or prepay. In the event of payment default, the collateral value of the vehicle securing an automobile contract realized by us in a repossession will generally not cover the outstanding principal balance on that automobile contract and the related costs of recovery. We maintain an allowance for credit losses on automobile contracts held on our balance sheet, which reflects our estimates of probable credit losses that can be reasonably estimated for securitizations that are accounted for as financings and warehoused automobile contracts. If the allowance is inadequate, then we would recognize the losses in excess of the allowance as an expense and our results of operations could be adversely affected. In addition, under the terms of our warehouse credit facilities, we are not able to borrow against defaulted automobile contracts, including automobile contracts that are, at the time of default, funded under our warehouse credit facilities, which will reduce the overcollateralization of those warehouse credit facilities and possibly reduce the amount of cash flows available to us.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If We Lose Servicing Rights on Our Portfolio of Automobile Contracts, Our Results of Operations Would Be Impaired.</w:t>
      </w:r>
    </w:p>
    <w:p>
      <w:pPr>
        <w:spacing w:after="0" w:line="229"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We are entitled to receive servicing fees only while we act as servicer under the applicable sale and servicing agreements governing our warehouse credit facilities and securitizations. Under such agreements, we may be terminated as servicer upon the occurrence of certain events, including:</w:t>
      </w:r>
    </w:p>
    <w:p>
      <w:pPr>
        <w:spacing w:after="0" w:line="124"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generally to observe and perform our responsibilities and other covenants;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bankruptcy events;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loss of our servicing rights could materially and adversely affect our results of operations, financial condition and cash flows. Our results of operations, financial condition and cash flow, would be materially and adversely affected if we were to be terminated as servicer with respect to a material portion of our managed portfolio.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Lose Key Personnel, Our Results of Operations May Be Impaired.</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senior management team averages over 17 years of service with us. Charles E. Bradley, Jr., our President and CEO, has been our President since our formation in 1991. Our future operating results depend in significant part upon the continued service of our key senior management personnel, none of whom is bound by an employment agreement. Our future operating results also depend in part upon our ability to attract and retain qualified management, technical, sales and support personnel for our operations. Competition for such personnel is intense. We cannot assure you that we will be successful in attracting or retaining such personnel. Layoffs since 2008 may have reduced employee loyalty, which may in turn result in decreased employee performance. Conversely, adverse general economic conditions may have had a countervailing effect. The loss of any key employee, the failure of any key employee to perform in his or her current position or our inability to attract and retain skilled employees, as needed, could materially and adversely affect our results of operations, financial condition and cash flow.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Comply with Regulations, Our Results of Operations May Be Impaired.</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Failure to materially comply with all laws and regulations applicable to us could materially and adversely affect our ability to operate our business. Our business is subject to numerous federal and state consumer protection laws and regulations, which, among other things:</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obtain and maintain certain licenses and qualifications;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the interest rates, fees and other charges we are allowed to charge;</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or prescribe certain other terms of our automobile contracts;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specific disclosures to our customers;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define our rights to repossess and sell collateral;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safeguards designed to protect the security and confidentiality of customer information.</w:t>
      </w:r>
    </w:p>
    <w:p>
      <w:pPr>
        <w:spacing w:after="0" w:line="21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Our industry is also at times investigated by regulators and offices of state attorneys general, which could lead to enforcement actions, fines and penalties, or the assertion of private claims and law suits against us. The Federal Trade Commission (“FTC”) has the authority to investigate consumer complaints against us, to conduct inquiries at its own instance, and to recommend enforcement actions and seek monetary penalties. The FTC has conducted an inquiry into our practices, and may seek remedial action against us. See Legal Proceedings – FTC Action. If we fail to comply with applicable laws and regulations, such failure could result in penalties, litigation losses and expenses, damage to our reputation, or the suspension or termination of our licenses to conduct business, which would materially adversely affect our results of operations, financial condition and stock price. In addition, new federal and state laws or regulations or changes in the ways that existing rules or laws are interpreted or enforced could limit our activities in the future or significantly increase the cost of compliance. Furthermore, judges or regulatory bodies could interpret current rules or laws differently than the way we do, leading to such adverse consequences as described above. The resolution of such matters may require considerable time and expense, and if not resolved in our favor, may result in fines or damages, and possibly an adverse effect on our financial condition.</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2" w:name="page23"/>
    <w:bookmarkEnd w:id="22"/>
    <w:p>
      <w:pPr>
        <w:ind w:right="100" w:firstLine="324"/>
        <w:spacing w:after="0" w:line="308" w:lineRule="auto"/>
        <w:rPr>
          <w:sz w:val="20"/>
          <w:szCs w:val="20"/>
          <w:color w:val="auto"/>
        </w:rPr>
      </w:pPr>
      <w:r>
        <w:rPr>
          <w:rFonts w:ascii="Arial" w:cs="Arial" w:eastAsia="Arial" w:hAnsi="Arial"/>
          <w:sz w:val="17"/>
          <w:szCs w:val="17"/>
          <w:color w:val="auto"/>
        </w:rPr>
        <w:t>We believe that we are in compliance in all material respects with all such laws and regulations, and that such laws and regulations have had no material adverse effect on our ability to operate our business. However, we may be materially and adversely affected if we fail to comply with:</w:t>
      </w:r>
    </w:p>
    <w:p>
      <w:pPr>
        <w:spacing w:after="0" w:line="147"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applicable laws and regulations;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existing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interpretation of existing laws or regulations; or</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additional laws or regulations that may be enacted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Legislation and Proposed Regulations May Have an Adverse Effect on Our Business.</w:t>
      </w:r>
    </w:p>
    <w:p>
      <w:pPr>
        <w:spacing w:after="0" w:line="229"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The Dodd-Frank Wall Street Reform and Consumer Protection Act ("Dodd-Frank") mandates the most wide-ranging overhaul of financial industry regulation in decades. Dodd-Frank was signed into law on July 21, 2010, and is now in the implementation stage. The law provides a regulatory framework and requires that regulators, some of which are new regulatory bodies created by Dodd-Frank, draft, review and approve more than 200 implementing regulations and conduct numerous studies that are likely to lead to still more regulations. In addition, the Commission is considering amendments to regulations first adopted in 2005 known as Regulation AB. The amendments to Regulation AB have yet to be adopted and are expected to be significantly modified from the form initially proposed, however, the final form of the amendments to Regulation AB when adopted are expected to affect adversely our ability to complete securitization transactions without increased expense.</w:t>
      </w:r>
    </w:p>
    <w:p>
      <w:pPr>
        <w:spacing w:after="0" w:line="17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Compliance with these new laws and regulations may be or likely will be costly and can affect operating results. Compliance requires forms, processes, procedures, controls and the infrastructure to support these requirements. Compliance may create operational constraints and place limits on pricing. Laws in the financial services industry are designed primarily for the protection of consumers. The failure to comply could result in significant statutory civil and criminal penalties, monetary damages, attorneys’ fees and costs, possible revocation of licenses and damage to reputation, brand and valued customer relationships.</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At this time, it is difficult to predict the extent to which the Dodd-Frank Act or the resulting regulations or the Regulation AB amendments will affect our business. However, compliance with these new laws and regulations may result in additional cost and expenses, which may adversely affect our results of operations, financial condition or liquidity.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Unfavorable Litigation Results, Our Results of Operations May Be Impaired.</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operate in a litigious society and currently are, and may in the future be, named as defendants in litigation, including individual and class action lawsuits under consumer credit, consumer protection, theft, privacy, data security, automated dialing equipment, debt collections and other laws. Many of these cases present novel issues on which there is no clear legal precedent, which increases the difficulty in predicting both the potential outcomes and costs of defending these cases. We are subject to regulatory examinations, investigations, inquiries, litigation, and other actions by licensing authorities, state attorneys general, the Federal Trade Commission, the Consumer Financial Protection Bureau and other governmental bodies relating to our activities. The litigation and regulatory actions to which we are or may become subject involve or may involve potential compensatory or punitive damage claims, fines, sanctions or injunctive relief that, if granted, could require us to pay damages or make other expenditures in amounts that could have a material adverse effect on our financial position and our results of operations. We have recorded loss contingencies in our financial statements only for matters on which losses are probable and can be reasonably estimated. Our assessments of these matters involve significant judgments, and may change from time to time. Actual losses incurred by us in connection with judgments or settlements of these matters may be more than our associated reserves. Furthermore, defending lawsuits and responding to governmental inquiries or investigations, regardless of their merit, could be costly and divert management’s attention from the operation of our business. Unfavorable outcomes in any such current or future proceedings could materially and adversely affect our results of operations, financial conditions and cash flow. As a consumer finance company, we are subject to various consumer claims and litigation seeking damages and statutory penalties based upon, among other things, disclosure inaccuracies and wrongful repossession, which could take the form of a plaintiff's class action complaint. We, as the assignee of finance contracts originated by dealers, may also be named as a co-defendant in lawsuits filed by consumers principally against dealers. We are also subject to other litigation common to the automobile industry and to businesses in general. The damages and penalties claimed by consumers and others in these types of matters can be substantial. The relief requested by the plaintiffs varies but includes requests for compensatory, statutory and punitive damages.</w:t>
      </w:r>
    </w:p>
    <w:p>
      <w:pPr>
        <w:spacing w:after="0" w:line="17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While we intend to vigorously defend ourselves against such proceedings, there is a chance that our results of operations, financial condition and cash flows could be materially and adversely affected by unfavorable outcomes.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3" w:name="page24"/>
    <w:bookmarkEnd w:id="23"/>
    <w:p>
      <w:pPr>
        <w:ind w:right="700"/>
        <w:spacing w:after="0" w:line="282" w:lineRule="auto"/>
        <w:rPr>
          <w:sz w:val="20"/>
          <w:szCs w:val="20"/>
          <w:color w:val="auto"/>
        </w:rPr>
      </w:pPr>
      <w:r>
        <w:rPr>
          <w:rFonts w:ascii="Arial" w:cs="Arial" w:eastAsia="Arial" w:hAnsi="Arial"/>
          <w:sz w:val="18"/>
          <w:szCs w:val="18"/>
          <w:b w:val="1"/>
          <w:bCs w:val="1"/>
          <w:color w:val="auto"/>
        </w:rPr>
        <w:t>Negative publicity associated with litigation, governmental investigations, regulatory actions, and other public statements could damage our reputation.</w:t>
      </w:r>
    </w:p>
    <w:p>
      <w:pPr>
        <w:spacing w:after="0" w:line="166"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From time to time there are negative news stories about the “sub-prime” credit industry. Such stories may follow the announcements of litigation or regulatory actions involving us or others in our industry. Negative publicity about our alleged or actual practices or about our industry generally could adversely affect our stock price and our ability to retain and attract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Experience Problems with Our Originations, Accounting or Collection Systems, Our Results of Operations May Be Impaired.</w:t>
      </w:r>
    </w:p>
    <w:p>
      <w:pPr>
        <w:spacing w:after="0" w:line="229"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are dependent on our receivables originations, accounting and collection systems to service our portfolio of automobile contracts. Such systems are vulnerable to damage or interruption from natural disasters, power loss, telecommunication failures, terrorist attacks, computer viruses and other events. A significant number of our systems are not redundant, and our disaster recovery planning is not sufficient for every eventuality. Our systems are also subject to break-ins, sabotage and intentional acts of vandalism by internal employees and contractors as well as third parties. Despite any precautions we may take, such problems could result in interruptions in our services, which could harm our reputation and financial condition. We do not carry business interruption insurance sufficient to compensate us for losses that may result from interruptions in our service as a result of system failures. Such systems problems could materially and adversely affect our results of operations, financial conditions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Substantial Indebtedness.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December 31, 2013, we had approximately $1,276.9 million of debt outstanding. Such debt consisted primarily of $1,177.6 million of securitization trust debt, and also included $13.1 million of debt used for the acquisition of the Fireside portfolio, $9.5 million of warehouse lines of credit, $19.1 million of residual interest financing, $38.6 million of senior secured related party debt and $19.1 million in subordinated renewable notes. We are also currently offering the subordinated renewable notes to the public on a continuous basis, and such notes have maturities that range from three months to 10 years.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3"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11"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would give rise to various remedies in favor of any unpaid creditors, and creditors’ exercise of such remedies could have a material adverse effect on our earnings.</w:t>
      </w:r>
    </w:p>
    <w:p>
      <w:pPr>
        <w:spacing w:after="0" w:line="143"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Because We Are Subject to Many Restrictions in Our Existing Credit Facilities and Securitization Transactions, Our Ability to Pay Dividends or Engage in Specified Transactions May Be Impaired.</w:t>
      </w:r>
    </w:p>
    <w:p>
      <w:pPr>
        <w:spacing w:after="0" w:line="166"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terms of our existing credit facilities, term securitizations and our other outstanding debt impose significant operating and financial restrictions on us and our subsidiaries and require us to meet certain financial tests. These restrictions may have an adverse effect on our business activities, results of operations and financial condition. These restrictions may also significantly limit or prohibit us from engaging in certain transactions, including the following:</w:t>
      </w:r>
    </w:p>
    <w:p>
      <w:pPr>
        <w:spacing w:after="0" w:line="14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incurring or guaranteeing additional indebtedness;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capital expenditures in excess of agreed upon amounts;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paying dividends or other distributions to our shareholders or redeeming, repurchasing or retiring our capital stock or subordinated obligations;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investments;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creating or permitting liens on our assets or the assets of our subsidiaries;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issuing or selling capital stock of our subsidiaries;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transferring or selling our assets;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mergers or consolidations;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permitting a change of control of our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liquidating, winding up or dissolving our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our name or the nature of our business, or the names or nature of the business of our subsidiaries;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engaging in transactions with our affiliates outside the normal course of business.</w:t>
      </w:r>
    </w:p>
    <w:p>
      <w:pPr>
        <w:spacing w:after="0" w:line="21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These restrictions may limit our ability to obtain additional sources of capital, which may limit our ability to generate earnings. In addition, the failure to comply with any of the covenants of one or more of our debt agreements could cause a default under other debt agreements that may be outstanding from time to time. A default, if not waived, could result in acceleration of the related indebtedness, in which case such debt would become immediately due and payable. A continuing default or acceleration of one or more of our credit facilities or any other debt agreement, would likely cause a default under other debt agreements that otherwise would not be in default, in which case all such related indebtedness could be accelerated. If this occurs, we may not be able to repay our debt or borrow sufficient funds to refinance our indebtedness. Even if any new financing is available, it may not be on terms that are acceptable to us or it may not be sufficient to refinance all of our indebtedness as it becomes due.</w:t>
      </w:r>
    </w:p>
    <w:p>
      <w:pPr>
        <w:spacing w:after="0" w:line="178" w:lineRule="exact"/>
        <w:rPr>
          <w:sz w:val="20"/>
          <w:szCs w:val="20"/>
          <w:color w:val="auto"/>
        </w:rPr>
      </w:pPr>
    </w:p>
    <w:p>
      <w:pPr>
        <w:jc w:val="both"/>
        <w:ind w:right="240" w:firstLine="324"/>
        <w:spacing w:after="0" w:line="286" w:lineRule="auto"/>
        <w:rPr>
          <w:sz w:val="20"/>
          <w:szCs w:val="20"/>
          <w:color w:val="auto"/>
        </w:rPr>
      </w:pPr>
      <w:r>
        <w:rPr>
          <w:rFonts w:ascii="Arial" w:cs="Arial" w:eastAsia="Arial" w:hAnsi="Arial"/>
          <w:sz w:val="16"/>
          <w:szCs w:val="16"/>
          <w:color w:val="auto"/>
        </w:rPr>
        <w:t>In addition, the transaction documents for our securitizations restrict our securitization subsidiaries from declaring or making payment to us of (i) any dividend or other distribution on or in respect of any shares of their capital stock, or (ii) any payment on account of the purchase, redemption, retirement or acquisition of any option, warrant or other right to acquire shares of their capital stock unless (in each case) at the time of such declaration or payment (and after giving effect thereto) no amount payable under any transaction document with respect to the related securitization is then due and owing, but unpaid.</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These restrictions may limit our ability to receive distributions in respect of the residual interests from our securitization facilities, which may limit our ability to generate earnings.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General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Economy of All or Certain Regions of the United States Falls into Recession, Our Results of Operations May Be Impaired.</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business is directly related to sales of new and used automobiles, which are sensitive to employment rates, prevailing interest rates and other domestic economic conditions. Delinquencies, repossessions and losses generally increase during economic slowdowns or recessions. Because of our focus on sub-prime customers, the actual rates of delinquencies, repossessions and losses on our automobile contracts could be higher under adverse economic conditions than those experienced in the automobile finance industry in general, particularly in the states of California, Texas, Pennsylvania and Illinois, states in which our automobile contracts are geographically concentrated. Any sustained period of economic slowdown or recession could adversely affect our ability to acquire suitable automobile contracts, or to securitize pools of such automobile contracts. The timing of any economic changes is uncertain, and weakness in the economy could have an adverse effect on our business and that of the dealers from which we purchase automobile contracts and result in reductions in our revenues or the cash flows available to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May Be Impaired as a Result of Natural Disasters.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automobile contracts are geographically concentrated in the states of California and Texas. Such states may be particularly susceptible to natural disasters: earthquake in the case of California, and hurricanes and flooding in Texas. Natural disasters, in those states or others, could cause a material number of our vehicle purchasers to lose their jobs, or could damage or destroy vehicles that secure our automobile contracts. In either case, such events could result in our receiving reduced collections on our automobile contracts, and could thus result in reductions in our revenues or the cash flows available to us.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If an Increase in Interest Rates Results in a Decrease in Our Cash Flow from Excess Spread, Our Results of Operations May Be Impaired.</w:t>
      </w:r>
    </w:p>
    <w:p>
      <w:pPr>
        <w:spacing w:after="0" w:line="241"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Our profitability is largely determined by the difference, or "spread," between the effective interest rate we receive on the automobile contracts that we acquire and the interest rates payable under warehouse credit facilities and on the asset-backed securities issued in our securitizations. In the past, disruptions in the market for asset-backed securities resulted in an increase in the interest rates we paid on asset-backed securities. Should similar disruptions take place in the future, we may pay higher interest rates on asset-backed securities issued in the future. Although we have the ability to partially offset increases in our cost of funds by increasing fees we charge to dealers when purchasing automobile contracts, or by demanding higher interest rates on automobile contracts we purchase, there is no assurance that such actions will materially offset increases in interest we pay to finance our managed portfolio. As a result, an increase in prevailing interest rates could cause us to receive less excess spread cash flows on automobile contracts, and thus could adversely affect our earnings and cash flows. See “Quantitative and Qualitative Disclosures About Market Risk - Interest Rate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Thinly-Traded.</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stock is thinly-traded, which means investors will have limited opportunities to sell their shares of common stock in the open market. Limited trading of our common stock also contributes to more volatile price fluctuations. Because there historically has been low trading volume in our common stock, there can be no assurance that our stock price will not decline as additional shares are sold in the public market. As of December 31, 2013, our directors and executive officers collectively owned 3,687,372 shares of our common stock, or approximately 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Intend to Pay Dividends on Our Common Stock.</w:t>
      </w:r>
    </w:p>
    <w:p>
      <w:pPr>
        <w:spacing w:after="0" w:line="229"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any future earnings and do not expect to pay any dividends in the foreseeable future. See "Dividend Policy".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performance of our automobile contracts;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interest rates;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of losses incurred on contracts in our managed portfolio;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decisions by courts or regulators</w:t>
      </w:r>
    </w:p>
    <w:p>
      <w:pPr>
        <w:spacing w:after="0" w:line="21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 See "Where You Can Find More Information" and "Documents Incorporated by Reference."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headquarters are located in Irvine, California, where we lease approximately 60,000 square feet of general office space from an unaffiliated lessor.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annual base rent is approximately $1.77 million, increasing to approximately $1.80 million through 2016.</w:t>
      </w:r>
    </w:p>
    <w:p>
      <w:pPr>
        <w:spacing w:after="0" w:line="211"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In March 1997, we established a branch collection facility in Chesapeake, Virginia. We lease approximately 16,500 square feet of general office space in Chesapeake, Virginia, at a base rent that is approximately $280,000 per year, increasing to approximately $325,000 through 2018.</w:t>
      </w:r>
    </w:p>
    <w:p>
      <w:pPr>
        <w:spacing w:after="0" w:line="14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remaining two regional servicing centers occupy a total of approximately 41,000 square feet of leased space in Maitland, Florida; and Westchester, Illinois. The termination dates of such leases range from 2014 to 2018.</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November 2013 we executed leases for approximately 27,000 square feet of general office space in Las Vegas, Nevada. We anticipate that this location will include originations and servicing activities and certain senior management personnel. The term of the lease does not formally commence until we take possession of the premises, which we anticipate to be during the second quarter of 2014, and has a maturity in the fourth quarter of 2019. The annual base rent is approximately $850,000, increasing to approximately $950,000 through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some time a defendant in a class action (the “Stanwich Case”) brought in the California Superior Court, Los Angeles</w:t>
      </w:r>
      <w:r>
        <w:rPr>
          <w:rFonts w:ascii="Arial" w:cs="Arial" w:eastAsia="Arial" w:hAnsi="Arial"/>
          <w:sz w:val="18"/>
          <w:szCs w:val="18"/>
          <w:i w:val="1"/>
          <w:iCs w:val="1"/>
          <w:color w:val="auto"/>
        </w:rPr>
        <w:t xml:space="preserve"> </w:t>
      </w:r>
      <w:r>
        <w:rPr>
          <w:rFonts w:ascii="Arial" w:cs="Arial" w:eastAsia="Arial" w:hAnsi="Arial"/>
          <w:sz w:val="18"/>
          <w:szCs w:val="18"/>
          <w:color w:val="auto"/>
        </w:rPr>
        <w:t>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193"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In November 2001, one of the defendants in the Stanwich Case, Jonathan Pardee, asserted claims for indemnity against us in a separate action, which is now pending in federal district court in Rhode Island. We have filed counterclaims in the Rhode Island federal court against Mr. Pardee, and have filed a separate action against Mr. Pardee's Rhode Island attorneys, in the same court. The litigation between Mr. Pardee and us was stayed for several years through September 2011, awaiting resolution of an adversary action brought against Mr. Pardee in the bankruptcy court, which is hearing the bankruptcy of Stanwich.</w:t>
      </w:r>
    </w:p>
    <w:p>
      <w:pPr>
        <w:spacing w:after="0" w:line="154"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Pursuant to an agreement with the representative of creditors in the Stanwich bankruptcy, that adversary action has been dismissed. Under that agreement, we paid the bankruptcy estate $800,000 and abandoned our claims against the estate, while the estate has abandoned its adversary action against Mr. Pardee. With the dismissal of the adversary action, all known claims asserted against Mr. Pardee have been resolved without his incurring any liability. Accordingly, we believe that this resolution of the adversary action will result in limitation of our exposure to Mr. Pardee to no more than some portion of his attorneys fees incurred. The stay in the action against us in Rhode Island has been lifted, and both we and Mr. Pardee filed motions for summary judgment. The court ruled on those motions in February 2013, denying our motion, and granting Mr. Pardee’s motion as to liability. The issues remaining for trial are the extent of our obligation to indemnify Mr. Pardee. There is no trial date set, but our expectation is that the court may, not earlier than May 2014, set the matter for trial in the latter half of 2014.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 one of which has been settled by agreement with the plaintiffs (such settlement remains subject to approval by the court). For the most part, we have legal and factual defenses to such claims, which we routinely contest or settle (for immaterial amounts) depending on the particular circumstances of each case. We have recorded a liability as of December 31, 2013 with respect to such matters, in the aggregate.</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On July 17, 2013, the staff of the Federal Trade Commission (“FTC”) advised us that they are prepared to recommend that the FTC initiate a</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against us relating to allegedly unfair trade practices, and simultaneously advised that settlement of such issues by consent decree may be possible. Based on our review of the FTC’s allegations, of past practices of the FTC, of our records of our collection and servicing activities, and of other companies’ settlements with the FTC, we expect that we will reach such a settlement, and that such a settlement will require that we make restitutionary payments and that we implement procedural changes under a consent decree. There can be no assurance, however, that we will reach agreement regarding any such settlement, and we may choose to contest the allegations of the FTC. Whether we reach such an agreement or not, the cost to us of contesting or settling the matter may be material. We have recorded a liability as of December 31, 2013 with respect to this matter.</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any of the matters referenced above. We have recorded a liability as of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2013, and in excess of the liability we have recorded, is from $0 to $1.6 million.</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Charles E. Bradley, Jr</w:t>
      </w:r>
      <w:r>
        <w:rPr>
          <w:rFonts w:ascii="Arial" w:cs="Arial" w:eastAsia="Arial" w:hAnsi="Arial"/>
          <w:sz w:val="16"/>
          <w:szCs w:val="16"/>
          <w:color w:val="auto"/>
        </w:rPr>
        <w:t>., 54, has been our President and a director since our formation in March 1991, and was elected Chairman of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in July 2001. In January 1992, Mr. Bradley was appointed Chief Executive Officer. From April 1989 to November 1990, he served as Chief Operating Officer of Barnard and Company, a private investment firm. From September 1987 to March 1989, Mr. Bradley, Jr. was an associate of The Harding Group, a private investment banking firm. Mr. Bradley does not currently serve on the board of directors of any other publicly-traded companies.</w:t>
      </w:r>
    </w:p>
    <w:p>
      <w:pPr>
        <w:spacing w:after="0" w:line="154" w:lineRule="exact"/>
        <w:rPr>
          <w:sz w:val="20"/>
          <w:szCs w:val="20"/>
          <w:color w:val="auto"/>
        </w:rPr>
      </w:pPr>
    </w:p>
    <w:p>
      <w:pPr>
        <w:ind w:right="260" w:firstLine="324"/>
        <w:spacing w:after="0" w:line="312" w:lineRule="auto"/>
        <w:rPr>
          <w:sz w:val="20"/>
          <w:szCs w:val="20"/>
          <w:color w:val="auto"/>
        </w:rPr>
      </w:pPr>
      <w:r>
        <w:rPr>
          <w:rFonts w:ascii="Arial" w:cs="Arial" w:eastAsia="Arial" w:hAnsi="Arial"/>
          <w:sz w:val="16"/>
          <w:szCs w:val="16"/>
          <w:i w:val="1"/>
          <w:iCs w:val="1"/>
          <w:color w:val="auto"/>
        </w:rPr>
        <w:t xml:space="preserve">Mark A. Creatura, </w:t>
      </w:r>
      <w:r>
        <w:rPr>
          <w:rFonts w:ascii="Arial" w:cs="Arial" w:eastAsia="Arial" w:hAnsi="Arial"/>
          <w:sz w:val="16"/>
          <w:szCs w:val="16"/>
          <w:color w:val="auto"/>
        </w:rPr>
        <w:t>54, has been Senior Vice President – General Counsel since October 1996. From October 1993 through October 1996, he was Vice</w:t>
      </w:r>
      <w:r>
        <w:rPr>
          <w:rFonts w:ascii="Arial" w:cs="Arial" w:eastAsia="Arial" w:hAnsi="Arial"/>
          <w:sz w:val="16"/>
          <w:szCs w:val="16"/>
          <w:i w:val="1"/>
          <w:iCs w:val="1"/>
          <w:color w:val="auto"/>
        </w:rPr>
        <w:t xml:space="preserve"> </w:t>
      </w:r>
      <w:r>
        <w:rPr>
          <w:rFonts w:ascii="Arial" w:cs="Arial" w:eastAsia="Arial" w:hAnsi="Arial"/>
          <w:sz w:val="16"/>
          <w:szCs w:val="16"/>
          <w:color w:val="auto"/>
        </w:rPr>
        <w:t>President and General Counsel at Urethane Technologies, Inc., a polyurethane chemicals formulator. Mr. Creatura was previously engaged in the private practice of law with the Los Angeles law firm of Troy &amp; Gould Professional Corporation, from October 1985 through October 1993.</w:t>
      </w:r>
    </w:p>
    <w:p>
      <w:pPr>
        <w:spacing w:after="0" w:line="147"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i w:val="1"/>
          <w:iCs w:val="1"/>
          <w:color w:val="auto"/>
        </w:rPr>
        <w:t xml:space="preserve">Jeffrey P. Fritz, </w:t>
      </w:r>
      <w:r>
        <w:rPr>
          <w:rFonts w:ascii="Arial" w:cs="Arial" w:eastAsia="Arial" w:hAnsi="Arial"/>
          <w:sz w:val="17"/>
          <w:szCs w:val="17"/>
          <w:color w:val="auto"/>
        </w:rPr>
        <w:t>54</w:t>
      </w:r>
      <w:r>
        <w:rPr>
          <w:rFonts w:ascii="Arial" w:cs="Arial" w:eastAsia="Arial" w:hAnsi="Arial"/>
          <w:sz w:val="17"/>
          <w:szCs w:val="17"/>
          <w:i w:val="1"/>
          <w:iCs w:val="1"/>
          <w:color w:val="auto"/>
        </w:rPr>
        <w:t xml:space="preserve">, </w:t>
      </w:r>
      <w:r>
        <w:rPr>
          <w:rFonts w:ascii="Arial" w:cs="Arial" w:eastAsia="Arial" w:hAnsi="Arial"/>
          <w:sz w:val="17"/>
          <w:szCs w:val="17"/>
          <w:color w:val="auto"/>
        </w:rPr>
        <w:t>has been Senior Vice President - Chief Financial Officer since April 2006. He was Senior Vice President - Accounting from August</w:t>
      </w:r>
      <w:r>
        <w:rPr>
          <w:rFonts w:ascii="Arial" w:cs="Arial" w:eastAsia="Arial" w:hAnsi="Arial"/>
          <w:sz w:val="17"/>
          <w:szCs w:val="17"/>
          <w:i w:val="1"/>
          <w:iCs w:val="1"/>
          <w:color w:val="auto"/>
        </w:rPr>
        <w:t xml:space="preserve"> </w:t>
      </w:r>
      <w:r>
        <w:rPr>
          <w:rFonts w:ascii="Arial" w:cs="Arial" w:eastAsia="Arial" w:hAnsi="Arial"/>
          <w:sz w:val="17"/>
          <w:szCs w:val="17"/>
          <w:color w:val="auto"/>
        </w:rPr>
        <w:t>2004 through March 2006. He served as a consultant to us from May 2004 to August 2004. Previously, he was the Chief Financial Officer of SeaWest Financial Corp. from February 2003 to May 2004, and the Chief Financial Officer of AFCO Auto Finance from April 2002 to February 2003. He practiced public accounting with Glenn M. Gelman &amp; Associates from March 2001 to April 2002 and was Chief Financial Officer of Credit Services Group, Inc. from May 1999 to November 2000. He previously served as our Chief Financial Officer from our inception through May 1999.</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8" w:name="page29"/>
    <w:bookmarkEnd w:id="28"/>
    <w:p>
      <w:pPr>
        <w:ind w:right="20" w:firstLine="324"/>
        <w:spacing w:after="0" w:line="276" w:lineRule="auto"/>
        <w:rPr>
          <w:sz w:val="20"/>
          <w:szCs w:val="20"/>
          <w:color w:val="auto"/>
        </w:rPr>
      </w:pPr>
      <w:r>
        <w:rPr>
          <w:rFonts w:ascii="Arial" w:cs="Arial" w:eastAsia="Arial" w:hAnsi="Arial"/>
          <w:sz w:val="17"/>
          <w:szCs w:val="17"/>
          <w:i w:val="1"/>
          <w:iCs w:val="1"/>
          <w:color w:val="auto"/>
        </w:rPr>
        <w:t xml:space="preserve">Robert E. Riedl, </w:t>
      </w:r>
      <w:r>
        <w:rPr>
          <w:rFonts w:ascii="Arial" w:cs="Arial" w:eastAsia="Arial" w:hAnsi="Arial"/>
          <w:sz w:val="17"/>
          <w:szCs w:val="17"/>
          <w:color w:val="auto"/>
        </w:rPr>
        <w:t>50, has been Senior Vice President - Chief Investment Officer since April 2006. Mr. Riedl was Senior Vice President -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August 2003 until assuming his current position. Mr. Riedl joined the Company as Senior Vice President - Risk Management in January 2003. Previously, Mr. Riedl was a Principal at Northwest Capital Appreciation ("NCA"), a middle market private equity firm, from 2000 to 2002. For a year prior to joining Northwest Capital, Mr. Riedl served as Senior Vice President for one of NCA's portfolio companies, SLP Capital. Mr. Riedl was an investment banker for ContiFinancial Services, Jefferies &amp; Company and PaineWebber from 1986 to 1999.</w:t>
      </w:r>
    </w:p>
    <w:p>
      <w:pPr>
        <w:spacing w:after="0" w:line="17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Christopher Terry, </w:t>
      </w:r>
      <w:r>
        <w:rPr>
          <w:rFonts w:ascii="Arial" w:cs="Arial" w:eastAsia="Arial" w:hAnsi="Arial"/>
          <w:sz w:val="18"/>
          <w:szCs w:val="18"/>
          <w:color w:val="auto"/>
        </w:rPr>
        <w:t>46, has been Senior Vice President – Asset Recovery since August 2013. Prior to that was our Senior Vice President of Servicing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May 2005, and prior to that was Senior Vice President - Asset Recovery since January 2003. He joined us in January 1995 as a loan officer, held a series of successively more responsible positions, and was promoted to Vice President - Asset Recovery in June 1999. Mr. Terry was previously a branch manager with Norwest Financial from 1990 to October 1994.</w:t>
      </w:r>
    </w:p>
    <w:p>
      <w:pPr>
        <w:spacing w:after="0" w:line="187" w:lineRule="exact"/>
        <w:rPr>
          <w:sz w:val="20"/>
          <w:szCs w:val="20"/>
          <w:color w:val="auto"/>
        </w:rPr>
      </w:pPr>
    </w:p>
    <w:p>
      <w:pPr>
        <w:ind w:right="600" w:firstLine="324"/>
        <w:spacing w:after="0" w:line="264" w:lineRule="auto"/>
        <w:rPr>
          <w:sz w:val="20"/>
          <w:szCs w:val="20"/>
          <w:color w:val="auto"/>
        </w:rPr>
      </w:pPr>
      <w:r>
        <w:rPr>
          <w:rFonts w:ascii="Arial" w:cs="Arial" w:eastAsia="Arial" w:hAnsi="Arial"/>
          <w:sz w:val="18"/>
          <w:szCs w:val="18"/>
          <w:i w:val="1"/>
          <w:iCs w:val="1"/>
          <w:color w:val="auto"/>
        </w:rPr>
        <w:t xml:space="preserve">Teri L. Robinson, </w:t>
      </w:r>
      <w:r>
        <w:rPr>
          <w:rFonts w:ascii="Arial" w:cs="Arial" w:eastAsia="Arial" w:hAnsi="Arial"/>
          <w:sz w:val="18"/>
          <w:szCs w:val="18"/>
          <w:color w:val="auto"/>
        </w:rPr>
        <w:t>51, has been Senior Vice President of Originations since April 2007. Prior to that, she held the position of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Originations since August 1998. She joined the Company in June 1991 as an Operations Specialist, and held a series of successively more responsible positions. Previously, Ms. Robinson held an administrative position at Greco &amp; Associates.</w:t>
      </w:r>
    </w:p>
    <w:p>
      <w:pPr>
        <w:spacing w:after="0" w:line="18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 xml:space="preserve">Michael L. Lavin, </w:t>
      </w:r>
      <w:r>
        <w:rPr>
          <w:rFonts w:ascii="Arial" w:cs="Arial" w:eastAsia="Arial" w:hAnsi="Arial"/>
          <w:sz w:val="18"/>
          <w:szCs w:val="18"/>
          <w:color w:val="auto"/>
        </w:rPr>
        <w:t>41, has been Senior Vice President – General Counsel since February 2013. From May 2009 to February 2013 he was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Legal and prior to that, he was our Vice President – Legal since joining the Company in November 2001. Mr. Lavin was previously engaged as a law clerk and an associate with the San Diego law firm (now defunct) of Edwards, Sooy &amp; Byron from 1996 through 2000 and then as an associate with the Orange County firm of Trachtman &amp; Trachtman from 2000 through 2001. Mr. Lavin also clerked for the San Diego District Attorney’s office and Orange County Public Defender’s office.</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Curtis K. Powell, </w:t>
      </w:r>
      <w:r>
        <w:rPr>
          <w:rFonts w:ascii="Arial" w:cs="Arial" w:eastAsia="Arial" w:hAnsi="Arial"/>
          <w:sz w:val="18"/>
          <w:szCs w:val="18"/>
          <w:color w:val="auto"/>
        </w:rPr>
        <w:t>56, has been Senior Vice President – Project Development since May 2010. Previously he was our Senior Vice President –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March 2007 to May 2010. Prior to that, he was our Senior Vice President of Originations from June 2001 to March 2007. Prior to that, he was our Senior Vice President – Marketing, from April 1995 to June 2001. He joined us in January 1993 as an independent marketing representative until being appointed Regional Vice President of Marketing for Southern California in November 1994. From June 1985 through January 1993, Mr. Powell was in the retail automobile sales and leasing business.</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 xml:space="preserve">Laurie A. Straten, </w:t>
      </w:r>
      <w:r>
        <w:rPr>
          <w:rFonts w:ascii="Arial" w:cs="Arial" w:eastAsia="Arial" w:hAnsi="Arial"/>
          <w:sz w:val="18"/>
          <w:szCs w:val="18"/>
          <w:color w:val="auto"/>
        </w:rPr>
        <w:t>45</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Servicing since August 2013. Prior to that, she was our Senior Vice President of Asset Recovery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April 2013, and before that she held the position of Vice President of Asset Recovery starting in April 2005. She started with the Company in March 1996 as a bankruptcy specialist and took on more responsibility within Asset Recovery over time. Prior to joining CPS she worked for the FDIC and served in the United States Marine Corps.</w:t>
      </w:r>
    </w:p>
    <w:p>
      <w:pPr>
        <w:spacing w:after="0" w:line="18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 xml:space="preserve">Richard B. Haskell, </w:t>
      </w:r>
      <w:r>
        <w:rPr>
          <w:rFonts w:ascii="Arial" w:cs="Arial" w:eastAsia="Arial" w:hAnsi="Arial"/>
          <w:sz w:val="18"/>
          <w:szCs w:val="18"/>
          <w:color w:val="auto"/>
        </w:rPr>
        <w:t>47</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Senior Vice President of Systems and Risk Management since April 2013. Prior to that, he held the positions of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Systems and Risk Management since January 2007, and Vice President of Risk Management since January 2005. He joined the Company in March 1994 as a data entry clerk in the Originations Department and held a series of successively more responsible positions. Previously, Mr. Haskell held a position as loan officer at Trust One Mortgage.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Company’s Common Stock is traded on the Nasdaq Global Market, under the symbol "CPSS." The following table sets forth the high and low sale prices as reported by Nasdaq for our Common Stock for the periods shown.</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b w:val="1"/>
                <w:bCs w:val="1"/>
                <w:color w:val="auto"/>
              </w:rPr>
              <w:t>High</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Low</w:t>
            </w:r>
          </w:p>
        </w:tc>
      </w:tr>
      <w:tr>
        <w:trPr>
          <w:trHeight w:val="210"/>
        </w:trPr>
        <w:tc>
          <w:tcPr>
            <w:tcW w:w="20" w:type="dxa"/>
            <w:vAlign w:val="bottom"/>
          </w:tcPr>
          <w:p>
            <w:pPr>
              <w:spacing w:after="0"/>
              <w:rPr>
                <w:sz w:val="18"/>
                <w:szCs w:val="18"/>
                <w:color w:val="auto"/>
              </w:rPr>
            </w:pPr>
          </w:p>
        </w:tc>
        <w:tc>
          <w:tcPr>
            <w:tcW w:w="54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January 1 - March 31, 2012</w:t>
            </w:r>
          </w:p>
        </w:tc>
        <w:tc>
          <w:tcPr>
            <w:tcW w:w="1080" w:type="dxa"/>
            <w:vAlign w:val="bottom"/>
            <w:tcBorders>
              <w:top w:val="single" w:sz="8" w:color="auto"/>
            </w:tcBorders>
            <w:shd w:val="clear" w:color="auto" w:fill="EEEEEE"/>
          </w:tcPr>
          <w:p>
            <w:pPr>
              <w:jc w:val="right"/>
              <w:ind w:right="91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1.69</w:t>
            </w:r>
          </w:p>
        </w:tc>
        <w:tc>
          <w:tcPr>
            <w:tcW w:w="30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April 1 - June 30, 2012</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2012</w:t>
            </w: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October 1 - December 31, 2012</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January 1 - March 31, 2013</w:t>
            </w: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11.94</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April 1 - June 30, 2013</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12.79</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July 1 - September 30, 2013</w:t>
            </w:r>
          </w:p>
        </w:tc>
        <w:tc>
          <w:tcPr>
            <w:tcW w:w="1080" w:type="dxa"/>
            <w:vAlign w:val="bottom"/>
            <w:shd w:val="clear" w:color="auto" w:fill="EEEEEE"/>
          </w:tcPr>
          <w:p>
            <w:pPr>
              <w:spacing w:after="0"/>
              <w:rPr>
                <w:sz w:val="18"/>
                <w:szCs w:val="18"/>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7.62</w:t>
            </w:r>
          </w:p>
        </w:tc>
        <w:tc>
          <w:tcPr>
            <w:tcW w:w="3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October 1 - December 31, 2013</w:t>
            </w: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As of January 1, 2014, there were 49 holders of record of the Company’s Common Stock. To date, we have not declared or paid any dividends on our Common Stock. The payment of future dividends, if any, on our Common Stock is within the discretion of the Board of Directors and will depend upon our income, capital requirements and financial condition, and other relevant factors. The instruments governing our outstanding debt place certain restrictions on the payment of dividends. We do not intend to declare any dividends on our Common Stock in the foreseeable future, but instead intend to retain any cash flow for use in our operations.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information regarding outstanding options to purchase our Common Stock as of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Number of securities</w:t>
            </w:r>
          </w:p>
        </w:tc>
        <w:tc>
          <w:tcPr>
            <w:tcW w:w="160" w:type="dxa"/>
            <w:vAlign w:val="bottom"/>
          </w:tcPr>
          <w:p>
            <w:pPr>
              <w:spacing w:after="0"/>
              <w:rPr>
                <w:sz w:val="18"/>
                <w:szCs w:val="18"/>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Weighted average</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to be issued upon</w:t>
            </w:r>
          </w:p>
        </w:tc>
        <w:tc>
          <w:tcPr>
            <w:tcW w:w="160" w:type="dxa"/>
            <w:vAlign w:val="bottom"/>
          </w:tcPr>
          <w:p>
            <w:pPr>
              <w:spacing w:after="0"/>
              <w:rPr>
                <w:sz w:val="18"/>
                <w:szCs w:val="18"/>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exercise price of</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of outstanding</w:t>
            </w:r>
          </w:p>
        </w:tc>
        <w:tc>
          <w:tcPr>
            <w:tcW w:w="160" w:type="dxa"/>
            <w:vAlign w:val="bottom"/>
          </w:tcPr>
          <w:p>
            <w:pPr>
              <w:spacing w:after="0"/>
              <w:rPr>
                <w:sz w:val="18"/>
                <w:szCs w:val="18"/>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outstanding</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available for future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options, warrants</w:t>
            </w:r>
          </w:p>
        </w:tc>
        <w:tc>
          <w:tcPr>
            <w:tcW w:w="160" w:type="dxa"/>
            <w:vAlign w:val="bottom"/>
          </w:tcPr>
          <w:p>
            <w:pPr>
              <w:spacing w:after="0"/>
              <w:rPr>
                <w:sz w:val="19"/>
                <w:szCs w:val="19"/>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options, warrants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issuance under equity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2"/>
          </w:tcPr>
          <w:p>
            <w:pPr>
              <w:ind w:left="1920"/>
              <w:spacing w:after="0"/>
              <w:rPr>
                <w:sz w:val="20"/>
                <w:szCs w:val="20"/>
                <w:color w:val="auto"/>
              </w:rPr>
            </w:pPr>
            <w:r>
              <w:rPr>
                <w:rFonts w:ascii="Arial" w:cs="Arial" w:eastAsia="Arial" w:hAnsi="Arial"/>
                <w:sz w:val="18"/>
                <w:szCs w:val="18"/>
                <w:b w:val="1"/>
                <w:bCs w:val="1"/>
                <w:color w:val="auto"/>
              </w:rPr>
              <w:t>Plan category</w:t>
            </w:r>
          </w:p>
        </w:tc>
        <w:tc>
          <w:tcPr>
            <w:tcW w:w="2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and rights</w:t>
            </w:r>
          </w:p>
        </w:tc>
        <w:tc>
          <w:tcPr>
            <w:tcW w:w="160" w:type="dxa"/>
            <w:vAlign w:val="bottom"/>
          </w:tcPr>
          <w:p>
            <w:pPr>
              <w:spacing w:after="0"/>
              <w:rPr>
                <w:sz w:val="20"/>
                <w:szCs w:val="20"/>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and rights</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w:t>
            </w:r>
          </w:p>
        </w:tc>
        <w:tc>
          <w:tcPr>
            <w:tcW w:w="1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2180" w:type="dxa"/>
            <w:vAlign w:val="bottom"/>
            <w:gridSpan w:val="2"/>
          </w:tcPr>
          <w:p>
            <w:pPr>
              <w:jc w:val="right"/>
              <w:ind w:right="340"/>
              <w:spacing w:after="0"/>
              <w:rPr>
                <w:sz w:val="20"/>
                <w:szCs w:val="20"/>
                <w:color w:val="auto"/>
              </w:rPr>
            </w:pPr>
            <w:r>
              <w:rPr>
                <w:rFonts w:ascii="Arial" w:cs="Arial" w:eastAsia="Arial" w:hAnsi="Arial"/>
                <w:sz w:val="18"/>
                <w:szCs w:val="18"/>
                <w:color w:val="auto"/>
              </w:rPr>
              <w:t>12,536,839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4,035,581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Equity compensation plans not</w:t>
            </w:r>
          </w:p>
        </w:tc>
        <w:tc>
          <w:tcPr>
            <w:tcW w:w="18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approved by security holders</w:t>
            </w:r>
          </w:p>
        </w:tc>
        <w:tc>
          <w:tcPr>
            <w:tcW w:w="2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84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ind w:right="340"/>
              <w:spacing w:after="0"/>
              <w:rPr>
                <w:sz w:val="20"/>
                <w:szCs w:val="20"/>
                <w:color w:val="auto"/>
              </w:rPr>
            </w:pPr>
            <w:r>
              <w:rPr>
                <w:rFonts w:ascii="Arial" w:cs="Arial" w:eastAsia="Arial" w:hAnsi="Arial"/>
                <w:sz w:val="18"/>
                <w:szCs w:val="18"/>
                <w:color w:val="auto"/>
              </w:rPr>
              <w:t>12,536,839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1920" w:type="dxa"/>
            <w:vAlign w:val="bottom"/>
            <w:gridSpan w:val="2"/>
          </w:tcPr>
          <w:p>
            <w:pPr>
              <w:jc w:val="right"/>
              <w:ind w:right="100"/>
              <w:spacing w:after="0"/>
              <w:rPr>
                <w:sz w:val="20"/>
                <w:szCs w:val="20"/>
                <w:color w:val="auto"/>
              </w:rPr>
            </w:pPr>
            <w:r>
              <w:rPr>
                <w:rFonts w:ascii="Arial" w:cs="Arial" w:eastAsia="Arial" w:hAnsi="Arial"/>
                <w:sz w:val="18"/>
                <w:szCs w:val="18"/>
                <w:color w:val="auto"/>
              </w:rPr>
              <w:t>4,035,581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6600" w:type="dxa"/>
            <w:vAlign w:val="bottom"/>
            <w:gridSpan w:val="10"/>
          </w:tcPr>
          <w:p>
            <w:pPr>
              <w:jc w:val="right"/>
              <w:ind w:right="1310"/>
              <w:spacing w:after="0"/>
              <w:rPr>
                <w:sz w:val="20"/>
                <w:szCs w:val="20"/>
                <w:color w:val="auto"/>
              </w:rPr>
            </w:pPr>
            <w:r>
              <w:rPr>
                <w:rFonts w:ascii="Arial" w:cs="Arial" w:eastAsia="Arial" w:hAnsi="Arial"/>
                <w:sz w:val="18"/>
                <w:szCs w:val="18"/>
                <w:b w:val="1"/>
                <w:bCs w:val="1"/>
                <w:color w:val="auto"/>
              </w:rPr>
              <w:t>Issuer Purchases of Equity Securities in the Fourth Quarter</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34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w w:val="85"/>
              </w:rPr>
              <w:t>Shares Purchased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Part of Publicly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3"/>
          </w:tcPr>
          <w:p>
            <w:pPr>
              <w:ind w:left="60"/>
              <w:spacing w:after="0"/>
              <w:rPr>
                <w:sz w:val="20"/>
                <w:szCs w:val="20"/>
                <w:color w:val="auto"/>
              </w:rPr>
            </w:pPr>
            <w:r>
              <w:rPr>
                <w:rFonts w:ascii="Arial" w:cs="Arial" w:eastAsia="Arial" w:hAnsi="Arial"/>
                <w:sz w:val="18"/>
                <w:szCs w:val="18"/>
                <w:b w:val="1"/>
                <w:bCs w:val="1"/>
                <w:color w:val="auto"/>
              </w:rPr>
              <w:t>Average Price Paid</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w w:val="89"/>
              </w:rPr>
              <w:t>Announced Plans or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ind w:left="1460"/>
              <w:spacing w:after="0"/>
              <w:rPr>
                <w:sz w:val="20"/>
                <w:szCs w:val="20"/>
                <w:color w:val="auto"/>
              </w:rPr>
            </w:pPr>
            <w:r>
              <w:rPr>
                <w:rFonts w:ascii="Arial" w:cs="Arial" w:eastAsia="Arial" w:hAnsi="Arial"/>
                <w:sz w:val="18"/>
                <w:szCs w:val="18"/>
                <w:b w:val="1"/>
                <w:bCs w:val="1"/>
                <w:color w:val="auto"/>
              </w:rPr>
              <w:t>Period(1)</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 Share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2"/>
              </w:rPr>
              <w:t>Programs(2)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auto"/>
            </w:tcBorders>
            <w:shd w:val="clear" w:color="auto" w:fill="EEEEEE"/>
          </w:tcPr>
          <w:p>
            <w:pPr>
              <w:spacing w:after="0"/>
              <w:rPr>
                <w:sz w:val="18"/>
                <w:szCs w:val="18"/>
                <w:color w:val="auto"/>
              </w:rPr>
            </w:pPr>
          </w:p>
        </w:tc>
        <w:tc>
          <w:tcPr>
            <w:tcW w:w="86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October 2013</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EEEEEE"/>
          </w:tcPr>
          <w:p>
            <w:pPr>
              <w:spacing w:after="0"/>
              <w:rPr>
                <w:sz w:val="20"/>
                <w:szCs w:val="20"/>
                <w:color w:val="auto"/>
              </w:rPr>
            </w:pPr>
            <w:r>
              <w:rPr>
                <w:rFonts w:ascii="Arial" w:cs="Arial" w:eastAsia="Arial" w:hAnsi="Arial"/>
                <w:sz w:val="18"/>
                <w:szCs w:val="18"/>
                <w:color w:val="auto"/>
              </w:rPr>
              <w:t>November 2013</w:t>
            </w: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300" w:type="dxa"/>
            <w:vAlign w:val="bottom"/>
            <w:gridSpan w:val="2"/>
            <w:shd w:val="clear" w:color="auto" w:fill="EEEEEE"/>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ind w:left="12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December 2013</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986,193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Borders>
              <w:top w:val="single" w:sz="8" w:color="EEEEEE"/>
            </w:tcBorders>
            <w:shd w:val="clear" w:color="auto" w:fill="EEEEEE"/>
          </w:tcPr>
          <w:p>
            <w:pPr>
              <w:spacing w:after="0"/>
              <w:rPr>
                <w:sz w:val="18"/>
                <w:szCs w:val="18"/>
                <w:color w:val="auto"/>
              </w:rPr>
            </w:pPr>
          </w:p>
        </w:tc>
        <w:tc>
          <w:tcPr>
            <w:tcW w:w="8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 w:lineRule="exact"/>
        <w:rPr>
          <w:rFonts w:ascii="Arial" w:cs="Arial" w:eastAsia="Arial" w:hAnsi="Arial"/>
          <w:sz w:val="18"/>
          <w:szCs w:val="18"/>
          <w:i w:val="1"/>
          <w:iCs w:val="1"/>
          <w:color w:val="auto"/>
        </w:rPr>
      </w:pPr>
    </w:p>
    <w:p>
      <w:pPr>
        <w:ind w:left="260" w:right="100" w:hanging="252"/>
        <w:spacing w:after="0" w:line="254" w:lineRule="auto"/>
        <w:tabs>
          <w:tab w:leader="none" w:pos="2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Through December 31, 2013, our board of directors had authorized the purchase of up to $34.5 million of our outstanding securities, which program was first announced in our annual report for the year 2002, filed on March 26, 2003. All purchases described in the table above were under the plan announced in March 2003, which has no fixed expiration date. As of December 31, 2013, we have purchased $5.0 million in principal amount of debt securities and $28.4 million of our common stock representing 9,800,720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360" w:firstLine="324"/>
        <w:spacing w:after="0" w:line="257" w:lineRule="auto"/>
        <w:rPr>
          <w:sz w:val="20"/>
          <w:szCs w:val="20"/>
          <w:color w:val="auto"/>
        </w:rPr>
      </w:pPr>
      <w:r>
        <w:rPr>
          <w:rFonts w:ascii="Arial" w:cs="Arial" w:eastAsia="Arial" w:hAnsi="Arial"/>
          <w:sz w:val="18"/>
          <w:szCs w:val="18"/>
          <w:color w:val="auto"/>
        </w:rPr>
        <w:t>The following table presents our selected consolidated financial data and operating data as of and for the dates indicated. The data under the captions "Statement of Operations Data" and "Balance Sheet Data" have been derived from our audited and unaudited consolidated financial statements. The remainder is derived from other records of ours. You should read the selected consolidated financial data together with "Management’s Discussion and Analysis of Financial Condition and Results of Operations" and our audited and unaudited financial statements and notes thereto that are included in this report, and in our quarterly and periodic filings.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9"/>
              </w:rPr>
              <w:t>As of and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20" w:type="dxa"/>
            <w:vAlign w:val="bottom"/>
            <w:gridSpan w:val="7"/>
          </w:tcPr>
          <w:p>
            <w:pPr>
              <w:jc w:val="right"/>
              <w:ind w:right="30"/>
              <w:spacing w:after="0"/>
              <w:rPr>
                <w:sz w:val="20"/>
                <w:szCs w:val="20"/>
                <w:color w:val="auto"/>
              </w:rPr>
            </w:pPr>
            <w:r>
              <w:rPr>
                <w:rFonts w:ascii="Arial" w:cs="Arial" w:eastAsia="Arial" w:hAnsi="Arial"/>
                <w:sz w:val="18"/>
                <w:szCs w:val="18"/>
                <w:b w:val="1"/>
                <w:bCs w:val="1"/>
                <w:color w:val="auto"/>
              </w:rPr>
              <w:t>For the Year Ended December 31,</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w w:val="95"/>
              </w:rPr>
              <w:t>(in thousands, except per share data)</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Statement of Operations Data</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231,330</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175,314</w:t>
            </w:r>
          </w:p>
        </w:tc>
        <w:tc>
          <w:tcPr>
            <w:tcW w:w="3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127,856</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137,090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Servicing fees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3,093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4,348</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7,657</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10,405</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9,589</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10,927</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10,438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11,059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Gain on cancellation of debt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10,947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EEEEEE"/>
            </w:tcBorders>
            <w:gridSpan w:val="2"/>
            <w:shd w:val="clear" w:color="auto" w:fill="EEEEEE"/>
          </w:tcPr>
          <w:p>
            <w:pPr>
              <w:ind w:left="4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255,775</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187,208</w:t>
            </w:r>
          </w:p>
        </w:tc>
        <w:tc>
          <w:tcPr>
            <w:tcW w:w="2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143,131</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155,185</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223,895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Employee costs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42,960</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35,573</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32,270</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33,814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32,753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29,531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26,759</w:t>
            </w: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26,068</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58,179</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79,422</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83,054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81,577</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112,639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76,869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33,495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15,508</w:t>
            </w: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29,921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shd w:val="clear" w:color="auto" w:fill="EEEEEE"/>
          </w:tcPr>
          <w:p>
            <w:pPr>
              <w:ind w:left="220"/>
              <w:spacing w:after="0"/>
              <w:rPr>
                <w:sz w:val="20"/>
                <w:szCs w:val="20"/>
                <w:color w:val="auto"/>
              </w:rPr>
            </w:pPr>
            <w:r>
              <w:rPr>
                <w:rFonts w:ascii="Arial" w:cs="Arial" w:eastAsia="Arial" w:hAnsi="Arial"/>
                <w:sz w:val="18"/>
                <w:szCs w:val="18"/>
                <w:color w:val="auto"/>
              </w:rPr>
              <w:t>Provision for contingent liabilities</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7,841</w:t>
            </w:r>
          </w:p>
        </w:tc>
        <w:tc>
          <w:tcPr>
            <w:tcW w:w="1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bottom w:val="single" w:sz="8" w:color="EEEEEE"/>
            </w:tcBorders>
            <w:gridSpan w:val="2"/>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218,602</w:t>
            </w:r>
          </w:p>
        </w:tc>
        <w:tc>
          <w:tcPr>
            <w:tcW w:w="18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178,021</w:t>
            </w:r>
          </w:p>
        </w:tc>
        <w:tc>
          <w:tcPr>
            <w:tcW w:w="22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157,591</w:t>
            </w:r>
          </w:p>
        </w:tc>
        <w:tc>
          <w:tcPr>
            <w:tcW w:w="34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171,380</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274,176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gridSpan w:val="2"/>
            <w:shd w:val="clear" w:color="auto" w:fill="EEEEEE"/>
          </w:tcPr>
          <w:p>
            <w:pPr>
              <w:spacing w:after="0" w:line="182" w:lineRule="exact"/>
              <w:rPr>
                <w:sz w:val="20"/>
                <w:szCs w:val="20"/>
                <w:color w:val="auto"/>
              </w:rPr>
            </w:pPr>
            <w:r>
              <w:rPr>
                <w:rFonts w:ascii="Arial" w:cs="Arial" w:eastAsia="Arial" w:hAnsi="Arial"/>
                <w:sz w:val="18"/>
                <w:szCs w:val="18"/>
                <w:color w:val="auto"/>
              </w:rPr>
              <w:t>Income (loss) before income tax</w:t>
            </w:r>
          </w:p>
        </w:tc>
        <w:tc>
          <w:tcPr>
            <w:tcW w:w="30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6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80" w:type="dxa"/>
            <w:vAlign w:val="bottom"/>
            <w:shd w:val="clear" w:color="auto" w:fill="EEEEEE"/>
          </w:tcPr>
          <w:p>
            <w:pPr>
              <w:spacing w:after="0"/>
              <w:rPr>
                <w:sz w:val="15"/>
                <w:szCs w:val="15"/>
                <w:color w:val="auto"/>
              </w:rPr>
            </w:pPr>
          </w:p>
        </w:tc>
        <w:tc>
          <w:tcPr>
            <w:tcW w:w="220" w:type="dxa"/>
            <w:vAlign w:val="bottom"/>
            <w:shd w:val="clear" w:color="auto" w:fill="EEEEEE"/>
          </w:tcPr>
          <w:p>
            <w:pPr>
              <w:spacing w:after="0"/>
              <w:rPr>
                <w:sz w:val="15"/>
                <w:szCs w:val="15"/>
                <w:color w:val="auto"/>
              </w:rPr>
            </w:pPr>
          </w:p>
        </w:tc>
        <w:tc>
          <w:tcPr>
            <w:tcW w:w="1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120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360" w:type="dxa"/>
            <w:vAlign w:val="bottom"/>
            <w:shd w:val="clear" w:color="auto" w:fill="EEEEEE"/>
          </w:tcPr>
          <w:p>
            <w:pPr>
              <w:spacing w:after="0"/>
              <w:rPr>
                <w:sz w:val="15"/>
                <w:szCs w:val="15"/>
                <w:color w:val="auto"/>
              </w:rPr>
            </w:pPr>
          </w:p>
        </w:tc>
        <w:tc>
          <w:tcPr>
            <w:tcW w:w="100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300" w:type="dxa"/>
            <w:vAlign w:val="bottom"/>
            <w:shd w:val="clear" w:color="auto" w:fill="EEEEEE"/>
          </w:tcPr>
          <w:p>
            <w:pPr>
              <w:spacing w:after="0"/>
              <w:rPr>
                <w:sz w:val="15"/>
                <w:szCs w:val="15"/>
                <w:color w:val="auto"/>
              </w:rPr>
            </w:pPr>
          </w:p>
        </w:tc>
        <w:tc>
          <w:tcPr>
            <w:tcW w:w="106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expense (benefit)</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37,173</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9,187</w:t>
            </w:r>
          </w:p>
        </w:tc>
        <w:tc>
          <w:tcPr>
            <w:tcW w:w="1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(14,460)</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(16,195)</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16,168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(60,221)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16,982</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EEEEEE"/>
              <w:bottom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21,005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69,408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(14,460</w:t>
            </w:r>
          </w:p>
        </w:tc>
        <w:tc>
          <w:tcPr>
            <w:tcW w:w="340" w:type="dxa"/>
            <w:vAlign w:val="bottom"/>
            <w:tcBorders>
              <w:top w:val="single" w:sz="8" w:color="EEEEEE"/>
              <w:bottom w:val="single" w:sz="8" w:color="EEEEEE"/>
            </w:tcBorders>
            <w:shd w:val="clear" w:color="auto" w:fill="EEEEEE"/>
          </w:tcPr>
          <w:p>
            <w:pPr>
              <w:jc w:val="right"/>
              <w:ind w:right="2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(33,177</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(58,081</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Earnings (loss) per share-basic</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0.98</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3.56</w:t>
            </w:r>
          </w:p>
        </w:tc>
        <w:tc>
          <w:tcPr>
            <w:tcW w:w="3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(0.76)</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Earnings (loss) per share-diluted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2.72</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(1.90)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Pre-tax income (loss) per share-basic</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1.73</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0.47</w:t>
            </w:r>
          </w:p>
        </w:tc>
        <w:tc>
          <w:tcPr>
            <w:tcW w:w="3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(0.76)</w:t>
            </w: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(0.93)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w w:val="98"/>
              </w:rPr>
              <w:t>Pre-tax income (loss) per share-diluted</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1.18</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(0.93)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Weighted average shares outstanding-</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21,538</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19,473</w:t>
            </w:r>
          </w:p>
        </w:tc>
        <w:tc>
          <w:tcPr>
            <w:tcW w:w="1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19,013</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17,477</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shares outstanding-</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31,574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25,478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19,013</w:t>
            </w:r>
          </w:p>
        </w:tc>
        <w:tc>
          <w:tcPr>
            <w:tcW w:w="3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17,477</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1,396,366</w:t>
            </w:r>
          </w:p>
        </w:tc>
        <w:tc>
          <w:tcPr>
            <w:tcW w:w="1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1,037,620</w:t>
            </w:r>
          </w:p>
        </w:tc>
        <w:tc>
          <w:tcPr>
            <w:tcW w:w="32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890,050</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742,390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1,068,261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22,112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12,966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10,094</w:t>
            </w: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16,252</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132,284</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104,445</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159,228</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123,958</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1,115,437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744,749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506,279</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552,453</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840,092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value</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14,476</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59,668</w:t>
            </w:r>
          </w:p>
        </w:tc>
        <w:tc>
          <w:tcPr>
            <w:tcW w:w="1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160,253</w:t>
            </w:r>
          </w:p>
        </w:tc>
        <w:tc>
          <w:tcPr>
            <w:tcW w:w="3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4,414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3,841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9,452</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21,731</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25,393</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45,564</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19,096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21,884</w:t>
            </w: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39,440</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56,930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at fair value</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13,117</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57,107</w:t>
            </w:r>
          </w:p>
        </w:tc>
        <w:tc>
          <w:tcPr>
            <w:tcW w:w="14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166,828</w:t>
            </w:r>
          </w:p>
        </w:tc>
        <w:tc>
          <w:tcPr>
            <w:tcW w:w="3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1,177,559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792,497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583,065</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567,722</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904,833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57,701</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73,416</w:t>
            </w:r>
          </w:p>
        </w:tc>
        <w:tc>
          <w:tcPr>
            <w:tcW w:w="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79,094</w:t>
            </w:r>
          </w:p>
        </w:tc>
        <w:tc>
          <w:tcPr>
            <w:tcW w:w="36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65,210</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94,602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61,311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(14,207)</w:t>
            </w:r>
          </w:p>
        </w:tc>
        <w:tc>
          <w:tcPr>
            <w:tcW w:w="3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2,421</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35,577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right="320" w:hanging="332"/>
        <w:spacing w:after="0" w:line="274"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Income (loss) before income tax benefit divided by weighted average shares outstanding-basic. Included for illustrative purposes because some of the periods presented include significant income tax benefits while other periods have neither income tax benefit nor expense.</w:t>
      </w:r>
    </w:p>
    <w:p>
      <w:pPr>
        <w:ind w:left="340" w:right="200" w:hanging="332"/>
        <w:spacing w:after="0" w:line="290"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Income (loss) before income tax benefit divided by weighted average shares outstanding-diluted. Included for illustrative purposes because some of the periods presented include significant income tax benefits while other periods have neither income tax benefit nor expense.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As of and</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(dollars in thousands, except per</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520" w:type="dxa"/>
            <w:vAlign w:val="bottom"/>
            <w:gridSpan w:val="7"/>
          </w:tcPr>
          <w:p>
            <w:pPr>
              <w:jc w:val="center"/>
              <w:ind w:left="570"/>
              <w:spacing w:after="0"/>
              <w:rPr>
                <w:sz w:val="20"/>
                <w:szCs w:val="20"/>
                <w:color w:val="auto"/>
              </w:rPr>
            </w:pPr>
            <w:r>
              <w:rPr>
                <w:rFonts w:ascii="Arial" w:cs="Arial" w:eastAsia="Arial" w:hAnsi="Arial"/>
                <w:sz w:val="18"/>
                <w:szCs w:val="18"/>
                <w:b w:val="1"/>
                <w:bCs w:val="1"/>
                <w:color w:val="auto"/>
                <w:w w:val="91"/>
              </w:rPr>
              <w:t>For the Year Ended December 31,</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ind w:left="980"/>
              <w:spacing w:after="0"/>
              <w:rPr>
                <w:sz w:val="20"/>
                <w:szCs w:val="20"/>
                <w:color w:val="auto"/>
              </w:rPr>
            </w:pPr>
            <w:r>
              <w:rPr>
                <w:rFonts w:ascii="Arial" w:cs="Arial" w:eastAsia="Arial" w:hAnsi="Arial"/>
                <w:sz w:val="18"/>
                <w:szCs w:val="18"/>
                <w:b w:val="1"/>
                <w:bCs w:val="1"/>
                <w:color w:val="auto"/>
              </w:rPr>
              <w:t>share data)</w:t>
            </w: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Contract Purchases/Securitizations</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Automobile contract purchases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764,087</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551,742</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284,236</w:t>
            </w:r>
          </w:p>
        </w:tc>
        <w:tc>
          <w:tcPr>
            <w:tcW w:w="3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113,023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Automobile contracts securitized -</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structured as sales</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103,772</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Automobile contracts securitized -</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structured as secured financings</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778,000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554,101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335,593</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Managed Portfolio Data</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Contracts held by consolidated</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1,207,694</w:t>
            </w:r>
          </w:p>
        </w:tc>
        <w:tc>
          <w:tcPr>
            <w:tcW w:w="180" w:type="dxa"/>
            <w:vAlign w:val="bottom"/>
            <w:shd w:val="clear" w:color="auto" w:fill="EEEEEE"/>
          </w:tcPr>
          <w:p>
            <w:pPr>
              <w:spacing w:after="0"/>
              <w:rPr>
                <w:sz w:val="20"/>
                <w:szCs w:val="20"/>
                <w:color w:val="auto"/>
              </w:rPr>
            </w:pP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807,888</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546,018</w:t>
            </w:r>
          </w:p>
        </w:tc>
        <w:tc>
          <w:tcPr>
            <w:tcW w:w="340" w:type="dxa"/>
            <w:vAlign w:val="bottom"/>
            <w:shd w:val="clear" w:color="auto" w:fill="EEEEEE"/>
          </w:tcPr>
          <w:p>
            <w:pPr>
              <w:spacing w:after="0"/>
              <w:rPr>
                <w:sz w:val="20"/>
                <w:szCs w:val="20"/>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597,142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922,682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Fireside portfolio</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14,786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60,804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172,167</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Contracts held by non-consolidated</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17,298</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42,971</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83,964</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134,894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Third party portfolios (1)</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4,868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11,585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33,493</w:t>
            </w:r>
          </w:p>
        </w:tc>
        <w:tc>
          <w:tcPr>
            <w:tcW w:w="36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75,097</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137,146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 managed portfolio</w:t>
            </w: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1,231,422</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794,649</w:t>
            </w:r>
          </w:p>
        </w:tc>
        <w:tc>
          <w:tcPr>
            <w:tcW w:w="34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tcBorders>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1,194,722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Average managed portfolio</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1,064,498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822,571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711,725</w:t>
            </w: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928,977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1,342,410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fixed effective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interest rate (total managed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portfolio) (2)</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Core operating expense (% of average</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managed portfolio) (3)</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7.1%</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8.3%</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Allowance for finance credit losses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39,626</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19,594</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10,351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13,168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38,274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Allowance for finance credit losses (%</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of total contracts held by</w:t>
            </w: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consolidated subsidiaries)</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1.9%</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w w:val="99"/>
              </w:rPr>
              <w:t>Aggregate allowance for finance credit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losses and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39,626</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19,594</w:t>
            </w:r>
          </w:p>
        </w:tc>
        <w:tc>
          <w:tcPr>
            <w:tcW w:w="3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10,351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13,168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repossessions in inventory</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54,405</w:t>
            </w:r>
          </w:p>
        </w:tc>
        <w:tc>
          <w:tcPr>
            <w:tcW w:w="46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25,978</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15,116</w:t>
            </w:r>
          </w:p>
        </w:tc>
        <w:tc>
          <w:tcPr>
            <w:tcW w:w="34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29,446</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w w:val="99"/>
              </w:rPr>
              <w:t>Aggregate allowance for finance credit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losses (% of total repossessions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ind w:left="180"/>
              <w:spacing w:after="0"/>
              <w:rPr>
                <w:sz w:val="20"/>
                <w:szCs w:val="20"/>
                <w:color w:val="auto"/>
              </w:rPr>
            </w:pPr>
            <w:r>
              <w:rPr>
                <w:rFonts w:ascii="Arial" w:cs="Arial" w:eastAsia="Arial" w:hAnsi="Arial"/>
                <w:sz w:val="18"/>
                <w:szCs w:val="18"/>
                <w:color w:val="auto"/>
              </w:rPr>
              <w:t>inventory and</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ind w:left="180"/>
              <w:spacing w:after="0" w:line="201" w:lineRule="exact"/>
              <w:rPr>
                <w:sz w:val="20"/>
                <w:szCs w:val="20"/>
                <w:color w:val="auto"/>
              </w:rPr>
            </w:pPr>
            <w:r>
              <w:rPr>
                <w:rFonts w:ascii="Arial" w:cs="Arial" w:eastAsia="Arial" w:hAnsi="Arial"/>
                <w:sz w:val="18"/>
                <w:szCs w:val="18"/>
                <w:color w:val="auto"/>
              </w:rPr>
              <w:t>contracts held by consolidated</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shd w:val="clear" w:color="auto" w:fill="EEEEEE"/>
          </w:tcPr>
          <w:p>
            <w:pPr>
              <w:ind w:left="38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814.0%</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w:t>
            </w:r>
          </w:p>
        </w:tc>
        <w:tc>
          <w:tcPr>
            <w:tcW w:w="3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Total delinquencies (2) (4)</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Total delinquencies and repossessions</w:t>
            </w: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(2) (4)</w:t>
            </w:r>
          </w:p>
        </w:tc>
        <w:tc>
          <w:tcPr>
            <w:tcW w:w="2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5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6.2%</w:t>
            </w:r>
          </w:p>
        </w:tc>
        <w:tc>
          <w:tcPr>
            <w:tcW w:w="36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Net charge-offs (2) (5)</w:t>
            </w: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6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Receivables related to the third party portfolios, on which we earn only a servicing fee.</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Excludes receivables related to the third party portfolios.</w:t>
      </w:r>
    </w:p>
    <w:p>
      <w:pPr>
        <w:spacing w:after="0" w:line="9" w:lineRule="exact"/>
        <w:rPr>
          <w:rFonts w:ascii="Arial" w:cs="Arial" w:eastAsia="Arial" w:hAnsi="Arial"/>
          <w:sz w:val="18"/>
          <w:szCs w:val="18"/>
          <w:i w:val="1"/>
          <w:iCs w:val="1"/>
          <w:color w:val="auto"/>
        </w:rPr>
      </w:pPr>
    </w:p>
    <w:p>
      <w:pPr>
        <w:ind w:left="340" w:right="120" w:hanging="332"/>
        <w:spacing w:after="0" w:line="250"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Total expenses excluding provision for credit losses, provision for contingent liabilities, interest expense, loss on sale of receivables and impairment loss on residual assets.</w:t>
      </w:r>
    </w:p>
    <w:p>
      <w:pPr>
        <w:ind w:left="340" w:right="200" w:hanging="332"/>
        <w:spacing w:after="0" w:line="250"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For further information regarding delinquencies and the managed portfolio, see the table captioned </w:t>
      </w:r>
      <w:r>
        <w:rPr>
          <w:rFonts w:ascii="Arial" w:cs="Arial" w:eastAsia="Arial" w:hAnsi="Arial"/>
          <w:sz w:val="18"/>
          <w:szCs w:val="18"/>
          <w:color w:val="auto"/>
        </w:rPr>
        <w:t>"</w:t>
      </w:r>
      <w:r>
        <w:rPr>
          <w:rFonts w:ascii="Arial" w:cs="Arial" w:eastAsia="Arial" w:hAnsi="Arial"/>
          <w:sz w:val="18"/>
          <w:szCs w:val="18"/>
          <w:i w:val="1"/>
          <w:iCs w:val="1"/>
          <w:color w:val="auto"/>
        </w:rPr>
        <w:t>Delinquency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1, Part I of this report and the notes to that table.</w:t>
      </w:r>
    </w:p>
    <w:p>
      <w:pPr>
        <w:ind w:left="340" w:right="160" w:hanging="332"/>
        <w:spacing w:after="0" w:line="254"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charge-offs include the remaining principal balance, after the application of the net proceeds from the liquidation of the vehicle (excluding accrued and unpaid interest) and amounts collected subsequent to the date of the charge-off, including some recoveries which have been classified as other income in the accompanying financial statements. For further information regarding charge-offs, see the table captioned </w:t>
      </w:r>
      <w:r>
        <w:rPr>
          <w:rFonts w:ascii="Arial" w:cs="Arial" w:eastAsia="Arial" w:hAnsi="Arial"/>
          <w:sz w:val="18"/>
          <w:szCs w:val="18"/>
          <w:color w:val="auto"/>
        </w:rPr>
        <w:t>"</w:t>
      </w:r>
      <w:r>
        <w:rPr>
          <w:rFonts w:ascii="Arial" w:cs="Arial" w:eastAsia="Arial" w:hAnsi="Arial"/>
          <w:sz w:val="18"/>
          <w:szCs w:val="18"/>
          <w:i w:val="1"/>
          <w:iCs w:val="1"/>
          <w:color w:val="auto"/>
        </w:rPr>
        <w:t>Net Charge-Off Experience,</w:t>
      </w:r>
      <w:r>
        <w:rPr>
          <w:rFonts w:ascii="Arial" w:cs="Arial" w:eastAsia="Arial" w:hAnsi="Arial"/>
          <w:sz w:val="18"/>
          <w:szCs w:val="18"/>
          <w:color w:val="auto"/>
        </w:rPr>
        <w:t>"</w:t>
      </w:r>
      <w:r>
        <w:rPr>
          <w:rFonts w:ascii="Arial" w:cs="Arial" w:eastAsia="Arial" w:hAnsi="Arial"/>
          <w:sz w:val="18"/>
          <w:szCs w:val="18"/>
          <w:i w:val="1"/>
          <w:iCs w:val="1"/>
          <w:color w:val="auto"/>
        </w:rPr>
        <w:t xml:space="preserve"> in Item I, Part I of this report and the notes to that table.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notes thereto and other information included or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low incomes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directly originated an immaterial amount of vehicle purchase money loans by lending money directly to consumers. In this report, we refer to all of such contracts and loans as "automobile contracts."</w:t>
      </w:r>
    </w:p>
    <w:p>
      <w:pPr>
        <w:spacing w:after="0" w:line="18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were incorporated and began our operations in March 1991. From inception through December 31, 2012, we have purchased a total of approximately $10.4 billion of automobile contracts from dealers. In addition, we acquired a total of approximately $822.3 million of automobile contracts in mergers and acquisitions in 2002, 2003, 2004 and, most recently in September 2011. The September 2011 acquisition consisted of approximately $217.8 million of automobile contracts that we purchased from Fireside Bank of Pleasanton, California. In 2004 and 2009, we were appointed as a third-party servicer for certain portfolios of automobile contracts originated and owned by non-affiliated entities. From 2008 through 2010, our managed portfolio decreased each year due to our strategy of limiting contract purchases to conserve our liquidity during the financial crisis and resulting recession, as discussed further below. However, since October 2009, we have gradually increased contract purchase which, in turn, has resulted in recent increases in our managed portfolio. Recent contract purchase volumes and managed portfolio levels are shown in the table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 Purchases and Outstanding Managed Portfolio</w:t>
      </w:r>
    </w:p>
    <w:p>
      <w:pPr>
        <w:spacing w:after="0" w:line="27"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20" w:type="dxa"/>
            <w:vAlign w:val="bottom"/>
            <w:gridSpan w:val="5"/>
          </w:tcPr>
          <w:p>
            <w:pPr>
              <w:ind w:left="9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w w:val="88"/>
              </w:rPr>
              <w:t>Contracts Purchased</w:t>
            </w: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Managed Portfolio</w:t>
            </w:r>
          </w:p>
        </w:tc>
        <w:tc>
          <w:tcPr>
            <w:tcW w:w="140" w:type="dxa"/>
            <w:vAlign w:val="bottom"/>
          </w:tcPr>
          <w:p>
            <w:pPr>
              <w:spacing w:after="0"/>
              <w:rPr>
                <w:sz w:val="16"/>
                <w:szCs w:val="16"/>
                <w:color w:val="auto"/>
              </w:rPr>
            </w:pPr>
          </w:p>
        </w:tc>
      </w:tr>
      <w:tr>
        <w:trPr>
          <w:trHeight w:val="234"/>
        </w:trPr>
        <w:tc>
          <w:tcPr>
            <w:tcW w:w="1780" w:type="dxa"/>
            <w:vAlign w:val="bottom"/>
          </w:tcPr>
          <w:p>
            <w:pPr>
              <w:jc w:val="right"/>
              <w:ind w:right="63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in Period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at Period End</w:t>
            </w:r>
          </w:p>
        </w:tc>
      </w:tr>
      <w:tr>
        <w:trPr>
          <w:trHeight w:val="210"/>
        </w:trPr>
        <w:tc>
          <w:tcPr>
            <w:tcW w:w="1780" w:type="dxa"/>
            <w:vAlign w:val="bottom"/>
            <w:tcBorders>
              <w:top w:val="single" w:sz="8" w:color="auto"/>
            </w:tcBorders>
            <w:shd w:val="clear" w:color="auto" w:fill="EEEEEE"/>
          </w:tcPr>
          <w:p>
            <w:pPr>
              <w:jc w:val="right"/>
              <w:ind w:right="570"/>
              <w:spacing w:after="0"/>
              <w:rPr>
                <w:sz w:val="20"/>
                <w:szCs w:val="20"/>
                <w:color w:val="auto"/>
              </w:rPr>
            </w:pPr>
            <w:r>
              <w:rPr>
                <w:rFonts w:ascii="Arial" w:cs="Arial" w:eastAsia="Arial" w:hAnsi="Arial"/>
                <w:sz w:val="18"/>
                <w:szCs w:val="18"/>
                <w:color w:val="333333"/>
              </w:rPr>
              <w:t>2008</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40" w:type="dxa"/>
            <w:vAlign w:val="bottom"/>
            <w:tcBorders>
              <w:top w:val="single" w:sz="8" w:color="EEEEEE"/>
            </w:tcBorders>
            <w:shd w:val="clear" w:color="auto" w:fill="EEEEEE"/>
          </w:tcPr>
          <w:p>
            <w:pPr>
              <w:spacing w:after="0"/>
              <w:rPr>
                <w:sz w:val="18"/>
                <w:szCs w:val="18"/>
                <w:color w:val="auto"/>
              </w:rPr>
            </w:pPr>
          </w:p>
        </w:tc>
      </w:tr>
      <w:tr>
        <w:trPr>
          <w:trHeight w:val="216"/>
        </w:trPr>
        <w:tc>
          <w:tcPr>
            <w:tcW w:w="1780" w:type="dxa"/>
            <w:vAlign w:val="bottom"/>
          </w:tcPr>
          <w:p>
            <w:pPr>
              <w:jc w:val="right"/>
              <w:ind w:right="570"/>
              <w:spacing w:after="0"/>
              <w:rPr>
                <w:sz w:val="20"/>
                <w:szCs w:val="20"/>
                <w:color w:val="auto"/>
              </w:rPr>
            </w:pPr>
            <w:r>
              <w:rPr>
                <w:rFonts w:ascii="Arial" w:cs="Arial" w:eastAsia="Arial" w:hAnsi="Arial"/>
                <w:sz w:val="18"/>
                <w:szCs w:val="18"/>
                <w:color w:val="333333"/>
              </w:rPr>
              <w:t>2009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1,194,722</w:t>
            </w:r>
          </w:p>
        </w:tc>
        <w:tc>
          <w:tcPr>
            <w:tcW w:w="140" w:type="dxa"/>
            <w:vAlign w:val="bottom"/>
          </w:tcPr>
          <w:p>
            <w:pPr>
              <w:spacing w:after="0"/>
              <w:rPr>
                <w:sz w:val="18"/>
                <w:szCs w:val="18"/>
                <w:color w:val="auto"/>
              </w:rPr>
            </w:pPr>
          </w:p>
        </w:tc>
      </w:tr>
      <w:tr>
        <w:trPr>
          <w:trHeight w:val="216"/>
        </w:trPr>
        <w:tc>
          <w:tcPr>
            <w:tcW w:w="178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333333"/>
              </w:rPr>
              <w:t>2010</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113,023</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756,203</w:t>
            </w:r>
          </w:p>
        </w:tc>
        <w:tc>
          <w:tcPr>
            <w:tcW w:w="140" w:type="dxa"/>
            <w:vAlign w:val="bottom"/>
            <w:shd w:val="clear" w:color="auto" w:fill="EEEEEE"/>
          </w:tcPr>
          <w:p>
            <w:pPr>
              <w:spacing w:after="0"/>
              <w:rPr>
                <w:sz w:val="18"/>
                <w:szCs w:val="18"/>
                <w:color w:val="auto"/>
              </w:rPr>
            </w:pPr>
          </w:p>
        </w:tc>
      </w:tr>
      <w:tr>
        <w:trPr>
          <w:trHeight w:val="216"/>
        </w:trPr>
        <w:tc>
          <w:tcPr>
            <w:tcW w:w="1780" w:type="dxa"/>
            <w:vAlign w:val="bottom"/>
          </w:tcPr>
          <w:p>
            <w:pPr>
              <w:jc w:val="right"/>
              <w:ind w:right="590"/>
              <w:spacing w:after="0"/>
              <w:rPr>
                <w:sz w:val="20"/>
                <w:szCs w:val="20"/>
                <w:color w:val="auto"/>
              </w:rPr>
            </w:pPr>
            <w:r>
              <w:rPr>
                <w:rFonts w:ascii="Arial" w:cs="Arial" w:eastAsia="Arial" w:hAnsi="Arial"/>
                <w:sz w:val="18"/>
                <w:szCs w:val="18"/>
                <w:color w:val="333333"/>
              </w:rPr>
              <w:t>2011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284,236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794,649</w:t>
            </w:r>
          </w:p>
        </w:tc>
        <w:tc>
          <w:tcPr>
            <w:tcW w:w="140" w:type="dxa"/>
            <w:vAlign w:val="bottom"/>
          </w:tcPr>
          <w:p>
            <w:pPr>
              <w:spacing w:after="0"/>
              <w:rPr>
                <w:sz w:val="18"/>
                <w:szCs w:val="18"/>
                <w:color w:val="auto"/>
              </w:rPr>
            </w:pPr>
          </w:p>
        </w:tc>
      </w:tr>
      <w:tr>
        <w:trPr>
          <w:trHeight w:val="216"/>
        </w:trPr>
        <w:tc>
          <w:tcPr>
            <w:tcW w:w="1780" w:type="dxa"/>
            <w:vAlign w:val="bottom"/>
            <w:shd w:val="clear" w:color="auto" w:fill="EEEEEE"/>
          </w:tcPr>
          <w:p>
            <w:pPr>
              <w:jc w:val="right"/>
              <w:ind w:right="570"/>
              <w:spacing w:after="0"/>
              <w:rPr>
                <w:sz w:val="20"/>
                <w:szCs w:val="20"/>
                <w:color w:val="auto"/>
              </w:rPr>
            </w:pPr>
            <w:r>
              <w:rPr>
                <w:rFonts w:ascii="Arial" w:cs="Arial" w:eastAsia="Arial" w:hAnsi="Arial"/>
                <w:sz w:val="18"/>
                <w:szCs w:val="18"/>
                <w:color w:val="333333"/>
              </w:rPr>
              <w:t>2012</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897,575</w:t>
            </w:r>
          </w:p>
        </w:tc>
        <w:tc>
          <w:tcPr>
            <w:tcW w:w="140" w:type="dxa"/>
            <w:vAlign w:val="bottom"/>
            <w:shd w:val="clear" w:color="auto" w:fill="EEEEEE"/>
          </w:tcPr>
          <w:p>
            <w:pPr>
              <w:spacing w:after="0"/>
              <w:rPr>
                <w:sz w:val="18"/>
                <w:szCs w:val="18"/>
                <w:color w:val="auto"/>
              </w:rPr>
            </w:pPr>
          </w:p>
        </w:tc>
      </w:tr>
      <w:tr>
        <w:trPr>
          <w:trHeight w:val="230"/>
        </w:trPr>
        <w:tc>
          <w:tcPr>
            <w:tcW w:w="1780" w:type="dxa"/>
            <w:vAlign w:val="bottom"/>
          </w:tcPr>
          <w:p>
            <w:pPr>
              <w:jc w:val="right"/>
              <w:ind w:right="570"/>
              <w:spacing w:after="0"/>
              <w:rPr>
                <w:sz w:val="20"/>
                <w:szCs w:val="20"/>
                <w:color w:val="auto"/>
              </w:rPr>
            </w:pPr>
            <w:r>
              <w:rPr>
                <w:rFonts w:ascii="Arial" w:cs="Arial" w:eastAsia="Arial" w:hAnsi="Arial"/>
                <w:sz w:val="18"/>
                <w:szCs w:val="18"/>
                <w:color w:val="333333"/>
              </w:rPr>
              <w:t>2013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764,087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1,231,422</w:t>
            </w:r>
          </w:p>
        </w:tc>
        <w:tc>
          <w:tcPr>
            <w:tcW w:w="140" w:type="dxa"/>
            <w:vAlign w:val="bottom"/>
          </w:tcPr>
          <w:p>
            <w:pPr>
              <w:spacing w:after="0"/>
              <w:rPr>
                <w:sz w:val="20"/>
                <w:szCs w:val="20"/>
                <w:color w:val="auto"/>
              </w:rPr>
            </w:pPr>
          </w:p>
        </w:tc>
      </w:tr>
    </w:tbl>
    <w:p>
      <w:pPr>
        <w:spacing w:after="0" w:line="187"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We are headquartered in Irvine, California, where most operational and administrative functions are centralized. Most credit and underwriting functions are performed in our California headquarters with some credit functions performed in our Florida and Nevada offices. We service our automobile contracts from our California headquarters and from three servicing branches in Virginia, Florida and Illinois.</w:t>
      </w:r>
    </w:p>
    <w:p>
      <w:pPr>
        <w:spacing w:after="0" w:line="181"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We purchase contracts in our own name (“CPS”) and, until July 2008, also in the name of our wholly-owned subsidiary, TFC. Programs marketed under the CPS name are intended to serve a wide range of sub-prime customers, primarily through franchised new car dealers. Our TFC program served vehicle purchasers enlisted in the U.S. Armed Forces, primarily through independent used car dealers. In July 2008, we ended our TFC program.</w:t>
      </w:r>
    </w:p>
    <w:p>
      <w:pPr>
        <w:spacing w:after="0" w:line="147"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We purchase automobile contracts with the intention of financing them on a long-term basis through securitizations. Securitizations are transactions in which we sell a specified pool of contracts to one of our special purpose subsidiaries, which in turn issues asset-backed securities to fund its purchase of the pool of contracts. Depending on the structure of the securitization, the transaction may be treated, for financial accounting purposes, as a sale of the contracts or as a secured financing.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Throughout the periods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(ii) recognize interest expense on the securities issued in the transaction, and (iii) record as expense a provision for credit losses on the contracts. From July 2003 through April 2008, all of our securitizations were structured in this manner. In September 2008, we securitized automobile contracts in a transaction that was in substance a sale, that was treated as a sale for accounting purposes, and in which we retained a residual interest in the automobile contracts. The remaining receivables from the September 2008 securitization were re-securitized in September 2010 in a structure that maintained sale treatment for accounting purposes. In 2011, we completed three securitizations of approximately $335.6 million in newly originated contracts. During 2012 we completed four securitizations of approximately $603.5 million in contracts, including $58.2 million in contracts that were repurchased from 2006 and 2007 securitizations in 2012. In 2013 we completed four securitizations of approximately $778.0 million in contracts. Since 2011, all of our securitizations have been structured as secured financings.</w:t>
      </w:r>
    </w:p>
    <w:p>
      <w:pPr>
        <w:spacing w:after="0" w:line="17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When structured to be treated as a sale for accounting purposes, the assets and liabilities of the special-purpose subsidiary are not consolidated with us. Accordingly, the transaction removes the sold automobile contracts from our consolidated balance sheet, the related debt does not appear as our debt, and our consolidated balance sheet shows, as an asset, a retained residual interest in the sold automobile contracts. The residual interest represents the discounted value of what we expect will be the excess of future collections on the automobile contracts over principal and interest due on the asset-backed securities. That residual interest appears on our consolidated balance sheet as "residual interest in securitizations," and the determination of its value is dependent on our estimates of the future performance of the sold automobile contracts. Of our managed portfolio outstanding at December 31, 2013, only our September 2010 securitization was structured to be treated as a sale for accounting purposes.</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Credit Risk Retained</w:t>
      </w:r>
    </w:p>
    <w:p>
      <w:pPr>
        <w:spacing w:after="0" w:line="229"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Whether a sale of automobile contracts in connection with a securitization or warehouse credit facility is treated as a secured financing or as a sale for financial accounting purposes, the related special-purpose subsidiary may be unable to release excess cash to us if the credit performance of the related automobile contracts falls short of pre-determined standards. Such releases represent a material portion of the cash that we use to fund our operations. An unexpected deterioration in the performance of such automobile contracts could therefore have a material adverse effect on both our liquidity and our results of operations, regardless of whether such automobile contracts are treated for financial accounting purposes as having been sold or as having been financed. For estimation of the magnitude of such risk, it may be appropriate to look to the size of our "managed portfolio," which represents both financed and sold automobile contracts as to which such credit risk is retained. Our managed portfolio as of December 31, 2013 was approximately $1,231.4 million, which includes a third party servicing portfolio of $4.9 million on which we earn only servicing fees and have no credit risk.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We believe that our accounting policies related to (a) Allowance for Finance Credit Losses, (b) Amortization of Deferred Originations Costs and Acquisition Fees, (c) Term Securitizations, (d) Finance Receivables and Related Debt Measured at Fair Value (e) Accrual for Contingent Liabilities and (f) Income Taxes are the most critical to understanding and evaluating our reported financial results. Such policies are described below.</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order to estimate an appropriate allowance for losses incurred on finance receivables, 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For each monthly pool of contracts that we purchase, we begin establishing the allowance in the month of acquisition and increase it over the subsequent 11 months, through a provision for credit losses charged to our consolidated statement of operations. Net losses incurred on finance receivables are charged to the allowance. We evaluate the adequacy of the allowance by examining current delinquencies, the characteristics of the portfolio, prospective liquidation values of the underlying collateral and general economic and market conditions. As circumstances change, our level of provisioning and/or allowance may change as well.</w:t>
      </w:r>
    </w:p>
    <w:p>
      <w:pPr>
        <w:spacing w:after="0" w:line="17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Broad economic factors such as recession and significant changes in unemployment levels influence the credit performance of our portfolio, as does the weighted average age of the receivables at any given time. Our internal credit performance data consistently show that new receivables have lower levels of delinquency and losses early in their lives, with delinquencies increasing throughout their lives and losses gradually increasing to a peak between 36 and 42 months, after which they gradually decrease. The historical weighted average seasoning of our total owned portfolio excluding Fireside, is summarized in the table below:</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Weighted Average Age in</w:t>
            </w:r>
          </w:p>
        </w:tc>
      </w:tr>
      <w:tr>
        <w:trPr>
          <w:trHeight w:val="234"/>
        </w:trPr>
        <w:tc>
          <w:tcPr>
            <w:tcW w:w="2420" w:type="dxa"/>
            <w:vAlign w:val="bottom"/>
            <w:gridSpan w:val="2"/>
          </w:tcPr>
          <w:p>
            <w:pPr>
              <w:ind w:left="540"/>
              <w:spacing w:after="0"/>
              <w:rPr>
                <w:sz w:val="20"/>
                <w:szCs w:val="20"/>
                <w:color w:val="auto"/>
              </w:rPr>
            </w:pPr>
            <w:r>
              <w:rPr>
                <w:rFonts w:ascii="Arial" w:cs="Arial" w:eastAsia="Arial" w:hAnsi="Arial"/>
                <w:sz w:val="18"/>
                <w:szCs w:val="18"/>
                <w:b w:val="1"/>
                <w:bCs w:val="1"/>
                <w:color w:val="auto"/>
              </w:rPr>
              <w:t>December 31,</w:t>
            </w:r>
          </w:p>
        </w:tc>
        <w:tc>
          <w:tcPr>
            <w:tcW w:w="2140" w:type="dxa"/>
            <w:vAlign w:val="bottom"/>
          </w:tcPr>
          <w:p>
            <w:pPr>
              <w:jc w:val="right"/>
              <w:spacing w:after="0"/>
              <w:rPr>
                <w:sz w:val="20"/>
                <w:szCs w:val="20"/>
                <w:color w:val="auto"/>
              </w:rPr>
            </w:pPr>
            <w:r>
              <w:rPr>
                <w:rFonts w:ascii="Arial" w:cs="Arial" w:eastAsia="Arial" w:hAnsi="Arial"/>
                <w:sz w:val="18"/>
                <w:szCs w:val="18"/>
                <w:b w:val="1"/>
                <w:bCs w:val="1"/>
                <w:color w:val="auto"/>
                <w:w w:val="92"/>
              </w:rPr>
              <w:t>Months of Owned Portfoio</w:t>
            </w:r>
          </w:p>
        </w:tc>
      </w:tr>
      <w:tr>
        <w:trPr>
          <w:trHeight w:val="210"/>
        </w:trPr>
        <w:tc>
          <w:tcPr>
            <w:tcW w:w="2160" w:type="dxa"/>
            <w:vAlign w:val="bottom"/>
            <w:tcBorders>
              <w:top w:val="single" w:sz="8" w:color="auto"/>
            </w:tcBorders>
            <w:shd w:val="clear" w:color="auto" w:fill="EEEEEE"/>
          </w:tcPr>
          <w:p>
            <w:pPr>
              <w:jc w:val="right"/>
              <w:ind w:right="770"/>
              <w:spacing w:after="0"/>
              <w:rPr>
                <w:sz w:val="20"/>
                <w:szCs w:val="20"/>
                <w:color w:val="auto"/>
              </w:rPr>
            </w:pPr>
            <w:r>
              <w:rPr>
                <w:rFonts w:ascii="Arial" w:cs="Arial" w:eastAsia="Arial" w:hAnsi="Arial"/>
                <w:sz w:val="18"/>
                <w:szCs w:val="18"/>
                <w:color w:val="333333"/>
              </w:rPr>
              <w:t>2009</w:t>
            </w:r>
          </w:p>
        </w:tc>
        <w:tc>
          <w:tcPr>
            <w:tcW w:w="260" w:type="dxa"/>
            <w:vAlign w:val="bottom"/>
            <w:tcBorders>
              <w:top w:val="single" w:sz="8" w:color="EEEEEE"/>
            </w:tcBorders>
            <w:shd w:val="clear" w:color="auto" w:fill="EEEEEE"/>
          </w:tcPr>
          <w:p>
            <w:pPr>
              <w:spacing w:after="0"/>
              <w:rPr>
                <w:sz w:val="18"/>
                <w:szCs w:val="18"/>
                <w:color w:val="auto"/>
              </w:rPr>
            </w:pPr>
          </w:p>
        </w:tc>
        <w:tc>
          <w:tcPr>
            <w:tcW w:w="2140" w:type="dxa"/>
            <w:vAlign w:val="bottom"/>
            <w:tcBorders>
              <w:top w:val="single" w:sz="8" w:color="auto"/>
            </w:tcBorders>
            <w:shd w:val="clear" w:color="auto" w:fill="EEEEEE"/>
          </w:tcPr>
          <w:p>
            <w:pPr>
              <w:jc w:val="right"/>
              <w:ind w:right="850"/>
              <w:spacing w:after="0"/>
              <w:rPr>
                <w:sz w:val="20"/>
                <w:szCs w:val="20"/>
                <w:color w:val="auto"/>
              </w:rPr>
            </w:pPr>
            <w:r>
              <w:rPr>
                <w:rFonts w:ascii="Arial" w:cs="Arial" w:eastAsia="Arial" w:hAnsi="Arial"/>
                <w:sz w:val="18"/>
                <w:szCs w:val="18"/>
                <w:color w:val="auto"/>
              </w:rPr>
              <w:t>33</w:t>
            </w:r>
          </w:p>
        </w:tc>
      </w:tr>
      <w:tr>
        <w:trPr>
          <w:trHeight w:val="216"/>
        </w:trPr>
        <w:tc>
          <w:tcPr>
            <w:tcW w:w="2160" w:type="dxa"/>
            <w:vAlign w:val="bottom"/>
          </w:tcPr>
          <w:p>
            <w:pPr>
              <w:jc w:val="right"/>
              <w:ind w:right="770"/>
              <w:spacing w:after="0"/>
              <w:rPr>
                <w:sz w:val="20"/>
                <w:szCs w:val="20"/>
                <w:color w:val="auto"/>
              </w:rPr>
            </w:pPr>
            <w:r>
              <w:rPr>
                <w:rFonts w:ascii="Arial" w:cs="Arial" w:eastAsia="Arial" w:hAnsi="Arial"/>
                <w:sz w:val="18"/>
                <w:szCs w:val="18"/>
                <w:color w:val="333333"/>
              </w:rPr>
              <w:t>2010</w:t>
            </w:r>
          </w:p>
        </w:tc>
        <w:tc>
          <w:tcPr>
            <w:tcW w:w="260" w:type="dxa"/>
            <w:vAlign w:val="bottom"/>
          </w:tcPr>
          <w:p>
            <w:pPr>
              <w:spacing w:after="0"/>
              <w:rPr>
                <w:sz w:val="18"/>
                <w:szCs w:val="18"/>
                <w:color w:val="auto"/>
              </w:rPr>
            </w:pPr>
          </w:p>
        </w:tc>
        <w:tc>
          <w:tcPr>
            <w:tcW w:w="2140" w:type="dxa"/>
            <w:vAlign w:val="bottom"/>
          </w:tcPr>
          <w:p>
            <w:pPr>
              <w:jc w:val="right"/>
              <w:ind w:right="850"/>
              <w:spacing w:after="0"/>
              <w:rPr>
                <w:sz w:val="20"/>
                <w:szCs w:val="20"/>
                <w:color w:val="auto"/>
              </w:rPr>
            </w:pPr>
            <w:r>
              <w:rPr>
                <w:rFonts w:ascii="Arial" w:cs="Arial" w:eastAsia="Arial" w:hAnsi="Arial"/>
                <w:sz w:val="18"/>
                <w:szCs w:val="18"/>
                <w:color w:val="auto"/>
              </w:rPr>
              <w:t>37</w:t>
            </w:r>
          </w:p>
        </w:tc>
      </w:tr>
      <w:tr>
        <w:trPr>
          <w:trHeight w:val="216"/>
        </w:trPr>
        <w:tc>
          <w:tcPr>
            <w:tcW w:w="21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333333"/>
              </w:rPr>
              <w:t>2011</w:t>
            </w:r>
          </w:p>
        </w:tc>
        <w:tc>
          <w:tcPr>
            <w:tcW w:w="260" w:type="dxa"/>
            <w:vAlign w:val="bottom"/>
            <w:shd w:val="clear" w:color="auto" w:fill="EEEEEE"/>
          </w:tcPr>
          <w:p>
            <w:pPr>
              <w:spacing w:after="0"/>
              <w:rPr>
                <w:sz w:val="18"/>
                <w:szCs w:val="18"/>
                <w:color w:val="auto"/>
              </w:rPr>
            </w:pPr>
          </w:p>
        </w:tc>
        <w:tc>
          <w:tcPr>
            <w:tcW w:w="2140" w:type="dxa"/>
            <w:vAlign w:val="bottom"/>
            <w:shd w:val="clear" w:color="auto" w:fill="EEEEEE"/>
          </w:tcPr>
          <w:p>
            <w:pPr>
              <w:jc w:val="right"/>
              <w:ind w:right="850"/>
              <w:spacing w:after="0"/>
              <w:rPr>
                <w:sz w:val="20"/>
                <w:szCs w:val="20"/>
                <w:color w:val="auto"/>
              </w:rPr>
            </w:pPr>
            <w:r>
              <w:rPr>
                <w:rFonts w:ascii="Arial" w:cs="Arial" w:eastAsia="Arial" w:hAnsi="Arial"/>
                <w:sz w:val="18"/>
                <w:szCs w:val="18"/>
                <w:color w:val="auto"/>
              </w:rPr>
              <w:t>27</w:t>
            </w:r>
          </w:p>
        </w:tc>
      </w:tr>
      <w:tr>
        <w:trPr>
          <w:trHeight w:val="216"/>
        </w:trPr>
        <w:tc>
          <w:tcPr>
            <w:tcW w:w="2160" w:type="dxa"/>
            <w:vAlign w:val="bottom"/>
          </w:tcPr>
          <w:p>
            <w:pPr>
              <w:jc w:val="right"/>
              <w:ind w:right="770"/>
              <w:spacing w:after="0"/>
              <w:rPr>
                <w:sz w:val="20"/>
                <w:szCs w:val="20"/>
                <w:color w:val="auto"/>
              </w:rPr>
            </w:pPr>
            <w:r>
              <w:rPr>
                <w:rFonts w:ascii="Arial" w:cs="Arial" w:eastAsia="Arial" w:hAnsi="Arial"/>
                <w:sz w:val="18"/>
                <w:szCs w:val="18"/>
                <w:color w:val="333333"/>
              </w:rPr>
              <w:t>2012</w:t>
            </w:r>
          </w:p>
        </w:tc>
        <w:tc>
          <w:tcPr>
            <w:tcW w:w="260" w:type="dxa"/>
            <w:vAlign w:val="bottom"/>
          </w:tcPr>
          <w:p>
            <w:pPr>
              <w:spacing w:after="0"/>
              <w:rPr>
                <w:sz w:val="18"/>
                <w:szCs w:val="18"/>
                <w:color w:val="auto"/>
              </w:rPr>
            </w:pPr>
          </w:p>
        </w:tc>
        <w:tc>
          <w:tcPr>
            <w:tcW w:w="2140" w:type="dxa"/>
            <w:vAlign w:val="bottom"/>
          </w:tcPr>
          <w:p>
            <w:pPr>
              <w:jc w:val="right"/>
              <w:ind w:right="850"/>
              <w:spacing w:after="0"/>
              <w:rPr>
                <w:sz w:val="20"/>
                <w:szCs w:val="20"/>
                <w:color w:val="auto"/>
              </w:rPr>
            </w:pPr>
            <w:r>
              <w:rPr>
                <w:rFonts w:ascii="Arial" w:cs="Arial" w:eastAsia="Arial" w:hAnsi="Arial"/>
                <w:sz w:val="18"/>
                <w:szCs w:val="18"/>
                <w:color w:val="auto"/>
              </w:rPr>
              <w:t>18</w:t>
            </w:r>
          </w:p>
        </w:tc>
      </w:tr>
      <w:tr>
        <w:trPr>
          <w:trHeight w:val="216"/>
        </w:trPr>
        <w:tc>
          <w:tcPr>
            <w:tcW w:w="21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333333"/>
              </w:rPr>
              <w:t>2013</w:t>
            </w:r>
          </w:p>
        </w:tc>
        <w:tc>
          <w:tcPr>
            <w:tcW w:w="260" w:type="dxa"/>
            <w:vAlign w:val="bottom"/>
            <w:shd w:val="clear" w:color="auto" w:fill="EEEEEE"/>
          </w:tcPr>
          <w:p>
            <w:pPr>
              <w:spacing w:after="0"/>
              <w:rPr>
                <w:sz w:val="18"/>
                <w:szCs w:val="18"/>
                <w:color w:val="auto"/>
              </w:rPr>
            </w:pPr>
          </w:p>
        </w:tc>
        <w:tc>
          <w:tcPr>
            <w:tcW w:w="2140" w:type="dxa"/>
            <w:vAlign w:val="bottom"/>
            <w:shd w:val="clear" w:color="auto" w:fill="EEEEEE"/>
          </w:tcPr>
          <w:p>
            <w:pPr>
              <w:jc w:val="right"/>
              <w:ind w:right="850"/>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ind w:right="640" w:firstLine="324"/>
        <w:spacing w:after="0" w:line="264" w:lineRule="auto"/>
        <w:rPr>
          <w:sz w:val="20"/>
          <w:szCs w:val="20"/>
          <w:color w:val="auto"/>
        </w:rPr>
      </w:pPr>
      <w:r>
        <w:rPr>
          <w:rFonts w:ascii="Arial" w:cs="Arial" w:eastAsia="Arial" w:hAnsi="Arial"/>
          <w:sz w:val="18"/>
          <w:szCs w:val="18"/>
          <w:color w:val="auto"/>
        </w:rPr>
        <w:t>The credit performance of our portfolio is also significantly influenced by our underwriting guidelines and credit criteria we use when evaluating contracts for purchase from dealers. We regularly evaluate our portfolio credit performance and modify our purchase criteria to maximize the credit performance of our portfolio, while maintaining competitive programs and levels of service for our dealers.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Deferred Originations Costs and Acquisition Fees</w:t>
      </w:r>
    </w:p>
    <w:p>
      <w:pPr>
        <w:spacing w:after="0" w:line="22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Upon purchase of a contract from a dealer, we generally either charge or advance the dealer an acquisition fee. In addition, we incur certain direct costs associated with originations of our contracts. All such acquisition fees and direct costs are applied to the carrying value of finance receivables and are accreted into earnings as an adjustment to the yield over the estimated life of the contract using the interest method.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Securitizations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We sell automobile contracts we acquire to a wholly-owned special purpose subsidiary, which has been established for the limited purpose of buying and reselling our automobile contracts. The special-purpose subsidiary then transfers the same automobile contracts to another entity, typically a statutory trust. The trust issues interest-bearing asset-backed securities, in a principal amount equal to or less than the aggregate principal balance of the automobile contracts. We typically sell these automobile contracts to the trust at face value and without recourse, except that representations and warranties similar to those provided by the dealer to us are provided by us to the trust. One or more investors purchase the asset-backed securities issued by the trust; the proceeds from the sale of the asset-backed securities are then used to purchase the automobile contracts from us. We may retain or sell subordinated asset-backed securities issued by the trust or by a related entity. Through 2008, we generally purchased external credit enhancement for most of our term securitizations in the form of a financial guaranty insurance policy, guaranteeing timely payment of interest and ultimate payment of principal on the senior asset-backed securities, from an insurance company. However, in our 12 most recent securitizations since 2010, we have not purchased financial guaranty insurance policies and do not expect to do so in the near future.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ind w:right="40" w:firstLine="324"/>
        <w:spacing w:after="0" w:line="269" w:lineRule="auto"/>
        <w:rPr>
          <w:sz w:val="20"/>
          <w:szCs w:val="20"/>
          <w:color w:val="auto"/>
        </w:rPr>
      </w:pPr>
      <w:r>
        <w:rPr>
          <w:rFonts w:ascii="Arial" w:cs="Arial" w:eastAsia="Arial" w:hAnsi="Arial"/>
          <w:sz w:val="17"/>
          <w:szCs w:val="17"/>
          <w:color w:val="auto"/>
        </w:rPr>
        <w:t>We structure our securitizations to include internal credit enhancement for the benefit the investors (i) in the form of an initial cash deposit to an account ("spread account") held by the trust, (ii) in the form of overcollateralization of the senior asset-backed securities, where the principal balance of the senior asset-backed securities issued is less than the principal balance of the automobile contracts, (iii) in the form of subordinated asset-backed securities, or (iv) some combination of such internal credit enhancements. The agreements governing the securitization transactions require that the initial level of internal credit enhancement be supplemented by a portion of collections from the automobile contracts until the level of internal credit enhancement reaches specified levels, which are then maintained. The specified levels are generally computed as a percentage of the principal amount remaining unpaid under the related automobile contracts. The specified levels at which the internal credit enhancement is to be maintained will vary depending on the performance of the portfolios of automobile contracts held by the trusts and on other conditions, and may also be varied by agreement among us, our special purpose subsidiary, the insurance company, if any, and the trustee. Such levels have increased and decreased from time to time based on performance of the various portfolios, and have also varied from one transaction to another. The agreements governing the securitizations generally grant us the option to repurchase the sold automobile contracts from the trust when the aggregate outstanding balance of the automobile contracts has amortized to a specified percentage of the initial aggregate balance.</w:t>
      </w:r>
    </w:p>
    <w:p>
      <w:pPr>
        <w:spacing w:after="0" w:line="18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September 2008 securitization and the subsequent re-securitization of the remaining receivables from such transaction in September 2010 were each in substance sales of the underlying receivables, and have been treated as sales for financial accounting purposes. They differ from those treated as secured financings in that the trust to which our special-purpose subsidiaries sold the automobile contracts met the definition of a "qualified special-purpose entity" under Statement of Financial Accounting Standards No. 140 (ASC 860 10 65-2). As a result, assets and liabilities of those trusts are not consolidated into our consolidated balance sheet.</w:t>
      </w:r>
    </w:p>
    <w:p>
      <w:pPr>
        <w:spacing w:after="0" w:line="18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Historically, our warehouse credit facility structures were similar to the above, except that (i) our special-purpose subsidiaries that purchased the automobile contracts pledged the automobile contracts to secure promissory notes that they issued, (ii) no increase in the required amount of internal credit enhancement was contemplated, and (iii) we did not purchase financial guaranty insurance. Since October 2009, we have established new funding facilities and gradually increased our contract purchases. More recently, we increased our short-term contract financing resources by $200 million by entering into agreements for a $100 million credit facility in December 2010 and for another $100 million credit facility in February 2011. In May 2012, the revolving period of the February 2011 facility expired and we entered into a new $100 million credit facility with a different lender. In March 2013, the December 2012 facility was amended to extend the revolving period to March 2015 and also to include an amortization period through March 2017 for any receivables pledged to the facility at the end of the revolving period. In June 2013, the May 2012 facility was amended to extend the revolving period to June 2015 and also to include an amortization period through June 2016 for any receivables pledged to the facility at the end of the revolving period. Our current maximum revolving warehouse financing capacity is $200 million.</w:t>
      </w:r>
    </w:p>
    <w:p>
      <w:pPr>
        <w:spacing w:after="0" w:line="178"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Upon each transfer of automobile contracts in a transaction structured as a secured financing for financial accounting purposes, whether a term securitization or a warehouse financing, we retain on our consolidated balance sheet the related automobile contracts as assets and record the asset-backed notes or loans issued in the transaction as indebtedness.</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Under the September 2008 and September 2010 securitizations, and other term securitizations completed prior to July 2003 that were structured as sales for financial accounting purposes, we removed from our consolidated balance sheet the automobile contracts sold and added to our consolidated balance sheet</w:t>
      </w:r>
    </w:p>
    <w:p>
      <w:pPr>
        <w:ind w:right="20" w:firstLine="8"/>
        <w:spacing w:after="0" w:line="270" w:lineRule="auto"/>
        <w:tabs>
          <w:tab w:leader="none" w:pos="2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cash received, if any, and (ii) the estimated fair value of the ownership interest that we retained in the automobile contracts sold in the transaction. That retained or residual interest consisted of (a) the cash held in the spread account, if any, (b) overcollateralization, if any, (c) asset-backed securities retained, if any, and (d) receivables from the trust, which include the net interest receivables. Net interest receivables represent the estimated discounted cash flows to be received from the trust in the future, net of principal and interest payable with respect to the asset-backed notes, the premium paid to the insurance company, if any, and certain other expenses. The excess of the cash received and the assets we retained over the carrying value of the automobile contracts sold, less transaction costs, equaled the net gain on sale of automobile contracts we recorded.</w:t>
      </w:r>
    </w:p>
    <w:p>
      <w:pPr>
        <w:spacing w:after="0" w:line="17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receive periodic base servicing fees for the servicing and collection of the automobile contracts. Under our securitization structures treated as secured financings for financial accounting purposes, such servicing fees are included in interest income from the automobile contracts. In addition, we are entitled to the cash flows from the trusts that represent collections on the automobile contracts in excess of the amounts required to pay principal and interest on the asset-backed securities, base servicing fees, and certain other fees and expenses (such as trustee and custodial fees). Required principal payments on the asset-backed notes are generally defined as the payments sufficient to keep the principal balance of such notes equal to the aggregate principal balance of the related automobile contracts (excluding those automobile contracts that have been charged off), or a pre-determined percentage of such balance. Where that percentage is less than 100%, the related securitization agreements require accelerated payment of principal until the principal balance of the asset-backed securities is reduced to the specified percentage. Such accelerated principal payment is said to create overcollateralization of the asset-backed notes.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7" w:name="page38"/>
    <w:bookmarkEnd w:id="37"/>
    <w:p>
      <w:pPr>
        <w:ind w:right="60" w:firstLine="324"/>
        <w:spacing w:after="0" w:line="288" w:lineRule="auto"/>
        <w:rPr>
          <w:sz w:val="20"/>
          <w:szCs w:val="20"/>
          <w:color w:val="auto"/>
        </w:rPr>
      </w:pPr>
      <w:r>
        <w:rPr>
          <w:rFonts w:ascii="Arial" w:cs="Arial" w:eastAsia="Arial" w:hAnsi="Arial"/>
          <w:sz w:val="16"/>
          <w:szCs w:val="16"/>
          <w:color w:val="auto"/>
        </w:rPr>
        <w:t>If the amount of cash required for payment of fees, expenses, interest and principal on the senior asset-backed notes exceeds the amount collected during the collection period, the shortfall is withdrawn from the spread account, if any. If the cash collected during the period exceeds the amount necessary for the above allocations plus required principal payments on the subordinated asset-backed notes, and there is no shortfall in the related spread account or the required overcollateralization level, the excess is released to us. If the spread account and overcollateralization is not at the required level, then the excess cash collected is retained in the trust until the specified level is achieved. Although spread account balances are held by the trusts on behalf of our special-purpose subsidiaries as the owner of the residual interests (in the case of securitization transactions structured as sales for financial accounting purposes) or the trusts (in the case of securitization transactions structured as secured financings for financial accounting purposes), we are restricted in use of the cash in the spread accounts. Cash held in the various spread accounts is invested in high quality, liquid investment securities, as specified in the securitization agreements. The interest rate payable on the automobile contracts is significantly greater than the interest rate on the asset-backed notes. As a result, the residual interests described above historically have been a significant asset of ours.</w:t>
      </w:r>
    </w:p>
    <w:p>
      <w:pPr>
        <w:spacing w:after="0" w:line="16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all of our term securitizations and warehouse credit facilities, whether treated as secured financings or as sales, we have sold the automobile contracts (through a subsidiary) to the securitization entity. The difference between the two structures is that in securitizations that are treated as secured financings we report the assets and liabilities of the securitization trust on our consolidated balance sheet. Under both structures, recourse to us by holders of the asset-backed securities and by the trust, for failure of the automobile contract obligors to make payments on a timely basis, is limited to the automobile contracts included in the securitizations or warehouse credit facilities, the spread accounts and our retained interests in the respective trusts.</w:t>
      </w:r>
    </w:p>
    <w:p>
      <w:pPr>
        <w:spacing w:after="0" w:line="158"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Since the third quarter of 2003, we have conducted 36 term securitizations. Of these 36, 30 were periodic (generally quarterly) securitizations of automobile contracts that we purchased from automobile dealers under our regular programs. In addition, in March 2004 and November 2005, we completed securitizations of our retained interests in other securitizations that we and our affiliates previously sponsored. The debt from the March 2004 transaction was repaid in August 2005, and the debt from the November 2005 transaction was repaid in May 2007. Also, in June 2004, we completed a securitization of automobile contracts purchased under our TFC program and acquired in a bulk purchase. Further, in December 2005 and May 2007 we completed securitizations that included automobile contracts purchased under the TFC programs, automobile contracts purchased under the CPS programs and automobile contracts we repurchased upon termination of prior securitizations. Since July 2003 all such securitizations have been structured as secured financings, except our September 2008 and September 2010 securitizations that were in substance sales of the underlying receivables, and were treated as sales for financial accounting purposes.</w:t>
      </w:r>
    </w:p>
    <w:p>
      <w:pPr>
        <w:spacing w:after="0" w:line="182" w:lineRule="exact"/>
        <w:rPr>
          <w:sz w:val="20"/>
          <w:szCs w:val="20"/>
          <w:color w:val="auto"/>
        </w:rPr>
      </w:pPr>
    </w:p>
    <w:p>
      <w:pPr>
        <w:jc w:val="both"/>
        <w:ind w:right="120" w:firstLine="324"/>
        <w:spacing w:after="0" w:line="257" w:lineRule="auto"/>
        <w:rPr>
          <w:sz w:val="20"/>
          <w:szCs w:val="20"/>
          <w:color w:val="auto"/>
        </w:rPr>
      </w:pPr>
      <w:r>
        <w:rPr>
          <w:rFonts w:ascii="Arial" w:cs="Arial" w:eastAsia="Arial" w:hAnsi="Arial"/>
          <w:sz w:val="18"/>
          <w:szCs w:val="18"/>
          <w:color w:val="auto"/>
        </w:rPr>
        <w:t>Our December 2013 securitization included a pre-funding feature in which a portion of the receivables to be pledged to the securitization trust were not scheduled to be delivered to the trust until after the initial closing. As a result, our restricted cash balance at December 31, 2013 included $63.4 million from the proceeds of the sale of the securitization notes that were held by the trustee pending delivery of the remaining receivables. In January 2014, the requisite additional receivables were delivered to the trust and we received the related restricted cash, a significant portion of which was used to repay amounts owed under our warehouse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September 2011 we purchased finance receivables from Fireside Bank. These receivables are pledged as collateral for debt that was structured specifically for the acquisition of this portfolio.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There are limited observable inputs available to us for measurement of such receivables, or for the related debt.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Accrual for Contingent Liabilities</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have recorded a liability as of December 31, 2013, which represents our best estimate of probable incurred losses for legal contingencies.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2013, and in excess of the liability we have recorded, is from $0 to $1.6 million.</w:t>
      </w:r>
    </w:p>
    <w:p>
      <w:pPr>
        <w:spacing w:after="0" w:line="18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However, since the fourth quarter of 2011, we have reported nine consecutive quarters of increasing profitability. Furthermore, we have demonstrated an ability to increase our volumes of contract purchases, grow our managed portfolio and obtain cost effective short- and long-term financing for our finance receivables.</w:t>
      </w:r>
    </w:p>
    <w:p>
      <w:pPr>
        <w:spacing w:after="0" w:line="16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As a result of these and other factors,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net deferred tax asset of $59.2 million, as of December 31, 2013, consists of approximately $47.8 million of net U.S. federal deferred tax assets and $11.4 million of net state deferred tax assets. The major components of the deferred tax asset are $36.9 million in net operating loss carryforwards and built in losses and $22.3 million in net deductions which have not yet been taken on a tax return.</w:t>
      </w:r>
    </w:p>
    <w:p>
      <w:pPr>
        <w:spacing w:after="0" w:line="181"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As of December 31, 2013, we had net operating loss carryforwards for federal and state income tax purposes of $48.4 million and $129.8 million, respectively. The federal net operating losses begin to expire in 2022. The state net operating losses begin to expire in 2014.</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ind w:right="40" w:firstLine="324"/>
        <w:spacing w:after="0" w:line="255"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forecasted future net earnings from operations. Based upon those considerations, we have concluded that it is more likely than not that the U.S. and state net operating loss carryforward periods provide enough time to utilize the deferred tax assets pertaining to the existing net operating loss carryforwards and any net operating loss that would be created by the reversal of the future net deductions which have not yet been taken on a tax return. Our estimates of taxable income are forward-looking statements, and there can be no assurance that our estimates of such taxable income will be correct. Factors discussed under "Risk Factors," and in particular under the subheading "Risk Factors -- Forward-Looking Statements" may affect whether such projections prove to be correct.</w:t>
      </w:r>
    </w:p>
    <w:p>
      <w:pPr>
        <w:spacing w:after="0" w:line="18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within the income tax expense line in the accompanying consolidated statements of operations. Accrued interest and penalties are included within the related tax liability line in the consolidated balance sheets.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of Capital Markets and General Economic Conditions</w:t>
      </w:r>
    </w:p>
    <w:p>
      <w:pPr>
        <w:spacing w:after="0" w:line="229"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We depend upon the availability of warehouse credit facilities and access to long-term financing through the issuance of asset-backed securities collateralized by our automobile contracts. Since 1994, we have completed 61term securitizations of approximately $8.5 billion in contracts. From the fourth quarter of 2007 through the end of 2009, we observed unprecedented adverse changes in the market for securitized pools of automobile contracts. These changes included reduced liquidity, and reduced demand for asset-backed securities, particularly for securities carrying a financial guaranty and for securities backed by sub-prime automobile receivables. Moreover, during that period many of the firms that previously provided financial guarantees, which were an integral part of our securitizations, suspended offering such guarantees. These adverse changes caused us to conserve liquidity by significantly reducing our purchases of automobile contracts. However, since September 2009 we have established new funding facilities and gradually increased our contract purchases and the frequency and amount of our term securitizations. Our recent history of term securitizations is summarized in the table below:</w:t>
      </w:r>
    </w:p>
    <w:p>
      <w:pPr>
        <w:spacing w:after="0" w:line="162"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580" w:type="dxa"/>
            <w:vAlign w:val="bottom"/>
            <w:gridSpan w:val="7"/>
          </w:tcPr>
          <w:p>
            <w:pPr>
              <w:ind w:left="80"/>
              <w:spacing w:after="0"/>
              <w:rPr>
                <w:sz w:val="20"/>
                <w:szCs w:val="20"/>
                <w:color w:val="auto"/>
              </w:rPr>
            </w:pPr>
            <w:r>
              <w:rPr>
                <w:rFonts w:ascii="Arial" w:cs="Arial" w:eastAsia="Arial" w:hAnsi="Arial"/>
                <w:sz w:val="18"/>
                <w:szCs w:val="18"/>
                <w:b w:val="1"/>
                <w:bCs w:val="1"/>
                <w:color w:val="auto"/>
              </w:rPr>
              <w:t>Recent Asset-Backed Term Securitizations</w:t>
            </w:r>
          </w:p>
        </w:tc>
      </w:tr>
      <w:tr>
        <w:trPr>
          <w:trHeight w:val="446"/>
        </w:trPr>
        <w:tc>
          <w:tcPr>
            <w:tcW w:w="1120" w:type="dxa"/>
            <w:vAlign w:val="bottom"/>
            <w:tcBorders>
              <w:bottom w:val="single" w:sz="8" w:color="EEEEEE"/>
            </w:tcBorders>
          </w:tcPr>
          <w:p>
            <w:pPr>
              <w:spacing w:after="0"/>
              <w:rPr>
                <w:sz w:val="24"/>
                <w:szCs w:val="24"/>
                <w:color w:val="auto"/>
              </w:rPr>
            </w:pPr>
          </w:p>
        </w:tc>
        <w:tc>
          <w:tcPr>
            <w:tcW w:w="32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center"/>
              <w:ind w:right="1560"/>
              <w:spacing w:after="0"/>
              <w:rPr>
                <w:sz w:val="20"/>
                <w:szCs w:val="20"/>
                <w:color w:val="auto"/>
              </w:rPr>
            </w:pPr>
            <w:r>
              <w:rPr>
                <w:rFonts w:ascii="Arial" w:cs="Arial" w:eastAsia="Arial" w:hAnsi="Arial"/>
                <w:sz w:val="18"/>
                <w:szCs w:val="18"/>
                <w:i w:val="1"/>
                <w:iCs w:val="1"/>
                <w:color w:val="auto"/>
                <w:w w:val="90"/>
              </w:rPr>
              <w:t>$ in thousands</w:t>
            </w:r>
          </w:p>
        </w:tc>
      </w:tr>
      <w:tr>
        <w:trPr>
          <w:trHeight w:val="191"/>
        </w:trPr>
        <w:tc>
          <w:tcPr>
            <w:tcW w:w="112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180" w:type="dxa"/>
            <w:vAlign w:val="bottom"/>
            <w:gridSpan w:val="3"/>
            <w:shd w:val="clear" w:color="auto" w:fill="EEEEEE"/>
          </w:tcPr>
          <w:p>
            <w:pPr>
              <w:jc w:val="center"/>
              <w:ind w:right="150"/>
              <w:spacing w:after="0" w:line="191" w:lineRule="exact"/>
              <w:rPr>
                <w:sz w:val="20"/>
                <w:szCs w:val="20"/>
                <w:color w:val="auto"/>
              </w:rPr>
            </w:pPr>
            <w:r>
              <w:rPr>
                <w:rFonts w:ascii="Arial" w:cs="Arial" w:eastAsia="Arial" w:hAnsi="Arial"/>
                <w:sz w:val="18"/>
                <w:szCs w:val="18"/>
                <w:b w:val="1"/>
                <w:bCs w:val="1"/>
                <w:color w:val="auto"/>
                <w:w w:val="93"/>
              </w:rPr>
              <w:t>Number of Term</w:t>
            </w:r>
          </w:p>
        </w:tc>
        <w:tc>
          <w:tcPr>
            <w:tcW w:w="1980" w:type="dxa"/>
            <w:vAlign w:val="bottom"/>
            <w:gridSpan w:val="2"/>
            <w:shd w:val="clear" w:color="auto" w:fill="EEEEEE"/>
          </w:tcPr>
          <w:p>
            <w:pPr>
              <w:jc w:val="center"/>
              <w:ind w:right="40"/>
              <w:spacing w:after="0" w:line="191" w:lineRule="exact"/>
              <w:rPr>
                <w:sz w:val="20"/>
                <w:szCs w:val="20"/>
                <w:color w:val="auto"/>
              </w:rPr>
            </w:pPr>
            <w:r>
              <w:rPr>
                <w:rFonts w:ascii="Arial" w:cs="Arial" w:eastAsia="Arial" w:hAnsi="Arial"/>
                <w:sz w:val="18"/>
                <w:szCs w:val="18"/>
                <w:b w:val="1"/>
                <w:bCs w:val="1"/>
                <w:color w:val="auto"/>
                <w:w w:val="86"/>
              </w:rPr>
              <w:t>Receivables Pledged in</w:t>
            </w:r>
          </w:p>
        </w:tc>
      </w:tr>
      <w:tr>
        <w:trPr>
          <w:trHeight w:val="234"/>
        </w:trPr>
        <w:tc>
          <w:tcPr>
            <w:tcW w:w="1120" w:type="dxa"/>
            <w:vAlign w:val="bottom"/>
            <w:shd w:val="clear" w:color="auto" w:fill="EEEEEE"/>
          </w:tcPr>
          <w:p>
            <w:pPr>
              <w:jc w:val="center"/>
              <w:ind w:left="310"/>
              <w:spacing w:after="0"/>
              <w:rPr>
                <w:sz w:val="20"/>
                <w:szCs w:val="20"/>
                <w:color w:val="auto"/>
              </w:rPr>
            </w:pPr>
            <w:r>
              <w:rPr>
                <w:rFonts w:ascii="Arial" w:cs="Arial" w:eastAsia="Arial" w:hAnsi="Arial"/>
                <w:sz w:val="18"/>
                <w:szCs w:val="18"/>
                <w:b w:val="1"/>
                <w:bCs w:val="1"/>
                <w:color w:val="auto"/>
                <w:w w:val="92"/>
              </w:rPr>
              <w:t>Period</w:t>
            </w:r>
          </w:p>
        </w:tc>
        <w:tc>
          <w:tcPr>
            <w:tcW w:w="3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540" w:type="dxa"/>
            <w:vAlign w:val="bottom"/>
            <w:shd w:val="clear" w:color="auto" w:fill="EEEEEE"/>
          </w:tcPr>
          <w:p>
            <w:pPr>
              <w:jc w:val="center"/>
              <w:ind w:left="310"/>
              <w:spacing w:after="0"/>
              <w:rPr>
                <w:sz w:val="20"/>
                <w:szCs w:val="20"/>
                <w:color w:val="auto"/>
              </w:rPr>
            </w:pPr>
            <w:r>
              <w:rPr>
                <w:rFonts w:ascii="Arial" w:cs="Arial" w:eastAsia="Arial" w:hAnsi="Arial"/>
                <w:sz w:val="18"/>
                <w:szCs w:val="18"/>
                <w:b w:val="1"/>
                <w:bCs w:val="1"/>
                <w:color w:val="auto"/>
                <w:w w:val="88"/>
              </w:rPr>
              <w:t>Securitizations</w:t>
            </w:r>
          </w:p>
        </w:tc>
        <w:tc>
          <w:tcPr>
            <w:tcW w:w="3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980" w:type="dxa"/>
            <w:vAlign w:val="bottom"/>
            <w:gridSpan w:val="2"/>
            <w:shd w:val="clear" w:color="auto" w:fill="EEEEEE"/>
          </w:tcPr>
          <w:p>
            <w:pPr>
              <w:jc w:val="center"/>
              <w:ind w:right="20"/>
              <w:spacing w:after="0"/>
              <w:rPr>
                <w:sz w:val="20"/>
                <w:szCs w:val="20"/>
                <w:color w:val="auto"/>
              </w:rPr>
            </w:pPr>
            <w:r>
              <w:rPr>
                <w:rFonts w:ascii="Arial" w:cs="Arial" w:eastAsia="Arial" w:hAnsi="Arial"/>
                <w:sz w:val="18"/>
                <w:szCs w:val="18"/>
                <w:b w:val="1"/>
                <w:bCs w:val="1"/>
                <w:color w:val="auto"/>
                <w:w w:val="90"/>
              </w:rPr>
              <w:t>Term Securitizations</w:t>
            </w:r>
          </w:p>
        </w:tc>
      </w:tr>
      <w:tr>
        <w:trPr>
          <w:trHeight w:val="210"/>
        </w:trPr>
        <w:tc>
          <w:tcPr>
            <w:tcW w:w="112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9"/>
              </w:rPr>
              <w:t>2006</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99"/>
              </w:rPr>
              <w:t>4</w:t>
            </w:r>
          </w:p>
        </w:tc>
        <w:tc>
          <w:tcPr>
            <w:tcW w:w="320" w:type="dxa"/>
            <w:vAlign w:val="bottom"/>
            <w:tcBorders>
              <w:top w:val="single" w:sz="8" w:color="auto"/>
            </w:tcBorders>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957,681</w:t>
            </w:r>
          </w:p>
        </w:tc>
        <w:tc>
          <w:tcPr>
            <w:tcW w:w="120" w:type="dxa"/>
            <w:vAlign w:val="bottom"/>
          </w:tcPr>
          <w:p>
            <w:pPr>
              <w:spacing w:after="0"/>
              <w:rPr>
                <w:sz w:val="18"/>
                <w:szCs w:val="18"/>
                <w:color w:val="auto"/>
              </w:rPr>
            </w:pPr>
          </w:p>
        </w:tc>
      </w:tr>
      <w:tr>
        <w:trPr>
          <w:trHeight w:val="216"/>
        </w:trPr>
        <w:tc>
          <w:tcPr>
            <w:tcW w:w="112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auto"/>
                <w:w w:val="89"/>
              </w:rPr>
              <w:t>2007</w:t>
            </w:r>
          </w:p>
        </w:tc>
        <w:tc>
          <w:tcPr>
            <w:tcW w:w="1960" w:type="dxa"/>
            <w:vAlign w:val="bottom"/>
            <w:gridSpan w:val="3"/>
            <w:shd w:val="clear" w:color="auto" w:fill="EEEEEE"/>
          </w:tcPr>
          <w:p>
            <w:pPr>
              <w:jc w:val="center"/>
              <w:ind w:left="730"/>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1,118,097</w:t>
            </w:r>
          </w:p>
        </w:tc>
        <w:tc>
          <w:tcPr>
            <w:tcW w:w="120" w:type="dxa"/>
            <w:vAlign w:val="bottom"/>
            <w:shd w:val="clear" w:color="auto" w:fill="EEEEEE"/>
          </w:tcPr>
          <w:p>
            <w:pPr>
              <w:spacing w:after="0"/>
              <w:rPr>
                <w:sz w:val="18"/>
                <w:szCs w:val="18"/>
                <w:color w:val="auto"/>
              </w:rPr>
            </w:pPr>
          </w:p>
        </w:tc>
      </w:tr>
      <w:tr>
        <w:trPr>
          <w:trHeight w:val="216"/>
        </w:trPr>
        <w:tc>
          <w:tcPr>
            <w:tcW w:w="1120" w:type="dxa"/>
            <w:vAlign w:val="bottom"/>
          </w:tcPr>
          <w:p>
            <w:pPr>
              <w:jc w:val="center"/>
              <w:ind w:left="310"/>
              <w:spacing w:after="0"/>
              <w:rPr>
                <w:sz w:val="20"/>
                <w:szCs w:val="20"/>
                <w:color w:val="auto"/>
              </w:rPr>
            </w:pPr>
            <w:r>
              <w:rPr>
                <w:rFonts w:ascii="Arial" w:cs="Arial" w:eastAsia="Arial" w:hAnsi="Arial"/>
                <w:sz w:val="18"/>
                <w:szCs w:val="18"/>
                <w:color w:val="333333"/>
                <w:w w:val="89"/>
              </w:rPr>
              <w:t>2008</w:t>
            </w:r>
          </w:p>
        </w:tc>
        <w:tc>
          <w:tcPr>
            <w:tcW w:w="1960" w:type="dxa"/>
            <w:vAlign w:val="bottom"/>
            <w:gridSpan w:val="3"/>
          </w:tcPr>
          <w:p>
            <w:pPr>
              <w:jc w:val="center"/>
              <w:ind w:left="730"/>
              <w:spacing w:after="0"/>
              <w:rPr>
                <w:sz w:val="20"/>
                <w:szCs w:val="20"/>
                <w:color w:val="auto"/>
              </w:rPr>
            </w:pPr>
            <w:r>
              <w:rPr>
                <w:rFonts w:ascii="Arial" w:cs="Arial" w:eastAsia="Arial" w:hAnsi="Arial"/>
                <w:sz w:val="18"/>
                <w:szCs w:val="18"/>
                <w:color w:val="auto"/>
                <w:w w:val="99"/>
              </w:rPr>
              <w:t>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509,022</w:t>
            </w:r>
          </w:p>
        </w:tc>
        <w:tc>
          <w:tcPr>
            <w:tcW w:w="120" w:type="dxa"/>
            <w:vAlign w:val="bottom"/>
          </w:tcPr>
          <w:p>
            <w:pPr>
              <w:spacing w:after="0"/>
              <w:rPr>
                <w:sz w:val="18"/>
                <w:szCs w:val="18"/>
                <w:color w:val="auto"/>
              </w:rPr>
            </w:pPr>
          </w:p>
        </w:tc>
      </w:tr>
      <w:tr>
        <w:trPr>
          <w:trHeight w:val="216"/>
        </w:trPr>
        <w:tc>
          <w:tcPr>
            <w:tcW w:w="112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333333"/>
                <w:w w:val="89"/>
              </w:rPr>
              <w:t>2009</w:t>
            </w:r>
          </w:p>
        </w:tc>
        <w:tc>
          <w:tcPr>
            <w:tcW w:w="1960" w:type="dxa"/>
            <w:vAlign w:val="bottom"/>
            <w:gridSpan w:val="3"/>
            <w:shd w:val="clear" w:color="auto" w:fill="EEEEEE"/>
          </w:tcPr>
          <w:p>
            <w:pPr>
              <w:jc w:val="center"/>
              <w:ind w:left="730"/>
              <w:spacing w:after="0"/>
              <w:rPr>
                <w:sz w:val="20"/>
                <w:szCs w:val="20"/>
                <w:color w:val="auto"/>
              </w:rPr>
            </w:pPr>
            <w:r>
              <w:rPr>
                <w:rFonts w:ascii="Arial" w:cs="Arial" w:eastAsia="Arial" w:hAnsi="Arial"/>
                <w:sz w:val="18"/>
                <w:szCs w:val="18"/>
                <w:color w:val="auto"/>
                <w:w w:val="99"/>
              </w:rPr>
              <w:t>0</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9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120" w:type="dxa"/>
            <w:vAlign w:val="bottom"/>
          </w:tcPr>
          <w:p>
            <w:pPr>
              <w:jc w:val="center"/>
              <w:ind w:left="310"/>
              <w:spacing w:after="0"/>
              <w:rPr>
                <w:sz w:val="20"/>
                <w:szCs w:val="20"/>
                <w:color w:val="auto"/>
              </w:rPr>
            </w:pPr>
            <w:r>
              <w:rPr>
                <w:rFonts w:ascii="Arial" w:cs="Arial" w:eastAsia="Arial" w:hAnsi="Arial"/>
                <w:sz w:val="18"/>
                <w:szCs w:val="18"/>
                <w:color w:val="333333"/>
                <w:w w:val="89"/>
              </w:rPr>
              <w:t>2010</w:t>
            </w:r>
          </w:p>
        </w:tc>
        <w:tc>
          <w:tcPr>
            <w:tcW w:w="1960" w:type="dxa"/>
            <w:vAlign w:val="bottom"/>
            <w:gridSpan w:val="3"/>
          </w:tcPr>
          <w:p>
            <w:pPr>
              <w:jc w:val="center"/>
              <w:ind w:left="730"/>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103,772</w:t>
            </w:r>
          </w:p>
        </w:tc>
        <w:tc>
          <w:tcPr>
            <w:tcW w:w="120" w:type="dxa"/>
            <w:vAlign w:val="bottom"/>
          </w:tcPr>
          <w:p>
            <w:pPr>
              <w:spacing w:after="0"/>
              <w:rPr>
                <w:sz w:val="18"/>
                <w:szCs w:val="18"/>
                <w:color w:val="auto"/>
              </w:rPr>
            </w:pPr>
          </w:p>
        </w:tc>
      </w:tr>
      <w:tr>
        <w:trPr>
          <w:trHeight w:val="216"/>
        </w:trPr>
        <w:tc>
          <w:tcPr>
            <w:tcW w:w="112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333333"/>
                <w:w w:val="89"/>
              </w:rPr>
              <w:t>2011</w:t>
            </w:r>
          </w:p>
        </w:tc>
        <w:tc>
          <w:tcPr>
            <w:tcW w:w="1960" w:type="dxa"/>
            <w:vAlign w:val="bottom"/>
            <w:gridSpan w:val="3"/>
            <w:shd w:val="clear" w:color="auto" w:fill="EEEEEE"/>
          </w:tcPr>
          <w:p>
            <w:pPr>
              <w:jc w:val="center"/>
              <w:ind w:left="730"/>
              <w:spacing w:after="0"/>
              <w:rPr>
                <w:sz w:val="20"/>
                <w:szCs w:val="20"/>
                <w:color w:val="auto"/>
              </w:rPr>
            </w:pPr>
            <w:r>
              <w:rPr>
                <w:rFonts w:ascii="Arial" w:cs="Arial" w:eastAsia="Arial" w:hAnsi="Arial"/>
                <w:sz w:val="18"/>
                <w:szCs w:val="18"/>
                <w:color w:val="auto"/>
                <w:w w:val="99"/>
              </w:rPr>
              <w:t>3</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335,593</w:t>
            </w:r>
          </w:p>
        </w:tc>
        <w:tc>
          <w:tcPr>
            <w:tcW w:w="120" w:type="dxa"/>
            <w:vAlign w:val="bottom"/>
            <w:shd w:val="clear" w:color="auto" w:fill="EEEEEE"/>
          </w:tcPr>
          <w:p>
            <w:pPr>
              <w:spacing w:after="0"/>
              <w:rPr>
                <w:sz w:val="18"/>
                <w:szCs w:val="18"/>
                <w:color w:val="auto"/>
              </w:rPr>
            </w:pPr>
          </w:p>
        </w:tc>
      </w:tr>
      <w:tr>
        <w:trPr>
          <w:trHeight w:val="216"/>
        </w:trPr>
        <w:tc>
          <w:tcPr>
            <w:tcW w:w="1120" w:type="dxa"/>
            <w:vAlign w:val="bottom"/>
          </w:tcPr>
          <w:p>
            <w:pPr>
              <w:jc w:val="center"/>
              <w:ind w:left="310"/>
              <w:spacing w:after="0"/>
              <w:rPr>
                <w:sz w:val="20"/>
                <w:szCs w:val="20"/>
                <w:color w:val="auto"/>
              </w:rPr>
            </w:pPr>
            <w:r>
              <w:rPr>
                <w:rFonts w:ascii="Arial" w:cs="Arial" w:eastAsia="Arial" w:hAnsi="Arial"/>
                <w:sz w:val="18"/>
                <w:szCs w:val="18"/>
                <w:color w:val="333333"/>
                <w:w w:val="89"/>
              </w:rPr>
              <w:t>2012</w:t>
            </w:r>
          </w:p>
        </w:tc>
        <w:tc>
          <w:tcPr>
            <w:tcW w:w="1960" w:type="dxa"/>
            <w:vAlign w:val="bottom"/>
            <w:gridSpan w:val="3"/>
          </w:tcPr>
          <w:p>
            <w:pPr>
              <w:jc w:val="center"/>
              <w:ind w:left="730"/>
              <w:spacing w:after="0"/>
              <w:rPr>
                <w:sz w:val="20"/>
                <w:szCs w:val="20"/>
                <w:color w:val="auto"/>
              </w:rPr>
            </w:pPr>
            <w:r>
              <w:rPr>
                <w:rFonts w:ascii="Arial" w:cs="Arial" w:eastAsia="Arial" w:hAnsi="Arial"/>
                <w:sz w:val="18"/>
                <w:szCs w:val="18"/>
                <w:color w:val="auto"/>
                <w:w w:val="99"/>
              </w:rPr>
              <w:t>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603,500</w:t>
            </w:r>
          </w:p>
        </w:tc>
        <w:tc>
          <w:tcPr>
            <w:tcW w:w="120" w:type="dxa"/>
            <w:vAlign w:val="bottom"/>
          </w:tcPr>
          <w:p>
            <w:pPr>
              <w:spacing w:after="0"/>
              <w:rPr>
                <w:sz w:val="18"/>
                <w:szCs w:val="18"/>
                <w:color w:val="auto"/>
              </w:rPr>
            </w:pPr>
          </w:p>
        </w:tc>
      </w:tr>
      <w:tr>
        <w:trPr>
          <w:trHeight w:val="216"/>
        </w:trPr>
        <w:tc>
          <w:tcPr>
            <w:tcW w:w="1120" w:type="dxa"/>
            <w:vAlign w:val="bottom"/>
            <w:shd w:val="clear" w:color="auto" w:fill="EEEEEE"/>
          </w:tcPr>
          <w:p>
            <w:pPr>
              <w:jc w:val="center"/>
              <w:ind w:left="310"/>
              <w:spacing w:after="0"/>
              <w:rPr>
                <w:sz w:val="20"/>
                <w:szCs w:val="20"/>
                <w:color w:val="auto"/>
              </w:rPr>
            </w:pPr>
            <w:r>
              <w:rPr>
                <w:rFonts w:ascii="Arial" w:cs="Arial" w:eastAsia="Arial" w:hAnsi="Arial"/>
                <w:sz w:val="18"/>
                <w:szCs w:val="18"/>
                <w:color w:val="333333"/>
                <w:w w:val="89"/>
              </w:rPr>
              <w:t>2013</w:t>
            </w:r>
          </w:p>
        </w:tc>
        <w:tc>
          <w:tcPr>
            <w:tcW w:w="1960" w:type="dxa"/>
            <w:vAlign w:val="bottom"/>
            <w:gridSpan w:val="3"/>
            <w:shd w:val="clear" w:color="auto" w:fill="EEEEEE"/>
          </w:tcPr>
          <w:p>
            <w:pPr>
              <w:jc w:val="center"/>
              <w:ind w:left="730"/>
              <w:spacing w:after="0"/>
              <w:rPr>
                <w:sz w:val="20"/>
                <w:szCs w:val="20"/>
                <w:color w:val="auto"/>
              </w:rPr>
            </w:pPr>
            <w:r>
              <w:rPr>
                <w:rFonts w:ascii="Arial" w:cs="Arial" w:eastAsia="Arial" w:hAnsi="Arial"/>
                <w:sz w:val="18"/>
                <w:szCs w:val="18"/>
                <w:color w:val="auto"/>
                <w:w w:val="99"/>
              </w:rPr>
              <w:t>4</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778,000</w:t>
            </w:r>
          </w:p>
        </w:tc>
        <w:tc>
          <w:tcPr>
            <w:tcW w:w="12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Our 2012 securitizations included $58.2 million in contracts that were repurchased in 2012 from securitizations closed in 2006 and 2007. Our 2013 securitizations included $7.4 million in contracts that were repurchased from a securitization closed in 2008. Since 2011 all of our securitizations have been structured as secured financings and none have utilized financial guarantees.</w:t>
      </w:r>
    </w:p>
    <w:p>
      <w:pPr>
        <w:spacing w:after="0" w:line="18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Our current short-term funding capacity is $200 million, consisting of two credit facilities. The first $100 million credit facility was established in December 2010. This facility was renewed in March 2013, extending the revolving period to March 2015, and adding an amortization period through March 2017. Our second $100 million credit facility was established in May 2012. This facility was renewed in June 2013, extending the revolving period to June 2015, and adding an amortization period through June 2016.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ind w:right="240" w:firstLine="324"/>
        <w:spacing w:after="0" w:line="279"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2013 we were in compliance with all such financial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year ended December 31, 2013 with the year ended December 31, 2012</w:t>
      </w:r>
    </w:p>
    <w:p>
      <w:pPr>
        <w:spacing w:after="0" w:line="225"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In April 2013, we repurchased the outstanding Class D notes from our first 2008 securitization for a cash payment and a new note. We</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 or 4.3% of our total revenues of $255.8 million for year ended December 31, 2013.</w:t>
      </w:r>
    </w:p>
    <w:p>
      <w:pPr>
        <w:spacing w:after="0" w:line="18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During the year ended December 31, 2013, excluding the gain on cancellation of debt of $10.9 million, our revenues were $244.8 million, an increase of $57.6 million, or 30.8%, from the prior year revenue of $187.2 million. The primary reason for the increase in revenues is an increase in interest income. Interest income for the year ended December 31, 2013 increased $56.0 million, or 32.0%, to $231.3 million from $175.3 million in the prior year. The primary reason for the increase in interest income is the increase in finance receivables held by consolidated subsidiaries, which increased from $868.7 million at December 31, 2012 to $1,222.5 million at December 31, 2013. The table below shows the average balances of our portfolio held by consolidated subsidiaries for the year ended December 31, 2013 and 2012: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4100" w:type="dxa"/>
            <w:vAlign w:val="bottom"/>
            <w:gridSpan w:val="8"/>
          </w:tcPr>
          <w:p>
            <w:pPr>
              <w:ind w:left="560"/>
              <w:spacing w:after="0"/>
              <w:rPr>
                <w:sz w:val="20"/>
                <w:szCs w:val="20"/>
                <w:color w:val="auto"/>
              </w:rPr>
            </w:pPr>
            <w:r>
              <w:rPr>
                <w:rFonts w:ascii="Arial" w:cs="Arial" w:eastAsia="Arial" w:hAnsi="Arial"/>
                <w:sz w:val="18"/>
                <w:szCs w:val="18"/>
                <w:b w:val="1"/>
                <w:bCs w:val="1"/>
                <w:color w:val="auto"/>
              </w:rPr>
              <w:t>Average Balances for the Year Ended</w:t>
            </w: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18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December 31, 2013</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1"/>
              </w:rPr>
              <w:t>December 31, 2012</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5020" w:type="dxa"/>
            <w:vAlign w:val="bottom"/>
            <w:vMerge w:val="restart"/>
          </w:tcPr>
          <w:p>
            <w:pPr>
              <w:jc w:val="right"/>
              <w:ind w:right="2490"/>
              <w:spacing w:after="0"/>
              <w:rPr>
                <w:sz w:val="20"/>
                <w:szCs w:val="20"/>
                <w:color w:val="auto"/>
              </w:rPr>
            </w:pPr>
            <w:r>
              <w:rPr>
                <w:rFonts w:ascii="Arial" w:cs="Arial" w:eastAsia="Arial" w:hAnsi="Arial"/>
                <w:sz w:val="18"/>
                <w:szCs w:val="18"/>
                <w:b w:val="1"/>
                <w:bCs w:val="1"/>
                <w:color w:val="auto"/>
                <w:w w:val="90"/>
              </w:rPr>
              <w:t>Finance Receivables Owned by</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580" w:type="dxa"/>
            <w:vAlign w:val="bottom"/>
            <w:tcBorders>
              <w:top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300" w:type="dxa"/>
            <w:vAlign w:val="bottom"/>
          </w:tcPr>
          <w:p>
            <w:pPr>
              <w:spacing w:after="0"/>
              <w:rPr>
                <w:sz w:val="16"/>
                <w:szCs w:val="16"/>
                <w:color w:val="auto"/>
              </w:rPr>
            </w:pPr>
          </w:p>
        </w:tc>
        <w:tc>
          <w:tcPr>
            <w:tcW w:w="50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740" w:type="dxa"/>
            <w:vAlign w:val="bottom"/>
            <w:gridSpan w:val="5"/>
          </w:tcPr>
          <w:p>
            <w:pPr>
              <w:jc w:val="right"/>
              <w:ind w:right="1390"/>
              <w:spacing w:after="0" w:line="191" w:lineRule="exact"/>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6280" w:type="dxa"/>
            <w:vAlign w:val="bottom"/>
            <w:gridSpan w:val="2"/>
          </w:tcPr>
          <w:p>
            <w:pPr>
              <w:jc w:val="right"/>
              <w:ind w:right="3954"/>
              <w:spacing w:after="0"/>
              <w:rPr>
                <w:sz w:val="20"/>
                <w:szCs w:val="20"/>
                <w:color w:val="auto"/>
              </w:rPr>
            </w:pPr>
            <w:r>
              <w:rPr>
                <w:rFonts w:ascii="Arial" w:cs="Arial" w:eastAsia="Arial" w:hAnsi="Arial"/>
                <w:sz w:val="18"/>
                <w:szCs w:val="18"/>
                <w:b w:val="1"/>
                <w:bCs w:val="1"/>
                <w:color w:val="auto"/>
                <w:w w:val="98"/>
              </w:rPr>
              <w:t>Consolidated Subsidiaries</w:t>
            </w: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w w:val="91"/>
              </w:rPr>
              <w:t>CPS Originated Receivables</w:t>
            </w:r>
          </w:p>
        </w:tc>
        <w:tc>
          <w:tcPr>
            <w:tcW w:w="6280" w:type="dxa"/>
            <w:vAlign w:val="bottom"/>
            <w:gridSpan w:val="2"/>
            <w:shd w:val="clear" w:color="auto" w:fill="EEEEEE"/>
          </w:tcPr>
          <w:p>
            <w:pPr>
              <w:jc w:val="right"/>
              <w:ind w:right="1094"/>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3"/>
              </w:rPr>
              <w:t>1,044.7</w:t>
            </w:r>
          </w:p>
        </w:tc>
        <w:tc>
          <w:tcPr>
            <w:tcW w:w="340" w:type="dxa"/>
            <w:vAlign w:val="bottom"/>
            <w:shd w:val="clear" w:color="auto" w:fill="EEEEEE"/>
          </w:tcPr>
          <w:p>
            <w:pPr>
              <w:spacing w:after="0"/>
              <w:rPr>
                <w:sz w:val="18"/>
                <w:szCs w:val="18"/>
                <w:color w:val="auto"/>
              </w:rPr>
            </w:pPr>
          </w:p>
        </w:tc>
        <w:tc>
          <w:tcPr>
            <w:tcW w:w="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699.0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00"/>
              <w:spacing w:after="0"/>
              <w:rPr>
                <w:sz w:val="20"/>
                <w:szCs w:val="20"/>
                <w:color w:val="auto"/>
              </w:rPr>
            </w:pPr>
            <w:r>
              <w:rPr>
                <w:rFonts w:ascii="Arial" w:cs="Arial" w:eastAsia="Arial" w:hAnsi="Arial"/>
                <w:sz w:val="18"/>
                <w:szCs w:val="18"/>
                <w:color w:val="auto"/>
              </w:rPr>
              <w:t>Fireside</w:t>
            </w:r>
          </w:p>
        </w:tc>
        <w:tc>
          <w:tcPr>
            <w:tcW w:w="5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Total</w:t>
            </w:r>
          </w:p>
        </w:tc>
        <w:tc>
          <w:tcPr>
            <w:tcW w:w="50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9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1,076.0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Servicing fees totaling $3.1 in the year ended December 31, 2013 increased $788,000, or 34.2%, from $2.3 million in the prior year. We earn base servicing fees on three portfolios that are decreasing in size as we receive customer payments and, consequently, base servicing fees are decreasing also. On one of those portfolios, however, we recently began earning an incentive servicing fee. Such incentive servicing fee was $1.6 million for the year ended December 31, 2013 and more than offset the decrease of $600,000 in base servicing fees. We did not earn any incentive servicing fee in the prior year. As of December 31, 2013 and 2012, our managed portfolio owned by consolidated vs. non-consolidated subsidiaries and other third parties was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88"/>
              </w:rPr>
              <w:t>December 31, 2013</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88"/>
              </w:rPr>
              <w:t>December 31, 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60" w:type="dxa"/>
            <w:vAlign w:val="bottom"/>
            <w:vMerge w:val="restart"/>
          </w:tcPr>
          <w:p>
            <w:pPr>
              <w:ind w:left="900"/>
              <w:spacing w:after="0"/>
              <w:rPr>
                <w:sz w:val="20"/>
                <w:szCs w:val="20"/>
                <w:color w:val="auto"/>
              </w:rPr>
            </w:pPr>
            <w:r>
              <w:rPr>
                <w:rFonts w:ascii="Arial" w:cs="Arial" w:eastAsia="Arial" w:hAnsi="Arial"/>
                <w:sz w:val="18"/>
                <w:szCs w:val="18"/>
                <w:b w:val="1"/>
                <w:bCs w:val="1"/>
                <w:color w:val="auto"/>
              </w:rPr>
              <w:t>Total Managed Portfolio</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7"/>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Owned by Consolidated Subsidiaries</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0"/>
              <w:spacing w:after="0"/>
              <w:rPr>
                <w:sz w:val="20"/>
                <w:szCs w:val="20"/>
                <w:color w:val="auto"/>
              </w:rPr>
            </w:pPr>
            <w:r>
              <w:rPr>
                <w:rFonts w:ascii="Arial" w:cs="Arial" w:eastAsia="Arial" w:hAnsi="Arial"/>
                <w:sz w:val="18"/>
                <w:szCs w:val="18"/>
                <w:color w:val="auto"/>
              </w:rPr>
              <w:t>CPS Originated Receivables</w:t>
            </w:r>
          </w:p>
        </w:tc>
        <w:tc>
          <w:tcPr>
            <w:tcW w:w="46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1,207.7</w:t>
            </w: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98.1%</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807.9</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36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Fireside</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60.8</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Owned by Non-Consolidated Subsidiaries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17.3</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Third-Party Servicing Portfolios</w:t>
            </w:r>
          </w:p>
        </w:tc>
        <w:tc>
          <w:tcPr>
            <w:tcW w:w="2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4.9</w:t>
            </w:r>
          </w:p>
        </w:tc>
        <w:tc>
          <w:tcPr>
            <w:tcW w:w="56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11.6</w:t>
            </w: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ind w:right="160" w:firstLine="324"/>
        <w:spacing w:after="0" w:line="279" w:lineRule="auto"/>
        <w:rPr>
          <w:sz w:val="20"/>
          <w:szCs w:val="20"/>
          <w:color w:val="auto"/>
        </w:rPr>
      </w:pPr>
      <w:r>
        <w:rPr>
          <w:rFonts w:ascii="Arial" w:cs="Arial" w:eastAsia="Arial" w:hAnsi="Arial"/>
          <w:sz w:val="17"/>
          <w:szCs w:val="17"/>
          <w:color w:val="auto"/>
        </w:rPr>
        <w:t>At December 31, 2013, we were generating income and fees on a managed portfolio with an outstanding principal balance of $1,231.4 million (this amount includes $4.0 million of automobile contracts on which we earn servicing fees and own a residual interest and also includes another $4.9 million of automobile contracts on which we earn base and incentive servicing fees), compared to a managed portfolio with an outstanding principal balance of $897.6 million as of December 31, 2012. At December 31, 2013 and 2012, the managed portfolio composition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88"/>
              </w:rPr>
              <w:t>December 31, 2013</w:t>
            </w:r>
          </w:p>
        </w:tc>
        <w:tc>
          <w:tcPr>
            <w:tcW w:w="10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88"/>
              </w:rPr>
              <w:t>December 31, 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Originating Entity</w:t>
            </w:r>
          </w:p>
        </w:tc>
        <w:tc>
          <w:tcPr>
            <w:tcW w:w="2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 (1)</w:t>
            </w: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 (2)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Amount (1)</w:t>
            </w: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7"/>
              </w:rPr>
              <w:t>% (2)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in millions)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CPS</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1,213.8</w:t>
            </w:r>
          </w:p>
        </w:tc>
        <w:tc>
          <w:tcPr>
            <w:tcW w:w="3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98.6%</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825.0</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Fireside</w:t>
            </w:r>
          </w:p>
        </w:tc>
        <w:tc>
          <w:tcPr>
            <w:tcW w:w="22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14.8</w:t>
            </w:r>
          </w:p>
        </w:tc>
        <w:tc>
          <w:tcPr>
            <w:tcW w:w="5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TFC</w:t>
            </w:r>
          </w:p>
        </w:tc>
        <w:tc>
          <w:tcPr>
            <w:tcW w:w="220" w:type="dxa"/>
            <w:vAlign w:val="bottom"/>
            <w:shd w:val="clear" w:color="auto" w:fill="EEEEEE"/>
          </w:tcPr>
          <w:p>
            <w:pPr>
              <w:spacing w:after="0"/>
              <w:rPr>
                <w:sz w:val="18"/>
                <w:szCs w:val="18"/>
                <w:color w:val="auto"/>
              </w:rPr>
            </w:pPr>
          </w:p>
        </w:tc>
        <w:tc>
          <w:tcPr>
            <w:tcW w:w="2300" w:type="dxa"/>
            <w:vAlign w:val="bottom"/>
            <w:gridSpan w:val="3"/>
            <w:shd w:val="clear" w:color="auto" w:fill="EEEEEE"/>
          </w:tcPr>
          <w:p>
            <w:pPr>
              <w:jc w:val="right"/>
              <w:ind w:right="9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0.2</w:t>
            </w: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Third Party Portfolio</w:t>
            </w:r>
          </w:p>
        </w:tc>
        <w:tc>
          <w:tcPr>
            <w:tcW w:w="220" w:type="dxa"/>
            <w:vAlign w:val="bottom"/>
          </w:tcPr>
          <w:p>
            <w:pPr>
              <w:spacing w:after="0"/>
              <w:rPr>
                <w:sz w:val="19"/>
                <w:szCs w:val="19"/>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9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1,231.4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897.6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balances.</w:t>
      </w:r>
    </w:p>
    <w:p>
      <w:pPr>
        <w:spacing w:after="0" w:line="23" w:lineRule="exact"/>
        <w:rPr>
          <w:rFonts w:ascii="Arial" w:cs="Arial" w:eastAsia="Arial" w:hAnsi="Arial"/>
          <w:sz w:val="18"/>
          <w:szCs w:val="18"/>
          <w:i w:val="1"/>
          <w:iCs w:val="1"/>
          <w:color w:val="auto"/>
        </w:rPr>
      </w:pPr>
    </w:p>
    <w:p>
      <w:pPr>
        <w:ind w:left="260" w:hanging="252"/>
        <w:spacing w:after="0"/>
        <w:tabs>
          <w:tab w:leader="none" w:pos="2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Percentages may not add up to 100% due to rounding.</w:t>
      </w:r>
    </w:p>
    <w:p>
      <w:pPr>
        <w:spacing w:after="0" w:line="211"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Other income increased by $816,000, or 8.5%, to $10.4 million in the year ended December 31, 2013 from $9.6 million during the prior year. The increase is comprised of a net increase of $415,000 in the fair value of the receivables and debt associated with the Fireside portfolio acquisition, an increase of $558,000 in fees associated with direct mail and other related products and services that we offer to our dealers, and an increase of $58,000 in payments from third-party providers of convenience fees paid by our customers for web based and other electronic payments. These increases were partially offset by a decrease of $215,000 in recoveries on receivables from the 2002 acquisition of MFN Financial Corporation and a decrease in sales tax refunds of $30,000.</w:t>
      </w:r>
    </w:p>
    <w:p>
      <w:pPr>
        <w:spacing w:after="0" w:line="15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During the year ended December 31, 2013, we recognized $7.8 million in contingent liability expenses to either record or increase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w:t>
      </w:r>
    </w:p>
    <w:p>
      <w:pPr>
        <w:spacing w:after="0" w:line="188"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following comparison of our expenses for the year ended December 31, 2013 and 2012 excludes the impact of the $7.8 million contingent liability expense incurred in the year ended December 31, 2013.</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Total operating expenses were $210.8 million for the year ended December 31, 2013, compared to $178.0 million for the prior year, an increase of $32.7 million, or 18.4%. The increase is primarily due to the increase in the amount of new contracts we purchased, the resulting increase in our consolidated portfolio and associated servicing costs, and the related increase in our provision for credit losses. Increases in core operating expenses and provision for credit losses were partially offset by decreases in interest expense.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ind w:firstLine="324"/>
        <w:spacing w:after="0" w:line="257" w:lineRule="auto"/>
        <w:rPr>
          <w:sz w:val="20"/>
          <w:szCs w:val="20"/>
          <w:color w:val="auto"/>
        </w:rPr>
      </w:pPr>
      <w:r>
        <w:rPr>
          <w:rFonts w:ascii="Arial" w:cs="Arial" w:eastAsia="Arial" w:hAnsi="Arial"/>
          <w:sz w:val="18"/>
          <w:szCs w:val="18"/>
          <w:color w:val="auto"/>
        </w:rPr>
        <w:t>Employee costs increased by $7.4 million or 20.8%, to $43.0 million during the year ended December 31, 2013, representing 20.4% of total operating expenses, from $35.6 million for the prior year, or 20.0% of total operating expenses. Since 2010, we have added employees in our Originations and Marketing departments to accommodate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years ended, December 31, 2013 and 2012: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9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2"/>
              </w:rPr>
              <w:t>December 31, 2013</w:t>
            </w:r>
          </w:p>
        </w:tc>
        <w:tc>
          <w:tcPr>
            <w:tcW w:w="8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4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 in millions)</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764.1</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48,995</w:t>
            </w:r>
          </w:p>
        </w:tc>
        <w:tc>
          <w:tcPr>
            <w:tcW w:w="80" w:type="dxa"/>
            <w:vAlign w:val="bottom"/>
          </w:tcPr>
          <w:p>
            <w:pPr>
              <w:spacing w:after="0"/>
              <w:rPr>
                <w:sz w:val="18"/>
                <w:szCs w:val="18"/>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36,030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280" w:type="dxa"/>
            <w:vAlign w:val="bottom"/>
            <w:shd w:val="clear" w:color="auto" w:fill="EEEEEE"/>
          </w:tcPr>
          <w:p>
            <w:pPr>
              <w:jc w:val="right"/>
              <w:ind w:right="120"/>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1,231.4</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99,842</w:t>
            </w:r>
          </w:p>
        </w:tc>
        <w:tc>
          <w:tcPr>
            <w:tcW w:w="80" w:type="dxa"/>
            <w:vAlign w:val="bottom"/>
          </w:tcPr>
          <w:p>
            <w:pPr>
              <w:spacing w:after="0"/>
              <w:rPr>
                <w:sz w:val="18"/>
                <w:szCs w:val="18"/>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91,549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8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EEEEEE"/>
          </w:tcPr>
          <w:p>
            <w:pPr>
              <w:spacing w:after="0"/>
              <w:rPr>
                <w:sz w:val="19"/>
                <w:szCs w:val="19"/>
                <w:color w:val="auto"/>
              </w:rPr>
            </w:pPr>
          </w:p>
        </w:tc>
        <w:tc>
          <w:tcPr>
            <w:tcW w:w="1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$16.3 million, an increase of $916,000, or 5.9%, compared to the previous year and represented 7.8% of total operating expenses.</w:t>
      </w:r>
    </w:p>
    <w:p>
      <w:pPr>
        <w:spacing w:after="0" w:line="18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Interest expense for the year ended December 31, 2013 decreased by $21.2 million to $58.2 million, or 26.7%, compared to $79.4 million in the previous year.</w:t>
      </w:r>
    </w:p>
    <w:p>
      <w:pPr>
        <w:spacing w:after="0" w:line="170"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Interest expense on the Fireside portfolio credit facility decreased by $12.0 million compared to the prior year as the Fireside portfolio and the related debt have paid down to significantly lower levels over the last year.</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on securitization trust debt decreased by $3.4 million for the year ended December 31, 2013 compared to the prior year. Although the average balance of securitization trust debt increased to $941.6 million at December 31, 2013 compared to $630.0 million at December 31, 2012, the blended interest rates on new term securitizations since 2012 have been significantly lower than in previous years. As a result, during 2013, portions of our securitization debt that were outstanding at December 31, 2012 at higher blended interest rates were repaid as we added new securitization trust debt at significantly lower blended interest rates.</w:t>
      </w:r>
    </w:p>
    <w:p>
      <w:pPr>
        <w:spacing w:after="0" w:line="18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Interest expense on senior secured debt and subordinated debt decreased by $4.7 million. This was due primarily to the April 2013 repayment of $15.0 million in senior secured debt and to the reduction in the interest rate on the remaining senior secured debt from 16.0% to 13.0%. In addition, we reduced the balance of our outstanding subordinated renewable notes by $4.2 million from $23.3 million at December 31, 2012 to $19.1 million at December 31, 2013. The reduction in interest expense was also a result of our decreasing the blended interest rate on our subordinated renewable notes from 14.4% at December 31, 2012 to 12.5% at December 31, 2013.</w:t>
      </w:r>
    </w:p>
    <w:p>
      <w:pPr>
        <w:spacing w:after="0" w:line="188"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Interest expense on residual interest financing increased $701,000 in the year ended December 31, 2013 compared to the prior year. The increase is due to the establishment in April 2013 of a new $20 million residual interest financing. This was partially offset by the September 2013 repayment of the $13.8 million of indebtedness outstanding under the residual facility originally established in 2007.</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Interest expense on warehouse debt decreased by $1.9 million for the year ended December 31, 2013 compared to the prior year. Although we increased our contract purchases to $764.1 million for the year ended December 31, 2013 compared to $551.7 million in the prior period, recently we have relied less on warehouse credit facilities and more on unrestricted cash balances to fund receivables prior to securitization.</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43" w:name="page44"/>
    <w:bookmarkEnd w:id="43"/>
    <w:p>
      <w:pPr>
        <w:ind w:right="240" w:firstLine="324"/>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years ended December 31, 2013 and 2012:</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90"/>
              </w:rPr>
              <w:t>Year Ended December 31,</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Balance (1)</w:t>
            </w:r>
          </w:p>
        </w:tc>
        <w:tc>
          <w:tcPr>
            <w:tcW w:w="200" w:type="dxa"/>
            <w:vAlign w:val="bottom"/>
          </w:tcPr>
          <w:p>
            <w:pPr>
              <w:spacing w:after="0"/>
              <w:rPr>
                <w:sz w:val="20"/>
                <w:szCs w:val="2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Interest</w:t>
            </w: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EEEEEE"/>
            </w:tcBorders>
            <w:shd w:val="clear" w:color="auto" w:fill="EEEEEE"/>
          </w:tcPr>
          <w:p>
            <w:pPr>
              <w:spacing w:after="0"/>
              <w:rPr>
                <w:sz w:val="14"/>
                <w:szCs w:val="14"/>
                <w:color w:val="auto"/>
              </w:rPr>
            </w:pPr>
          </w:p>
        </w:tc>
        <w:tc>
          <w:tcPr>
            <w:tcW w:w="2220" w:type="dxa"/>
            <w:vAlign w:val="bottom"/>
            <w:tcBorders>
              <w:top w:val="single" w:sz="8" w:color="EEEEEE"/>
            </w:tcBorders>
            <w:gridSpan w:val="3"/>
            <w:shd w:val="clear" w:color="auto" w:fill="EEEEEE"/>
          </w:tcPr>
          <w:p>
            <w:pPr>
              <w:jc w:val="center"/>
              <w:ind w:right="420"/>
              <w:spacing w:after="0" w:line="170" w:lineRule="exact"/>
              <w:rPr>
                <w:sz w:val="20"/>
                <w:szCs w:val="20"/>
                <w:color w:val="auto"/>
              </w:rPr>
            </w:pPr>
            <w:r>
              <w:rPr>
                <w:rFonts w:ascii="Arial" w:cs="Arial" w:eastAsia="Arial" w:hAnsi="Arial"/>
                <w:sz w:val="18"/>
                <w:szCs w:val="18"/>
                <w:b w:val="1"/>
                <w:bCs w:val="1"/>
                <w:color w:val="auto"/>
                <w:w w:val="89"/>
              </w:rPr>
              <w:t>Interest Earning Assets</w:t>
            </w:r>
          </w:p>
        </w:tc>
        <w:tc>
          <w:tcPr>
            <w:tcW w:w="160" w:type="dxa"/>
            <w:vAlign w:val="bottom"/>
            <w:tcBorders>
              <w:top w:val="single" w:sz="8" w:color="EEEEEE"/>
            </w:tcBorders>
            <w:shd w:val="clear" w:color="auto" w:fill="EEEEEE"/>
          </w:tcPr>
          <w:p>
            <w:pPr>
              <w:spacing w:after="0"/>
              <w:rPr>
                <w:sz w:val="14"/>
                <w:szCs w:val="14"/>
                <w:color w:val="auto"/>
              </w:rPr>
            </w:pPr>
          </w:p>
        </w:tc>
        <w:tc>
          <w:tcPr>
            <w:tcW w:w="140" w:type="dxa"/>
            <w:vAlign w:val="bottom"/>
            <w:tcBorders>
              <w:top w:val="single" w:sz="8" w:color="auto"/>
            </w:tcBorders>
            <w:shd w:val="clear" w:color="auto" w:fill="EEEEEE"/>
          </w:tcPr>
          <w:p>
            <w:pPr>
              <w:spacing w:after="0"/>
              <w:rPr>
                <w:sz w:val="14"/>
                <w:szCs w:val="14"/>
                <w:color w:val="auto"/>
              </w:rPr>
            </w:pPr>
          </w:p>
        </w:tc>
        <w:tc>
          <w:tcPr>
            <w:tcW w:w="1040" w:type="dxa"/>
            <w:vAlign w:val="bottom"/>
            <w:tcBorders>
              <w:top w:val="single" w:sz="8" w:color="auto"/>
            </w:tcBorders>
            <w:shd w:val="clear" w:color="auto" w:fill="EEEEEE"/>
          </w:tcPr>
          <w:p>
            <w:pPr>
              <w:spacing w:after="0"/>
              <w:rPr>
                <w:sz w:val="14"/>
                <w:szCs w:val="14"/>
                <w:color w:val="auto"/>
              </w:rPr>
            </w:pPr>
          </w:p>
        </w:tc>
        <w:tc>
          <w:tcPr>
            <w:tcW w:w="340" w:type="dxa"/>
            <w:vAlign w:val="bottom"/>
            <w:tcBorders>
              <w:top w:val="single" w:sz="8" w:color="EEEEEE"/>
            </w:tcBorders>
            <w:shd w:val="clear" w:color="auto" w:fill="EEEEEE"/>
          </w:tcPr>
          <w:p>
            <w:pPr>
              <w:spacing w:after="0"/>
              <w:rPr>
                <w:sz w:val="14"/>
                <w:szCs w:val="14"/>
                <w:color w:val="auto"/>
              </w:rPr>
            </w:pPr>
          </w:p>
        </w:tc>
        <w:tc>
          <w:tcPr>
            <w:tcW w:w="20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60" w:type="dxa"/>
            <w:vAlign w:val="bottom"/>
            <w:tcBorders>
              <w:top w:val="single" w:sz="8" w:color="EEEEEE"/>
            </w:tcBorders>
            <w:shd w:val="clear" w:color="auto" w:fill="EEEEEE"/>
          </w:tcPr>
          <w:p>
            <w:pPr>
              <w:spacing w:after="0"/>
              <w:rPr>
                <w:sz w:val="14"/>
                <w:szCs w:val="14"/>
                <w:color w:val="auto"/>
              </w:rPr>
            </w:pPr>
          </w:p>
        </w:tc>
        <w:tc>
          <w:tcPr>
            <w:tcW w:w="11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20" w:type="dxa"/>
            <w:vAlign w:val="bottom"/>
            <w:tcBorders>
              <w:top w:val="single" w:sz="8" w:color="auto"/>
            </w:tcBorders>
            <w:shd w:val="clear" w:color="auto" w:fill="EEEEEE"/>
          </w:tcPr>
          <w:p>
            <w:pPr>
              <w:spacing w:after="0"/>
              <w:rPr>
                <w:sz w:val="14"/>
                <w:szCs w:val="14"/>
                <w:color w:val="auto"/>
              </w:rPr>
            </w:pPr>
          </w:p>
        </w:tc>
        <w:tc>
          <w:tcPr>
            <w:tcW w:w="102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80" w:type="dxa"/>
            <w:vAlign w:val="bottom"/>
            <w:tcBorders>
              <w:top w:val="single" w:sz="8" w:color="auto"/>
            </w:tcBorders>
            <w:shd w:val="clear" w:color="auto" w:fill="EEEEEE"/>
          </w:tcPr>
          <w:p>
            <w:pPr>
              <w:spacing w:after="0"/>
              <w:rPr>
                <w:sz w:val="14"/>
                <w:szCs w:val="14"/>
                <w:color w:val="auto"/>
              </w:rPr>
            </w:pPr>
          </w:p>
        </w:tc>
        <w:tc>
          <w:tcPr>
            <w:tcW w:w="960" w:type="dxa"/>
            <w:vAlign w:val="bottom"/>
            <w:tcBorders>
              <w:top w:val="single" w:sz="8" w:color="auto"/>
            </w:tcBorders>
            <w:shd w:val="clear" w:color="auto" w:fill="EEEEEE"/>
          </w:tcPr>
          <w:p>
            <w:pPr>
              <w:spacing w:after="0"/>
              <w:rPr>
                <w:sz w:val="14"/>
                <w:szCs w:val="14"/>
                <w:color w:val="auto"/>
              </w:rPr>
            </w:pPr>
          </w:p>
        </w:tc>
        <w:tc>
          <w:tcPr>
            <w:tcW w:w="320" w:type="dxa"/>
            <w:vAlign w:val="bottom"/>
            <w:tcBorders>
              <w:top w:val="single" w:sz="8" w:color="EEEEEE"/>
            </w:tcBorders>
            <w:shd w:val="clear" w:color="auto" w:fill="EEEEEE"/>
          </w:tcPr>
          <w:p>
            <w:pPr>
              <w:spacing w:after="0"/>
              <w:rPr>
                <w:sz w:val="14"/>
                <w:szCs w:val="14"/>
                <w:color w:val="auto"/>
              </w:rPr>
            </w:pPr>
          </w:p>
        </w:tc>
        <w:tc>
          <w:tcPr>
            <w:tcW w:w="1140" w:type="dxa"/>
            <w:vAlign w:val="bottom"/>
            <w:tcBorders>
              <w:top w:val="single" w:sz="8" w:color="auto"/>
            </w:tcBorders>
            <w:shd w:val="clear" w:color="auto" w:fill="EEEEEE"/>
          </w:tcPr>
          <w:p>
            <w:pPr>
              <w:spacing w:after="0"/>
              <w:rPr>
                <w:sz w:val="14"/>
                <w:szCs w:val="14"/>
                <w:color w:val="auto"/>
              </w:rPr>
            </w:pPr>
          </w:p>
        </w:tc>
        <w:tc>
          <w:tcPr>
            <w:tcW w:w="100" w:type="dxa"/>
            <w:vAlign w:val="bottom"/>
            <w:tcBorders>
              <w:top w:val="single" w:sz="8" w:color="EEEEEE"/>
            </w:tcBorders>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0" w:type="dxa"/>
            <w:vAlign w:val="bottom"/>
            <w:tcBorders>
              <w:top w:val="single" w:sz="8" w:color="auto"/>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40" w:type="dxa"/>
            <w:vAlign w:val="bottom"/>
            <w:tcBorders>
              <w:top w:val="single" w:sz="8" w:color="EEEEEE"/>
            </w:tcBorders>
            <w:shd w:val="clear" w:color="auto" w:fill="EEEEEE"/>
          </w:tcPr>
          <w:p>
            <w:pPr>
              <w:spacing w:after="0" w:line="20" w:lineRule="exact"/>
              <w:rPr>
                <w:sz w:val="1"/>
                <w:szCs w:val="1"/>
                <w:color w:val="auto"/>
              </w:rPr>
            </w:pPr>
          </w:p>
        </w:tc>
        <w:tc>
          <w:tcPr>
            <w:tcW w:w="3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2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Finance receivables gross (2)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1,015,404</w:t>
            </w:r>
          </w:p>
        </w:tc>
        <w:tc>
          <w:tcPr>
            <w:tcW w:w="3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225,268</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662,173</w:t>
            </w: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152,977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31,294</w:t>
            </w:r>
          </w:p>
        </w:tc>
        <w:tc>
          <w:tcPr>
            <w:tcW w:w="20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6,062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103,571</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22,337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20" w:type="dxa"/>
            <w:vAlign w:val="bottom"/>
            <w:tcBorders>
              <w:bottom w:val="single" w:sz="8" w:color="EEEEEE"/>
            </w:tcBorders>
          </w:tcPr>
          <w:p>
            <w:pPr>
              <w:spacing w:after="0"/>
              <w:rPr>
                <w:sz w:val="21"/>
                <w:szCs w:val="21"/>
                <w:color w:val="auto"/>
              </w:rPr>
            </w:pPr>
          </w:p>
        </w:tc>
        <w:tc>
          <w:tcPr>
            <w:tcW w:w="120" w:type="dxa"/>
            <w:vAlign w:val="bottom"/>
            <w:tcBorders>
              <w:bottom w:val="single" w:sz="8" w:color="EEEEEE"/>
            </w:tcBorders>
          </w:tcPr>
          <w:p>
            <w:pPr>
              <w:spacing w:after="0"/>
              <w:rPr>
                <w:sz w:val="21"/>
                <w:szCs w:val="21"/>
                <w:color w:val="auto"/>
              </w:rPr>
            </w:pPr>
          </w:p>
        </w:tc>
        <w:tc>
          <w:tcPr>
            <w:tcW w:w="1800" w:type="dxa"/>
            <w:vAlign w:val="bottom"/>
            <w:tcBorders>
              <w:bottom w:val="single" w:sz="8" w:color="EEEEEE"/>
            </w:tcBorders>
          </w:tcPr>
          <w:p>
            <w:pPr>
              <w:spacing w:after="0"/>
              <w:rPr>
                <w:sz w:val="21"/>
                <w:szCs w:val="21"/>
                <w:color w:val="auto"/>
              </w:rPr>
            </w:pPr>
          </w:p>
        </w:tc>
        <w:tc>
          <w:tcPr>
            <w:tcW w:w="140" w:type="dxa"/>
            <w:vAlign w:val="bottom"/>
            <w:tcBorders>
              <w:bottom w:val="single" w:sz="8" w:color="EEEEEE"/>
            </w:tcBorders>
          </w:tcPr>
          <w:p>
            <w:pPr>
              <w:spacing w:after="0"/>
              <w:rPr>
                <w:sz w:val="21"/>
                <w:szCs w:val="21"/>
                <w:color w:val="auto"/>
              </w:rPr>
            </w:pPr>
          </w:p>
        </w:tc>
        <w:tc>
          <w:tcPr>
            <w:tcW w:w="280" w:type="dxa"/>
            <w:vAlign w:val="bottom"/>
            <w:tcBorders>
              <w:bottom w:val="single" w:sz="8" w:color="EEEEEE"/>
            </w:tcBorders>
          </w:tcPr>
          <w:p>
            <w:pPr>
              <w:spacing w:after="0"/>
              <w:rPr>
                <w:sz w:val="21"/>
                <w:szCs w:val="21"/>
                <w:color w:val="auto"/>
              </w:rPr>
            </w:pPr>
          </w:p>
        </w:tc>
        <w:tc>
          <w:tcPr>
            <w:tcW w:w="160" w:type="dxa"/>
            <w:vAlign w:val="bottom"/>
            <w:tcBorders>
              <w:bottom w:val="single" w:sz="8" w:color="EEEEEE"/>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1,046,698</w:t>
            </w:r>
          </w:p>
        </w:tc>
        <w:tc>
          <w:tcPr>
            <w:tcW w:w="340" w:type="dxa"/>
            <w:vAlign w:val="bottom"/>
            <w:tcBorders>
              <w:bottom w:val="single" w:sz="8" w:color="EEEEEE"/>
            </w:tcBorders>
          </w:tcPr>
          <w:p>
            <w:pPr>
              <w:spacing w:after="0"/>
              <w:rPr>
                <w:sz w:val="21"/>
                <w:szCs w:val="21"/>
                <w:color w:val="auto"/>
              </w:rPr>
            </w:pPr>
          </w:p>
        </w:tc>
        <w:tc>
          <w:tcPr>
            <w:tcW w:w="200" w:type="dxa"/>
            <w:vAlign w:val="bottom"/>
            <w:tcBorders>
              <w:top w:val="single" w:sz="8" w:color="auto"/>
              <w:bottom w:val="single" w:sz="8" w:color="EEEEEE"/>
            </w:tcBorders>
          </w:tcPr>
          <w:p>
            <w:pPr>
              <w:spacing w:after="0"/>
              <w:rPr>
                <w:sz w:val="21"/>
                <w:szCs w:val="21"/>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231,330</w:t>
            </w:r>
          </w:p>
        </w:tc>
        <w:tc>
          <w:tcPr>
            <w:tcW w:w="360" w:type="dxa"/>
            <w:vAlign w:val="bottom"/>
            <w:tcBorders>
              <w:bottom w:val="single" w:sz="8" w:color="EEEEEE"/>
            </w:tcBorders>
          </w:tcPr>
          <w:p>
            <w:pPr>
              <w:spacing w:after="0"/>
              <w:rPr>
                <w:sz w:val="21"/>
                <w:szCs w:val="21"/>
                <w:color w:val="auto"/>
              </w:rPr>
            </w:pPr>
          </w:p>
        </w:tc>
        <w:tc>
          <w:tcPr>
            <w:tcW w:w="148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765,744</w:t>
            </w:r>
          </w:p>
        </w:tc>
        <w:tc>
          <w:tcPr>
            <w:tcW w:w="320" w:type="dxa"/>
            <w:vAlign w:val="bottom"/>
            <w:tcBorders>
              <w:bottom w:val="single" w:sz="8" w:color="EEEEEE"/>
            </w:tcBorders>
          </w:tcPr>
          <w:p>
            <w:pPr>
              <w:spacing w:after="0"/>
              <w:rPr>
                <w:sz w:val="21"/>
                <w:szCs w:val="21"/>
                <w:color w:val="auto"/>
              </w:rPr>
            </w:pPr>
          </w:p>
        </w:tc>
        <w:tc>
          <w:tcPr>
            <w:tcW w:w="180" w:type="dxa"/>
            <w:vAlign w:val="bottom"/>
            <w:tcBorders>
              <w:top w:val="single" w:sz="8" w:color="auto"/>
              <w:bottom w:val="single" w:sz="8" w:color="EEEEEE"/>
            </w:tcBorders>
          </w:tcPr>
          <w:p>
            <w:pPr>
              <w:spacing w:after="0"/>
              <w:rPr>
                <w:sz w:val="21"/>
                <w:szCs w:val="21"/>
                <w:color w:val="auto"/>
              </w:rPr>
            </w:pPr>
          </w:p>
        </w:tc>
        <w:tc>
          <w:tcPr>
            <w:tcW w:w="960" w:type="dxa"/>
            <w:vAlign w:val="bottom"/>
            <w:tcBorders>
              <w:top w:val="single" w:sz="8" w:color="auto"/>
              <w:bottom w:val="single" w:sz="8" w:color="EEEEEE"/>
            </w:tcBorders>
          </w:tcPr>
          <w:p>
            <w:pPr>
              <w:jc w:val="right"/>
              <w:spacing w:after="0"/>
              <w:rPr>
                <w:sz w:val="20"/>
                <w:szCs w:val="20"/>
                <w:color w:val="auto"/>
              </w:rPr>
            </w:pPr>
            <w:r>
              <w:rPr>
                <w:rFonts w:ascii="Arial" w:cs="Arial" w:eastAsia="Arial" w:hAnsi="Arial"/>
                <w:sz w:val="18"/>
                <w:szCs w:val="18"/>
                <w:color w:val="auto"/>
              </w:rPr>
              <w:t>175,314</w:t>
            </w:r>
          </w:p>
        </w:tc>
        <w:tc>
          <w:tcPr>
            <w:tcW w:w="320" w:type="dxa"/>
            <w:vAlign w:val="bottom"/>
            <w:tcBorders>
              <w:bottom w:val="single" w:sz="8" w:color="EEEEEE"/>
            </w:tcBorders>
          </w:tcPr>
          <w:p>
            <w:pPr>
              <w:spacing w:after="0"/>
              <w:rPr>
                <w:sz w:val="21"/>
                <w:szCs w:val="21"/>
                <w:color w:val="auto"/>
              </w:rPr>
            </w:pPr>
          </w:p>
        </w:tc>
        <w:tc>
          <w:tcPr>
            <w:tcW w:w="12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FFFFFF"/>
              </w:rPr>
              <w:t>$</w:t>
            </w: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gridSpan w:val="5"/>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FFFFFF"/>
              </w:rPr>
              <w:t>$</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40,285</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5,003</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36,558</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6,928</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24,107</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3,330</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15,716</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2,629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measured at fair value</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27,506</w:t>
            </w:r>
          </w:p>
        </w:tc>
        <w:tc>
          <w:tcPr>
            <w:tcW w:w="20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3,877</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101,381</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15,877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941,591</w:t>
            </w:r>
          </w:p>
        </w:tc>
        <w:tc>
          <w:tcPr>
            <w:tcW w:w="20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34,744</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629,987</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38,095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spacing w:after="0"/>
              <w:rPr>
                <w:sz w:val="20"/>
                <w:szCs w:val="20"/>
                <w:color w:val="auto"/>
              </w:rPr>
            </w:pPr>
            <w:r>
              <w:rPr>
                <w:rFonts w:ascii="Arial" w:cs="Arial" w:eastAsia="Arial" w:hAnsi="Arial"/>
                <w:sz w:val="18"/>
                <w:szCs w:val="18"/>
                <w:color w:val="auto"/>
                <w:w w:val="93"/>
              </w:rPr>
              <w:t>Senior secured debt, related party</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41,906</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8,064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53,654</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12,454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6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21,763</w:t>
            </w:r>
          </w:p>
        </w:tc>
        <w:tc>
          <w:tcPr>
            <w:tcW w:w="2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3,161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21,564</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3,439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80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280" w:type="dxa"/>
            <w:vAlign w:val="bottom"/>
            <w:tcBorders>
              <w:top w:val="single" w:sz="8" w:color="EEEEEE"/>
              <w:bottom w:val="single" w:sz="8" w:color="EEEEEE"/>
            </w:tcBorders>
            <w:shd w:val="clear" w:color="auto" w:fill="EEEEEE"/>
          </w:tcPr>
          <w:p>
            <w:pPr>
              <w:spacing w:after="0"/>
              <w:rPr>
                <w:sz w:val="18"/>
                <w:szCs w:val="18"/>
                <w:color w:val="auto"/>
              </w:rPr>
            </w:pPr>
          </w:p>
        </w:tc>
        <w:tc>
          <w:tcPr>
            <w:tcW w:w="16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1,097,158</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EEEEEE"/>
            </w:tcBorders>
            <w:shd w:val="clear" w:color="auto" w:fill="EEEEEE"/>
          </w:tcPr>
          <w:p>
            <w:pPr>
              <w:spacing w:after="0"/>
              <w:rPr>
                <w:sz w:val="18"/>
                <w:szCs w:val="18"/>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58,179</w:t>
            </w:r>
          </w:p>
        </w:tc>
        <w:tc>
          <w:tcPr>
            <w:tcW w:w="360" w:type="dxa"/>
            <w:vAlign w:val="bottom"/>
            <w:tcBorders>
              <w:top w:val="single" w:sz="8" w:color="EEEEEE"/>
              <w:bottom w:val="single" w:sz="8" w:color="EEEEEE"/>
            </w:tcBorders>
            <w:shd w:val="clear" w:color="auto" w:fill="EEEEEE"/>
          </w:tcPr>
          <w:p>
            <w:pPr>
              <w:spacing w:after="0"/>
              <w:rPr>
                <w:sz w:val="18"/>
                <w:szCs w:val="18"/>
                <w:color w:val="auto"/>
              </w:rPr>
            </w:pPr>
          </w:p>
        </w:tc>
        <w:tc>
          <w:tcPr>
            <w:tcW w:w="1480" w:type="dxa"/>
            <w:vAlign w:val="bottom"/>
            <w:tcBorders>
              <w:top w:val="single" w:sz="8" w:color="EEEEEE"/>
              <w:bottom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858,860</w:t>
            </w:r>
          </w:p>
        </w:tc>
        <w:tc>
          <w:tcPr>
            <w:tcW w:w="3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79,422</w:t>
            </w:r>
          </w:p>
        </w:tc>
        <w:tc>
          <w:tcPr>
            <w:tcW w:w="320" w:type="dxa"/>
            <w:vAlign w:val="bottom"/>
            <w:tcBorders>
              <w:top w:val="single" w:sz="8" w:color="EEEEEE"/>
              <w:bottom w:val="single" w:sz="8" w:color="EEEEEE"/>
            </w:tcBorders>
            <w:shd w:val="clear" w:color="auto" w:fill="EEEEEE"/>
          </w:tcPr>
          <w:p>
            <w:pPr>
              <w:spacing w:after="0"/>
              <w:rPr>
                <w:sz w:val="18"/>
                <w:szCs w:val="18"/>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80" w:type="dxa"/>
            <w:vAlign w:val="bottom"/>
            <w:tcBorders>
              <w:bottom w:val="single" w:sz="8" w:color="EEEEEE"/>
            </w:tcBorders>
          </w:tcPr>
          <w:p>
            <w:pPr>
              <w:spacing w:after="0"/>
              <w:rPr>
                <w:sz w:val="17"/>
                <w:szCs w:val="17"/>
                <w:color w:val="auto"/>
              </w:rPr>
            </w:pPr>
          </w:p>
        </w:tc>
        <w:tc>
          <w:tcPr>
            <w:tcW w:w="1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340" w:type="dxa"/>
            <w:vAlign w:val="bottom"/>
            <w:tcBorders>
              <w:bottom w:val="single" w:sz="8" w:color="EEEEEE"/>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116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20" w:type="dxa"/>
            <w:vAlign w:val="bottom"/>
            <w:tcBorders>
              <w:bottom w:val="single" w:sz="8" w:color="EEEEEE"/>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60" w:type="dxa"/>
            <w:vAlign w:val="bottom"/>
            <w:tcBorders>
              <w:bottom w:val="single" w:sz="8" w:color="EEEEEE"/>
            </w:tcBorders>
            <w:shd w:val="clear" w:color="auto" w:fill="EEEEEE"/>
          </w:tcPr>
          <w:p>
            <w:pPr>
              <w:spacing w:after="0"/>
              <w:rPr>
                <w:sz w:val="18"/>
                <w:szCs w:val="18"/>
                <w:color w:val="auto"/>
              </w:rPr>
            </w:pPr>
          </w:p>
        </w:tc>
        <w:tc>
          <w:tcPr>
            <w:tcW w:w="140" w:type="dxa"/>
            <w:vAlign w:val="bottom"/>
            <w:tcBorders>
              <w:bottom w:val="single" w:sz="8" w:color="EEEEEE"/>
            </w:tcBorders>
            <w:shd w:val="clear" w:color="auto" w:fill="EEEEEE"/>
          </w:tcPr>
          <w:p>
            <w:pPr>
              <w:spacing w:after="0"/>
              <w:rPr>
                <w:sz w:val="18"/>
                <w:szCs w:val="18"/>
                <w:color w:val="auto"/>
              </w:rPr>
            </w:pPr>
          </w:p>
        </w:tc>
        <w:tc>
          <w:tcPr>
            <w:tcW w:w="1040" w:type="dxa"/>
            <w:vAlign w:val="bottom"/>
            <w:tcBorders>
              <w:bottom w:val="single" w:sz="8" w:color="EEEEEE"/>
            </w:tcBorders>
            <w:shd w:val="clear" w:color="auto" w:fill="EEEEEE"/>
          </w:tcPr>
          <w:p>
            <w:pPr>
              <w:spacing w:after="0"/>
              <w:rPr>
                <w:sz w:val="18"/>
                <w:szCs w:val="18"/>
                <w:color w:val="auto"/>
              </w:rPr>
            </w:pPr>
          </w:p>
        </w:tc>
        <w:tc>
          <w:tcPr>
            <w:tcW w:w="340" w:type="dxa"/>
            <w:vAlign w:val="bottom"/>
            <w:tcBorders>
              <w:bottom w:val="single" w:sz="8" w:color="EEEEEE"/>
            </w:tcBorders>
            <w:shd w:val="clear" w:color="auto" w:fill="EEEEEE"/>
          </w:tcPr>
          <w:p>
            <w:pPr>
              <w:spacing w:after="0"/>
              <w:rPr>
                <w:sz w:val="18"/>
                <w:szCs w:val="18"/>
                <w:color w:val="auto"/>
              </w:rPr>
            </w:pPr>
          </w:p>
        </w:tc>
        <w:tc>
          <w:tcPr>
            <w:tcW w:w="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173,151</w:t>
            </w:r>
          </w:p>
        </w:tc>
        <w:tc>
          <w:tcPr>
            <w:tcW w:w="360" w:type="dxa"/>
            <w:vAlign w:val="bottom"/>
            <w:tcBorders>
              <w:bottom w:val="single" w:sz="8" w:color="EEEEEE"/>
            </w:tcBorders>
            <w:shd w:val="clear" w:color="auto" w:fill="EEEEEE"/>
          </w:tcPr>
          <w:p>
            <w:pPr>
              <w:spacing w:after="0"/>
              <w:rPr>
                <w:sz w:val="18"/>
                <w:szCs w:val="18"/>
                <w:color w:val="auto"/>
              </w:rPr>
            </w:pPr>
          </w:p>
        </w:tc>
        <w:tc>
          <w:tcPr>
            <w:tcW w:w="116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EEEEEE"/>
            </w:tcBorders>
            <w:shd w:val="clear" w:color="auto" w:fill="EEEEEE"/>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102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EEEEEE"/>
            </w:tcBorders>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95,892</w:t>
            </w:r>
          </w:p>
        </w:tc>
        <w:tc>
          <w:tcPr>
            <w:tcW w:w="320" w:type="dxa"/>
            <w:vAlign w:val="bottom"/>
            <w:tcBorders>
              <w:bottom w:val="single" w:sz="8" w:color="EEEEEE"/>
            </w:tcBorders>
            <w:shd w:val="clear" w:color="auto" w:fill="EEEEEE"/>
          </w:tcPr>
          <w:p>
            <w:pPr>
              <w:spacing w:after="0"/>
              <w:rPr>
                <w:sz w:val="18"/>
                <w:szCs w:val="18"/>
                <w:color w:val="auto"/>
              </w:rPr>
            </w:pPr>
          </w:p>
        </w:tc>
        <w:tc>
          <w:tcPr>
            <w:tcW w:w="114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gridSpan w:val="6"/>
            <w:vMerge w:val="restart"/>
          </w:tcPr>
          <w:p>
            <w:pPr>
              <w:spacing w:after="0"/>
              <w:rPr>
                <w:sz w:val="20"/>
                <w:szCs w:val="20"/>
                <w:color w:val="auto"/>
              </w:rPr>
            </w:pPr>
            <w:r>
              <w:rPr>
                <w:rFonts w:ascii="Arial" w:cs="Arial" w:eastAsia="Arial" w:hAnsi="Arial"/>
                <w:sz w:val="18"/>
                <w:szCs w:val="18"/>
                <w:color w:val="auto"/>
              </w:rPr>
              <w:t>Net interest margin (3)</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line="20" w:lineRule="exact"/>
              <w:rPr>
                <w:sz w:val="1"/>
                <w:szCs w:val="1"/>
                <w:color w:val="auto"/>
              </w:rPr>
            </w:pPr>
          </w:p>
        </w:tc>
      </w:tr>
      <w:tr>
        <w:trPr>
          <w:trHeight w:val="197"/>
        </w:trPr>
        <w:tc>
          <w:tcPr>
            <w:tcW w:w="258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w:t>
            </w:r>
          </w:p>
        </w:tc>
        <w:tc>
          <w:tcPr>
            <w:tcW w:w="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assets to average interest</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gridSpan w:val="5"/>
            <w:shd w:val="clear" w:color="auto" w:fill="EEEEEE"/>
          </w:tcPr>
          <w:p>
            <w:pPr>
              <w:ind w:left="180"/>
              <w:spacing w:after="0"/>
              <w:rPr>
                <w:sz w:val="20"/>
                <w:szCs w:val="20"/>
                <w:color w:val="auto"/>
              </w:rPr>
            </w:pPr>
            <w:r>
              <w:rPr>
                <w:rFonts w:ascii="Arial" w:cs="Arial" w:eastAsia="Arial" w:hAnsi="Arial"/>
                <w:sz w:val="18"/>
                <w:szCs w:val="18"/>
                <w:color w:val="auto"/>
              </w:rPr>
              <w:t>bearing liabilities</w:t>
            </w:r>
          </w:p>
        </w:tc>
        <w:tc>
          <w:tcPr>
            <w:tcW w:w="16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89%</w:t>
            </w: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Net of deferrred fees and direct costs.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7"/>
          </w:tcPr>
          <w:p>
            <w:pPr>
              <w:jc w:val="center"/>
              <w:ind w:left="990"/>
              <w:spacing w:after="0"/>
              <w:rPr>
                <w:sz w:val="20"/>
                <w:szCs w:val="20"/>
                <w:color w:val="auto"/>
              </w:rPr>
            </w:pPr>
            <w:r>
              <w:rPr>
                <w:rFonts w:ascii="Arial" w:cs="Arial" w:eastAsia="Arial" w:hAnsi="Arial"/>
                <w:sz w:val="18"/>
                <w:szCs w:val="18"/>
                <w:b w:val="1"/>
                <w:bCs w:val="1"/>
                <w:color w:val="auto"/>
                <w:w w:val="90"/>
              </w:rPr>
              <w:t>Year Ended December 31, 2013</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7"/>
          </w:tcPr>
          <w:p>
            <w:pPr>
              <w:jc w:val="center"/>
              <w:ind w:left="990"/>
              <w:spacing w:after="0"/>
              <w:rPr>
                <w:sz w:val="20"/>
                <w:szCs w:val="20"/>
                <w:color w:val="auto"/>
              </w:rPr>
            </w:pPr>
            <w:r>
              <w:rPr>
                <w:rFonts w:ascii="Arial" w:cs="Arial" w:eastAsia="Arial" w:hAnsi="Arial"/>
                <w:sz w:val="18"/>
                <w:szCs w:val="18"/>
                <w:b w:val="1"/>
                <w:bCs w:val="1"/>
                <w:color w:val="auto"/>
                <w:w w:val="90"/>
              </w:rPr>
              <w:t>Compared to December 31, 2012</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gridSpan w:val="2"/>
          </w:tcPr>
          <w:p>
            <w:pPr>
              <w:jc w:val="right"/>
              <w:ind w:right="960"/>
              <w:spacing w:after="0" w:line="205"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7"/>
                <w:szCs w:val="17"/>
                <w:color w:val="auto"/>
              </w:rPr>
            </w:pPr>
          </w:p>
        </w:tc>
        <w:tc>
          <w:tcPr>
            <w:tcW w:w="1640" w:type="dxa"/>
            <w:vAlign w:val="bottom"/>
            <w:gridSpan w:val="2"/>
          </w:tcPr>
          <w:p>
            <w:pPr>
              <w:jc w:val="right"/>
              <w:ind w:right="520"/>
              <w:spacing w:after="0" w:line="205" w:lineRule="exact"/>
              <w:rPr>
                <w:sz w:val="20"/>
                <w:szCs w:val="20"/>
                <w:color w:val="auto"/>
              </w:rPr>
            </w:pPr>
            <w:r>
              <w:rPr>
                <w:rFonts w:ascii="Arial" w:cs="Arial" w:eastAsia="Arial" w:hAnsi="Arial"/>
                <w:sz w:val="18"/>
                <w:szCs w:val="18"/>
                <w:b w:val="1"/>
                <w:bCs w:val="1"/>
                <w:color w:val="auto"/>
              </w:rPr>
              <w:t>Change Due</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230"/>
              <w:spacing w:after="0" w:line="205" w:lineRule="exact"/>
              <w:rPr>
                <w:sz w:val="20"/>
                <w:szCs w:val="20"/>
                <w:color w:val="auto"/>
              </w:rPr>
            </w:pPr>
            <w:r>
              <w:rPr>
                <w:rFonts w:ascii="Arial" w:cs="Arial" w:eastAsia="Arial" w:hAnsi="Arial"/>
                <w:sz w:val="18"/>
                <w:szCs w:val="18"/>
                <w:b w:val="1"/>
                <w:bCs w:val="1"/>
                <w:color w:val="auto"/>
                <w:w w:val="98"/>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960" w:type="dxa"/>
            <w:vAlign w:val="bottom"/>
            <w:gridSpan w:val="4"/>
            <w:vMerge w:val="restart"/>
          </w:tcPr>
          <w:p>
            <w:pPr>
              <w:jc w:val="center"/>
              <w:ind w:right="900"/>
              <w:spacing w:after="0"/>
              <w:rPr>
                <w:sz w:val="20"/>
                <w:szCs w:val="20"/>
                <w:color w:val="auto"/>
              </w:rPr>
            </w:pPr>
            <w:r>
              <w:rPr>
                <w:rFonts w:ascii="Arial" w:cs="Arial" w:eastAsia="Arial" w:hAnsi="Arial"/>
                <w:sz w:val="18"/>
                <w:szCs w:val="18"/>
                <w:b w:val="1"/>
                <w:bCs w:val="1"/>
                <w:color w:val="auto"/>
                <w:w w:val="88"/>
              </w:rPr>
              <w:t>Interest Earning Assets</w:t>
            </w: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0"/>
                <w:szCs w:val="20"/>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to Volume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60" w:type="dxa"/>
            <w:vAlign w:val="bottom"/>
            <w:gridSpan w:val="4"/>
            <w:vMerge w:val="continue"/>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center"/>
              <w:ind w:right="40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4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72,291</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81,604</w:t>
            </w:r>
          </w:p>
        </w:tc>
        <w:tc>
          <w:tcPr>
            <w:tcW w:w="340" w:type="dxa"/>
            <w:vAlign w:val="bottom"/>
            <w:gridSpan w:val="2"/>
            <w:shd w:val="clear" w:color="auto" w:fill="EEEEEE"/>
          </w:tcPr>
          <w:p>
            <w:pPr>
              <w:jc w:val="right"/>
              <w:ind w:right="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Finance receivables measured at fair value</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(16,275)</w:t>
            </w:r>
          </w:p>
        </w:tc>
        <w:tc>
          <w:tcPr>
            <w:tcW w:w="16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(15,588)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56,016</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66,016</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20" w:type="dxa"/>
            <w:vAlign w:val="bottom"/>
            <w:gridSpan w:val="5"/>
          </w:tcPr>
          <w:p>
            <w:pPr>
              <w:jc w:val="center"/>
              <w:ind w:left="770"/>
              <w:spacing w:after="0" w:line="176" w:lineRule="exact"/>
              <w:rPr>
                <w:sz w:val="20"/>
                <w:szCs w:val="20"/>
                <w:color w:val="auto"/>
              </w:rPr>
            </w:pPr>
            <w:r>
              <w:rPr>
                <w:rFonts w:ascii="Arial" w:cs="Arial" w:eastAsia="Arial" w:hAnsi="Arial"/>
                <w:sz w:val="18"/>
                <w:szCs w:val="18"/>
                <w:b w:val="1"/>
                <w:bCs w:val="1"/>
                <w:color w:val="auto"/>
                <w:w w:val="91"/>
              </w:rPr>
              <w:t>Interest Bearing Liabilities</w:t>
            </w: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(1,925)</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1,404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(12,000)</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(11,569)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(3,351)</w:t>
            </w:r>
          </w:p>
        </w:tc>
        <w:tc>
          <w:tcPr>
            <w:tcW w:w="16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18,843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(4,390)</w:t>
            </w:r>
          </w:p>
        </w:tc>
        <w:tc>
          <w:tcPr>
            <w:tcW w:w="1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(2,727)</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(278)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(21,243)</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6,689</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(27,932)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7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78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900" w:type="dxa"/>
            <w:vAlign w:val="bottom"/>
            <w:tcBorders>
              <w:bottom w:val="single" w:sz="8" w:color="EEEEEE"/>
            </w:tcBorders>
          </w:tcPr>
          <w:p>
            <w:pPr>
              <w:spacing w:after="0"/>
              <w:rPr>
                <w:sz w:val="19"/>
                <w:szCs w:val="19"/>
                <w:color w:val="auto"/>
              </w:rPr>
            </w:pPr>
          </w:p>
        </w:tc>
        <w:tc>
          <w:tcPr>
            <w:tcW w:w="1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10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77,259</w:t>
            </w:r>
          </w:p>
        </w:tc>
        <w:tc>
          <w:tcPr>
            <w:tcW w:w="3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59,327</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17,932</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44" w:name="page45"/>
    <w:bookmarkEnd w:id="44"/>
    <w:p>
      <w:pPr>
        <w:ind w:firstLine="324"/>
        <w:spacing w:after="0" w:line="276" w:lineRule="auto"/>
        <w:rPr>
          <w:sz w:val="20"/>
          <w:szCs w:val="20"/>
          <w:color w:val="auto"/>
        </w:rPr>
      </w:pPr>
      <w:r>
        <w:rPr>
          <w:rFonts w:ascii="Arial" w:cs="Arial" w:eastAsia="Arial" w:hAnsi="Arial"/>
          <w:sz w:val="17"/>
          <w:szCs w:val="17"/>
          <w:color w:val="auto"/>
        </w:rPr>
        <w:t>Provision for credit losses was $76.9 million for the year ended December 31, 2013, an increase of $43.4 million, or 129.5% compared to the prior year and represented 36.5%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Consequently, the increase in provision expense is the result of the increase in contract purchases during the last year and the larger portfolio owned by our consolidated subsidiaries compared to the prior year.</w:t>
      </w:r>
    </w:p>
    <w:p>
      <w:pPr>
        <w:spacing w:after="0" w:line="17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$2.7 million, or 25.3%, to $13.4 million during the year ended December 31, 2013, compared to $10.7 million in the prior year, and represented 6.3% of total operating expenses. For the year ended December 31, 2013, we purchased 48,995 contracts representing $764.1 million in receivables compared to 36,030 contracts representing $551.7 million in receivables in the prior year.</w:t>
      </w:r>
    </w:p>
    <w:p>
      <w:pPr>
        <w:spacing w:after="0" w:line="193"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Occupancy expenses decreased by $286,000 or 9.9%, to $2.6 million compared to $2.9 million in the previous year and represented 1.2% of total operating expenses.</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Depreciation and amortization expenses decreased by $106,000 or 19.5%, to $437,000 compared to $543,000 in the previous year and represented 0.2% of total operating expenses.</w:t>
      </w:r>
    </w:p>
    <w:p>
      <w:pPr>
        <w:spacing w:after="0" w:line="17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For the year ended December 31, 2013, we recorded income tax expense of $16.2 million, representing a 43.5% income tax rate. In the prior year, we recorded $2.6 million of net tax expense and reduced our valuation allowance for our deferred tax assets by $60.6 million, which resulted in a net tax benefit of $60.2 million. At December 31, 2012, we had reported five consecutive quarters of increasing profitability, observed improvement in credit metrics, and produced reliable internal financial projections. Furthermore, we had demonstrated an ability to increase our new contract purchases, grow our managed portfolio and obtain cost effective short- and long-term financing for our finance receivables. As a result of these and other factors, we determined at December 31, 2013 that, based on the weight of the available objective evidence, it was more likely than not that we would generate sufficient future taxable income to utilize our deferred tax assets. Accordingly, we reversed the related valuation allowance. However, if future events change our expected realization of our deferred tax assets, we may be required to reestablish the related valuation allowance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business requires substantial cash to support purchases of automobile contracts and other operating activities. Our primary sources of cash have been cash flow from operating activities, including proceeds from term securitization transactions and other sales of automobile contracts, amounts borrowed under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securitized portfolios of automobile contracts in which we have retained a residual ownership interest and the related spread accounts. Our primary uses of cash have been the purchases of automobile contracts, repayment of amounts borrowed under warehouse credit facilities and otherwise, operating expenses such as employee, interest, occupancy expenses and other general and administrative expenses, the establishment of spread accounts and initial overcollateralization, if any, and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portfolios and their related spread accounts), the rate of expansion or contraction in our managed portfolio, and the terms upon which we are able to purchase, sell, and borrow against automobile contracts.</w:t>
      </w:r>
    </w:p>
    <w:p>
      <w:pPr>
        <w:spacing w:after="0" w:line="173"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Net cash provided by operating activities for the years ended December 31, 2013 and 2012 was $99.4 million and $35.0 million, respectively. Net cash from operating activities is generally provided by net income from operations adjusted for significant non-cash items such as our provision for credit losses, provision for contingent liabilities, accretion of deferred acquisition fees, the $10.9 million gain on cancellation of debt in 2013 and, in 2012, the net change in our deferred tax assets of $62.8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5" w:name="page46"/>
    <w:bookmarkEnd w:id="45"/>
    <w:p>
      <w:pPr>
        <w:jc w:val="both"/>
        <w:ind w:right="100" w:firstLine="324"/>
        <w:spacing w:after="0" w:line="259" w:lineRule="auto"/>
        <w:rPr>
          <w:sz w:val="20"/>
          <w:szCs w:val="20"/>
          <w:color w:val="auto"/>
        </w:rPr>
      </w:pPr>
      <w:r>
        <w:rPr>
          <w:rFonts w:ascii="Arial" w:cs="Arial" w:eastAsia="Arial" w:hAnsi="Arial"/>
          <w:sz w:val="18"/>
          <w:szCs w:val="18"/>
          <w:color w:val="auto"/>
        </w:rPr>
        <w:t>Net cash used in investing activities for the year ended December 31, 2013 was $409.6 million compared to net cash used in investing activities of $91.5 million in 2012. Cash provided by investing activities primarily results from principal payments and other proceeds received on finance receivables held for investment. Cash used in investing activities generally relates to purchases of finance receivables. Purchases of finance receivables held for investment were $764.1 million and $551.7 million in 2013 and 2012, respectively.</w:t>
      </w:r>
    </w:p>
    <w:p>
      <w:pPr>
        <w:spacing w:after="0" w:line="187" w:lineRule="exact"/>
        <w:rPr>
          <w:sz w:val="20"/>
          <w:szCs w:val="20"/>
          <w:color w:val="auto"/>
        </w:rPr>
      </w:pPr>
    </w:p>
    <w:p>
      <w:pPr>
        <w:ind w:right="160" w:firstLine="324"/>
        <w:spacing w:after="0" w:line="302" w:lineRule="auto"/>
        <w:rPr>
          <w:sz w:val="20"/>
          <w:szCs w:val="20"/>
          <w:color w:val="auto"/>
        </w:rPr>
      </w:pPr>
      <w:r>
        <w:rPr>
          <w:rFonts w:ascii="Arial" w:cs="Arial" w:eastAsia="Arial" w:hAnsi="Arial"/>
          <w:sz w:val="16"/>
          <w:szCs w:val="16"/>
          <w:color w:val="auto"/>
        </w:rPr>
        <w:t>Net cash provided by financing activities for the year ended December 31, 2013 was $319.3 million compared with net cash provided by financing activities of $59.4 million in 2012. Cash used or provided by financing activities is primarily attributable to the repayment or issuance of debt, and in particular, securitization trust debt and portfolio acquisition financing. We issued $778.0 million in new securitization trust debt in 2013 compared to $558.5 million of new securitization trust debt in 2012. Repayments of securitization debt were $382.6 million and $351.0 million in 2013 and 2012, respectively.</w:t>
      </w:r>
    </w:p>
    <w:p>
      <w:pPr>
        <w:spacing w:after="0" w:line="154"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We purchase automobile contracts from dealers for a cash price approximating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54"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and may in the future be limited in our ability to purchase automobile contracts due to limits on our capital. As of December 31, 2013, we had unrestricted cash of $22.1 million. We had $90.5 million available under one warehouse credit facility and $100.0 million available under our second warehouse credit facility (advances from both facilities are subject to available eligible collateral). During 2013 we completed four securitizations aggregating $778.0 million of receivables, and we intend to continue completing securitizations regularly during 2014, although there can be no assurance that we will be able to do so.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7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defaults or net losses related to the automobile contracts in the pool are below certain predetermined levels. In the event delinquencies, defaults or net losses on the automobile contracts exceed such levels, the terms of the securitization: (i) may require increased credit enhancement to be accumulated for the particular pool; or (ii) in certain circumstances, may permit the the transfer of servicing on some or all of the automobile contracts to another servicer. There can be no assurance that collections from the related trusts will continue to generate sufficient cash. Moreover, some of our spread account balances are pledged as collateral to our residual interest financing and, under certain circumstances, releases from our spread account balances could be diverted to repay such residual interest financing.</w:t>
      </w:r>
    </w:p>
    <w:p>
      <w:pPr>
        <w:spacing w:after="0" w:line="179"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One of our securitization transactions, our warehouse credit facilities, our residual interest financing and our financing for the Fireside portfolio contain various financial covenants requiring certain minimum financial ratios and results. Such covenants include maintaining minimum levels of liquidity and net worth and not exceeding maximum leverage levels. In addition, some agreements contain cross-default provisions that would allow certain creditors to declare a default if a default occurred under a different facility. As of December 31, 2013, we were in compliance with all such covenants.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right="20" w:firstLine="324"/>
        <w:spacing w:after="0" w:line="257" w:lineRule="auto"/>
        <w:rPr>
          <w:sz w:val="20"/>
          <w:szCs w:val="20"/>
          <w:color w:val="auto"/>
        </w:rPr>
      </w:pPr>
      <w:r>
        <w:rPr>
          <w:rFonts w:ascii="Arial" w:cs="Arial" w:eastAsia="Arial" w:hAnsi="Arial"/>
          <w:sz w:val="18"/>
          <w:szCs w:val="18"/>
          <w:color w:val="auto"/>
        </w:rPr>
        <w:t>We have and will continue to have a substantial amount of indebtedness. At December 31, 2013, we had approximately $1,276.9 million of debt outstanding. Such debt consisted primarily of $1,177.6 million of securitization trust debt, and also included $13.1 million in debt for the acquisition of the Fireside portfolio, $9.5 million of warehouse lines of credit, $19.1 million of residual interest financing, $38.6 million of senior secured related party debt and $19.1 million in subordinated renewable notes. We are also currently offering the subordinated notes to the public on a continuous basis, and such notes have maturities that range from three months to 10 years.</w:t>
      </w:r>
    </w:p>
    <w:p>
      <w:pPr>
        <w:spacing w:after="0" w:line="188" w:lineRule="exact"/>
        <w:rPr>
          <w:sz w:val="20"/>
          <w:szCs w:val="20"/>
          <w:color w:val="auto"/>
        </w:rPr>
      </w:pPr>
    </w:p>
    <w:p>
      <w:pPr>
        <w:ind w:right="420" w:firstLine="324"/>
        <w:spacing w:after="0" w:line="259" w:lineRule="auto"/>
        <w:rPr>
          <w:sz w:val="20"/>
          <w:szCs w:val="20"/>
          <w:color w:val="auto"/>
        </w:rPr>
      </w:pPr>
      <w:r>
        <w:rPr>
          <w:rFonts w:ascii="Arial" w:cs="Arial" w:eastAsia="Arial" w:hAnsi="Arial"/>
          <w:sz w:val="18"/>
          <w:szCs w:val="18"/>
          <w:color w:val="auto"/>
        </w:rPr>
        <w:t>Our recent operating results include pre-tax earnings of $37.2 million and $9.2 million in 2013 and 2012, respectively,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7"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Failure to pay our indebtedness when due could have a material adverse effect and may require us to issue additional debt or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material contractual obligations as of December 31, 2013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ind w:left="1120"/>
              <w:spacing w:after="0"/>
              <w:rPr>
                <w:sz w:val="20"/>
                <w:szCs w:val="20"/>
                <w:color w:val="auto"/>
              </w:rPr>
            </w:pPr>
            <w:r>
              <w:rPr>
                <w:rFonts w:ascii="Arial" w:cs="Arial" w:eastAsia="Arial" w:hAnsi="Arial"/>
                <w:sz w:val="18"/>
                <w:szCs w:val="18"/>
                <w:b w:val="1"/>
                <w:bCs w:val="1"/>
                <w:color w:val="auto"/>
                <w:w w:val="92"/>
              </w:rPr>
              <w:t>Payment Due by Period (1)</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3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500"/>
              <w:spacing w:after="0" w:line="205" w:lineRule="exact"/>
              <w:rPr>
                <w:sz w:val="20"/>
                <w:szCs w:val="20"/>
                <w:color w:val="auto"/>
              </w:rPr>
            </w:pPr>
            <w:r>
              <w:rPr>
                <w:rFonts w:ascii="Arial" w:cs="Arial" w:eastAsia="Arial" w:hAnsi="Arial"/>
                <w:sz w:val="18"/>
                <w:szCs w:val="18"/>
                <w:b w:val="1"/>
                <w:bCs w:val="1"/>
                <w:color w:val="auto"/>
                <w:w w:val="97"/>
              </w:rPr>
              <w:t>Less than</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ind w:left="200"/>
              <w:spacing w:after="0" w:line="205" w:lineRule="exact"/>
              <w:rPr>
                <w:sz w:val="20"/>
                <w:szCs w:val="20"/>
                <w:color w:val="auto"/>
              </w:rPr>
            </w:pPr>
            <w:r>
              <w:rPr>
                <w:rFonts w:ascii="Arial" w:cs="Arial" w:eastAsia="Arial" w:hAnsi="Arial"/>
                <w:sz w:val="18"/>
                <w:szCs w:val="18"/>
                <w:b w:val="1"/>
                <w:bCs w:val="1"/>
                <w:color w:val="auto"/>
              </w:rPr>
              <w:t>2 to 3</w:t>
            </w:r>
          </w:p>
        </w:tc>
        <w:tc>
          <w:tcPr>
            <w:tcW w:w="280" w:type="dxa"/>
            <w:vAlign w:val="bottom"/>
          </w:tcPr>
          <w:p>
            <w:pPr>
              <w:spacing w:after="0"/>
              <w:rPr>
                <w:sz w:val="17"/>
                <w:szCs w:val="17"/>
                <w:color w:val="auto"/>
              </w:rPr>
            </w:pPr>
          </w:p>
        </w:tc>
        <w:tc>
          <w:tcPr>
            <w:tcW w:w="1400" w:type="dxa"/>
            <w:vAlign w:val="bottom"/>
            <w:gridSpan w:val="2"/>
          </w:tcPr>
          <w:p>
            <w:pPr>
              <w:ind w:left="200"/>
              <w:spacing w:after="0" w:line="205" w:lineRule="exact"/>
              <w:rPr>
                <w:sz w:val="20"/>
                <w:szCs w:val="20"/>
                <w:color w:val="auto"/>
              </w:rPr>
            </w:pPr>
            <w:r>
              <w:rPr>
                <w:rFonts w:ascii="Arial" w:cs="Arial" w:eastAsia="Arial" w:hAnsi="Arial"/>
                <w:sz w:val="18"/>
                <w:szCs w:val="18"/>
                <w:b w:val="1"/>
                <w:bCs w:val="1"/>
                <w:color w:val="auto"/>
              </w:rPr>
              <w:t>4 to 5</w:t>
            </w:r>
          </w:p>
        </w:tc>
        <w:tc>
          <w:tcPr>
            <w:tcW w:w="180" w:type="dxa"/>
            <w:vAlign w:val="bottom"/>
          </w:tcPr>
          <w:p>
            <w:pPr>
              <w:spacing w:after="0"/>
              <w:rPr>
                <w:sz w:val="17"/>
                <w:szCs w:val="17"/>
                <w:color w:val="auto"/>
              </w:rPr>
            </w:pPr>
          </w:p>
        </w:tc>
        <w:tc>
          <w:tcPr>
            <w:tcW w:w="1180" w:type="dxa"/>
            <w:vAlign w:val="bottom"/>
          </w:tcPr>
          <w:p>
            <w:pPr>
              <w:jc w:val="center"/>
              <w:ind w:right="90"/>
              <w:spacing w:after="0" w:line="205"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r>
      <w:tr>
        <w:trPr>
          <w:trHeight w:val="234"/>
        </w:trPr>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1 Year</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18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5 Years</w:t>
            </w:r>
          </w:p>
        </w:tc>
      </w:tr>
      <w:tr>
        <w:trPr>
          <w:trHeight w:val="210"/>
        </w:trPr>
        <w:tc>
          <w:tcPr>
            <w:tcW w:w="31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Long Term Debt (2)</w:t>
            </w: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76,797</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56,292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10,108</w:t>
            </w:r>
          </w:p>
        </w:tc>
        <w:tc>
          <w:tcPr>
            <w:tcW w:w="3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9,179</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13,104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3,249</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6,237</w:t>
            </w:r>
          </w:p>
        </w:tc>
        <w:tc>
          <w:tcPr>
            <w:tcW w:w="3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2,808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810</w:t>
            </w:r>
          </w:p>
        </w:tc>
      </w:tr>
    </w:tbl>
    <w:p>
      <w:pPr>
        <w:spacing w:after="0" w:line="187" w:lineRule="exact"/>
        <w:rPr>
          <w:sz w:val="20"/>
          <w:szCs w:val="20"/>
          <w:color w:val="auto"/>
        </w:rPr>
      </w:pPr>
    </w:p>
    <w:p>
      <w:pPr>
        <w:ind w:left="340" w:right="100" w:hanging="332"/>
        <w:spacing w:after="0" w:line="257" w:lineRule="auto"/>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Securitization trust debt, in the aggregate amount of $1,177.6 million as of December 31, 2013, is omitted from this table because it becomes due as and when the related receivables balance is reduced by payments and charge-offs. Expected payments, which will depend on the performance of such receivables, as to which there can be no assurance, are $445.7 million in 2014, $345.1 million in 2015, $216.6 million in 2016, $117.0 million in 2017, $40.3 million in 2018, and $12.9 million in 2019. Similarly, the $13.1 million in debt associated with the Fireside receivables acquisition measured at fair value is estimated to be repaid in 2014.</w:t>
      </w:r>
    </w:p>
    <w:p>
      <w:pPr>
        <w:spacing w:after="0" w:line="188" w:lineRule="exact"/>
        <w:rPr>
          <w:rFonts w:ascii="Arial" w:cs="Arial" w:eastAsia="Arial" w:hAnsi="Arial"/>
          <w:sz w:val="18"/>
          <w:szCs w:val="18"/>
          <w:i w:val="1"/>
          <w:iCs w:val="1"/>
          <w:color w:val="auto"/>
        </w:rPr>
      </w:pPr>
    </w:p>
    <w:p>
      <w:pPr>
        <w:ind w:left="340" w:hanging="332"/>
        <w:spacing w:after="0"/>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includes residual interest debt, senior secured debt and subordinated renewable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debt that is due in 2014, we anticipate repaying it with a combination of cash flows from operations and the potential issuance of new debt.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Facilities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terms on which credit has been available to us for purchase of automobile contracts have varied in recent years, as shown in the following summary of our warehouse credit facilities:</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i w:val="1"/>
          <w:iCs w:val="1"/>
          <w:color w:val="auto"/>
        </w:rPr>
        <w:t xml:space="preserve">Facility Established in December 2010. </w:t>
      </w:r>
      <w:r>
        <w:rPr>
          <w:rFonts w:ascii="Arial" w:cs="Arial" w:eastAsia="Arial" w:hAnsi="Arial"/>
          <w:sz w:val="16"/>
          <w:szCs w:val="16"/>
          <w:color w:val="auto"/>
        </w:rPr>
        <w:t>In December 2010 we entered into a $100 million two-year warehouse credit line with affiliates of Goldman,</w:t>
      </w:r>
      <w:r>
        <w:rPr>
          <w:rFonts w:ascii="Arial" w:cs="Arial" w:eastAsia="Arial" w:hAnsi="Arial"/>
          <w:sz w:val="16"/>
          <w:szCs w:val="16"/>
          <w:i w:val="1"/>
          <w:iCs w:val="1"/>
          <w:color w:val="auto"/>
        </w:rPr>
        <w:t xml:space="preserve"> </w:t>
      </w:r>
      <w:r>
        <w:rPr>
          <w:rFonts w:ascii="Arial" w:cs="Arial" w:eastAsia="Arial" w:hAnsi="Arial"/>
          <w:sz w:val="16"/>
          <w:szCs w:val="16"/>
          <w:color w:val="auto"/>
        </w:rPr>
        <w:t>Sachs &amp; Co. and Fortress Investment Group. The facility is structured to allow us to fund a portion of the purchase price of automobile contracts by borrowing from a credit facility to our consolidated subsidiary Page Six Funding LLC. The facility provides for advances up to 88% of eligible finance receivables and the loans under it accrue interest at a rate of one-month LIBOR plus 5.73% per annum, with a minimum rate of 6.73% per annum. In March 2013, this facility was amended to extend the revolving period to March 2015 and to include an amortization period through March 2017 for any receivables pledged to the facility at the end of the revolving period. There was $9.5 million outstanding under this facility at December 31, 2013.</w:t>
      </w:r>
    </w:p>
    <w:p>
      <w:pPr>
        <w:spacing w:after="0" w:line="16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 xml:space="preserve">Facility Established in May 2012. </w:t>
      </w:r>
      <w:r>
        <w:rPr>
          <w:rFonts w:ascii="Arial" w:cs="Arial" w:eastAsia="Arial" w:hAnsi="Arial"/>
          <w:sz w:val="17"/>
          <w:szCs w:val="17"/>
          <w:color w:val="auto"/>
        </w:rPr>
        <w:t>On May 11, 2012, we entered into an additional $100 million one-year warehouse credit line with Citibank, N.A. The</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is structured to allow us to fund a portion of the purchase price of automobile contracts by borrowing from a credit facility to our consolidated subsidiary Page Eight Funding, LLC. The facility provides for effective advances up to 88.4% of eligible finance receivables. The loans under the facility accrue interest at one-month LIBOR plus 6.00% per annum, with a minimum rate of 6.75% per annum. In June 2013, this facility was amended to extend the revolving period to June 2015 and to include an amortization period through June 2016 for any receivables pledged to the facility at the end of the revolving period. At December 31, 2013 there were no amounts outstanding under this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Securitization trust debt is repaid from collections on the related receivables, and becomes due in accordance with its terms as the principal amount of the related receivables is reduced. Although the securitization trust debt also has alternative final maturity dates, those dates are significantly later than the dates at which repayment of the related receivables is anticipated, and at no time in our history have any of our sponsored asset-backed securities reached those alternative final maturities.</w:t>
      </w:r>
    </w:p>
    <w:p>
      <w:pPr>
        <w:spacing w:after="0" w:line="187"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acquisition of automobile contracts for subsequent transfer in securitization transactions, and the need to fund spread accounts and initial overcollateralization, if any, when those transactions take place, results in a continuing need for capital. The amount of capital required is most heavily dependent on the rate of our automobile contract purchases, the required level of initial credit enhancement in securitizations, and the extent to which the trusts and related spread accounts either release cash to us or capture cash from collections on securitized automobile contracts. We plan to adjust our levels of automobile contract purchases and the related capital requirements to match anticipated releases of cash from the trusts and related spread accounts.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Over the period from January 1, 2012 through December 31, 2013 we have managed our capitalization by issuing and refinancing debt as summarized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gridSpan w:val="4"/>
          </w:tcPr>
          <w:p>
            <w:pPr>
              <w:jc w:val="right"/>
              <w:spacing w:after="0"/>
              <w:rPr>
                <w:sz w:val="20"/>
                <w:szCs w:val="20"/>
                <w:color w:val="auto"/>
              </w:rPr>
            </w:pPr>
            <w:r>
              <w:rPr>
                <w:rFonts w:ascii="Arial" w:cs="Arial" w:eastAsia="Arial" w:hAnsi="Arial"/>
                <w:sz w:val="18"/>
                <w:szCs w:val="18"/>
                <w:color w:val="auto"/>
              </w:rPr>
              <w:t>(Dollars 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FINANCING:</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Beginning balance</w:t>
            </w:r>
          </w:p>
        </w:tc>
        <w:tc>
          <w:tcPr>
            <w:tcW w:w="2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13,773</w:t>
            </w:r>
          </w:p>
        </w:tc>
        <w:tc>
          <w:tcPr>
            <w:tcW w:w="76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Issuances</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20,000</w:t>
            </w: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(14,677)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22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13,773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SECURITIZATION TRUST DEBT:</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Beginning balance</w:t>
            </w:r>
          </w:p>
        </w:tc>
        <w:tc>
          <w:tcPr>
            <w:tcW w:w="2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792,497</w:t>
            </w:r>
          </w:p>
        </w:tc>
        <w:tc>
          <w:tcPr>
            <w:tcW w:w="76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Issuances</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778,000</w:t>
            </w: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(382,591)</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(350,981)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Amortization of discount</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Cancellation of debt</w:t>
            </w: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(10,947)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22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792,497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SENIOR SECURED DEBT, RELATED PARTY:</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Beginning balance</w:t>
            </w:r>
          </w:p>
        </w:tc>
        <w:tc>
          <w:tcPr>
            <w:tcW w:w="25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50,135</w:t>
            </w:r>
          </w:p>
        </w:tc>
        <w:tc>
          <w:tcPr>
            <w:tcW w:w="76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Issuances</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5,284</w:t>
            </w: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(18,852)</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Debt discount net of amortization</w:t>
            </w:r>
          </w:p>
        </w:tc>
        <w:tc>
          <w:tcPr>
            <w:tcW w:w="22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220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38,559</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50,135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EEEEEE"/>
          </w:tcPr>
          <w:p>
            <w:pPr>
              <w:spacing w:after="0"/>
              <w:rPr>
                <w:sz w:val="17"/>
                <w:szCs w:val="17"/>
                <w:color w:val="auto"/>
              </w:rPr>
            </w:pPr>
          </w:p>
        </w:tc>
        <w:tc>
          <w:tcPr>
            <w:tcW w:w="22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SUBORDINATED RENEWABLE NOTES:</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256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23,281</w:t>
            </w:r>
          </w:p>
        </w:tc>
        <w:tc>
          <w:tcPr>
            <w:tcW w:w="760" w:type="dxa"/>
            <w:vAlign w:val="bottom"/>
            <w:gridSpan w:val="2"/>
            <w:shd w:val="clear" w:color="auto" w:fill="EEEEEE"/>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Issuances</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Payments</w:t>
            </w:r>
          </w:p>
        </w:tc>
        <w:tc>
          <w:tcPr>
            <w:tcW w:w="22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(5,415)</w:t>
            </w:r>
          </w:p>
        </w:tc>
        <w:tc>
          <w:tcPr>
            <w:tcW w:w="16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Ending balance</w:t>
            </w:r>
          </w:p>
        </w:tc>
        <w:tc>
          <w:tcPr>
            <w:tcW w:w="2200" w:type="dxa"/>
            <w:vAlign w:val="bottom"/>
            <w:tcBorders>
              <w:bottom w:val="single" w:sz="8" w:color="EEEEEE"/>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19,142</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23,281</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560" w:type="dxa"/>
            <w:vAlign w:val="bottom"/>
            <w:shd w:val="clear" w:color="auto" w:fill="EEEEEE"/>
          </w:tcPr>
          <w:p>
            <w:pPr>
              <w:spacing w:after="0"/>
              <w:rPr>
                <w:sz w:val="17"/>
                <w:szCs w:val="17"/>
                <w:color w:val="auto"/>
              </w:rPr>
            </w:pPr>
          </w:p>
        </w:tc>
        <w:tc>
          <w:tcPr>
            <w:tcW w:w="22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w w:val="98"/>
              </w:rPr>
              <w:t>DEBT SECURED BY RECEIVABLES MEASURED AT FAIR VALUE:</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w:t>
            </w:r>
          </w:p>
        </w:tc>
        <w:tc>
          <w:tcPr>
            <w:tcW w:w="2560" w:type="dxa"/>
            <w:vAlign w:val="bottom"/>
            <w:gridSpan w:val="2"/>
            <w:shd w:val="clear" w:color="auto" w:fill="EEEEEE"/>
          </w:tcPr>
          <w:p>
            <w:pPr>
              <w:jc w:val="right"/>
              <w:ind w:right="205"/>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57,107</w:t>
            </w:r>
          </w:p>
        </w:tc>
        <w:tc>
          <w:tcPr>
            <w:tcW w:w="760" w:type="dxa"/>
            <w:vAlign w:val="bottom"/>
            <w:gridSpan w:val="2"/>
            <w:shd w:val="clear" w:color="auto" w:fill="EEEEEE"/>
          </w:tcPr>
          <w:p>
            <w:pPr>
              <w:jc w:val="right"/>
              <w:ind w:right="4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(45,969)</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Accretion of premium</w:t>
            </w:r>
          </w:p>
        </w:tc>
        <w:tc>
          <w:tcPr>
            <w:tcW w:w="22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2,726</w:t>
            </w:r>
          </w:p>
        </w:tc>
        <w:tc>
          <w:tcPr>
            <w:tcW w:w="1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60" w:type="dxa"/>
            <w:vAlign w:val="bottom"/>
          </w:tcPr>
          <w:p>
            <w:pPr>
              <w:ind w:left="220"/>
              <w:spacing w:after="0"/>
              <w:rPr>
                <w:sz w:val="20"/>
                <w:szCs w:val="20"/>
                <w:color w:val="auto"/>
              </w:rPr>
            </w:pPr>
            <w:r>
              <w:rPr>
                <w:rFonts w:ascii="Arial" w:cs="Arial" w:eastAsia="Arial" w:hAnsi="Arial"/>
                <w:sz w:val="18"/>
                <w:szCs w:val="18"/>
                <w:color w:val="auto"/>
              </w:rPr>
              <w:t>Mark to fair value</w:t>
            </w:r>
          </w:p>
        </w:tc>
        <w:tc>
          <w:tcPr>
            <w:tcW w:w="2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Ending balance</w:t>
            </w:r>
          </w:p>
        </w:tc>
        <w:tc>
          <w:tcPr>
            <w:tcW w:w="2200" w:type="dxa"/>
            <w:vAlign w:val="bottom"/>
            <w:tcBorders>
              <w:top w:val="single" w:sz="8" w:color="EEEEEE"/>
              <w:bottom w:val="single" w:sz="8" w:color="EEEEEE"/>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600" w:type="dxa"/>
            <w:vAlign w:val="bottom"/>
            <w:tcBorders>
              <w:top w:val="single" w:sz="8" w:color="auto"/>
              <w:bottom w:val="single" w:sz="8" w:color="auto"/>
            </w:tcBorders>
            <w:shd w:val="clear" w:color="auto" w:fill="EEEEEE"/>
          </w:tcPr>
          <w:p>
            <w:pPr>
              <w:jc w:val="right"/>
              <w:ind w:right="4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200" w:type="dxa"/>
            <w:vAlign w:val="bottom"/>
            <w:vMerge w:val="restart"/>
          </w:tcPr>
          <w:p>
            <w:pPr>
              <w:jc w:val="right"/>
              <w:ind w:right="1890"/>
              <w:spacing w:after="0"/>
              <w:rPr>
                <w:sz w:val="20"/>
                <w:szCs w:val="20"/>
                <w:color w:val="auto"/>
              </w:rPr>
            </w:pPr>
            <w:r>
              <w:rPr>
                <w:rFonts w:ascii="Arial" w:cs="Arial" w:eastAsia="Arial" w:hAnsi="Arial"/>
                <w:sz w:val="18"/>
                <w:szCs w:val="18"/>
                <w:color w:val="auto"/>
                <w:w w:val="99"/>
              </w:rPr>
              <w:t>46</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Residual Interest Financing.</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July 2007, we established a combination term and revolving residual credit facility and have used eligible residual interests in securitizations as collateral for floating rate borrowings. The amount that we were able to borrow was computed using an agreed valuation methodology of the residuals, subject to an overall maximum principal amount of $120 million, represented by (i) a $60 million Class A-1 variable funding note (the “revolving note”), and</w:t>
      </w:r>
    </w:p>
    <w:p>
      <w:pPr>
        <w:ind w:firstLine="8"/>
        <w:spacing w:after="0" w:line="267" w:lineRule="auto"/>
        <w:tabs>
          <w:tab w:leader="none" w:pos="26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 $60 million Class A-2 term note (the “term note”). The term note was fully drawn in July 2007 and was originally due in July 2009. As of July 2008, we had drawn $26.8 million on the revolving note. The facility’s revolving feature expired in July 2008. On July 10, 2008 we amended the terms of the combination term and revolving residual credit facility, (i) eliminating the revolving feature and increasing the interest rate, (ii) consolidating the amounts then owing on the Class A-1 note with the Class A-2 note, (iii) establishing an amortization schedule for principal reductions on the Class A-2 note, and (iv) providing for an extension, at our option if certain conditions were met, of the Class A-2 note maturity from June 2009 to June 2010. In June 2009 we met all such conditions and extended the maturity. In conjunction with the amendment, we reduced the principal amount outstanding to $70 million by delivering to the lender (i) warrants valued as being equivalent to 2,500,000 common shares, or $4,071,429, and (ii) cash of $12,765,244. The warrants represent the right to purchase 2,500,000 CPS common shares at a nominal exercise price, at any time prior to July 10, 2018. In May 2010, we extended the maturity date from June 2010 to May 2011. In May 2011, we extended the maturity date of the facility from May 2011 to May 2012. In February 2012, we exchanged certain previously pledged residual interests with new, previously unpledged, residual interests and extended the maturity date to February 2013. In September 2012, the maturity date was again extended to September 2013 and the requirement for monthly principal repayments was eliminated if certain pool performance measures are met. This facility was repaid in full in September 2013.</w:t>
      </w:r>
    </w:p>
    <w:p>
      <w:pPr>
        <w:spacing w:after="0" w:line="18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April 2013, we established a five-year $20 million term residual facility. The facility is secured by eligible residual interests in two previously securitized pools of automobile receivables. The facility provides for effective advances up to 70.0% of the related borrowing base. Notes issued under the facility accrue interest at one-month LIBOR plus 11.75% per annum.</w:t>
      </w:r>
    </w:p>
    <w:p>
      <w:pPr>
        <w:spacing w:after="0" w:line="18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Securitization Trust Debt. </w:t>
      </w:r>
      <w:r>
        <w:rPr>
          <w:rFonts w:ascii="Arial" w:cs="Arial" w:eastAsia="Arial" w:hAnsi="Arial"/>
          <w:sz w:val="16"/>
          <w:szCs w:val="16"/>
          <w:color w:val="auto"/>
        </w:rPr>
        <w:t>From July 2003 through April 2008, we treated all securitizations of automobile contracts as secured financings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purposes, and the asset-backed securities issued in such securitizations remain on our balance sheet as securitization trust debt. Our September 2008 and the re-securitization of the remaining receivables from such transaction in September 2010 were each structured as a sale for financial accounting purposes and the asset-backed securities issued in those transactions have not been and are not on our balance sheet. Since 2011 all 11 of our securitizations have been treated as secured financings and make up $1,168,1 million of our securitization trust debt at December 31, 2013. An additional $9.5 million of our December 31, 2013 securitization trust debt is from a term funding facility that we established in March 2010, which is also treated as a secured financing.</w:t>
      </w:r>
    </w:p>
    <w:p>
      <w:pPr>
        <w:spacing w:after="0" w:line="16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 xml:space="preserve">Senior Secured Debt. </w:t>
      </w:r>
      <w:r>
        <w:rPr>
          <w:rFonts w:ascii="Arial" w:cs="Arial" w:eastAsia="Arial" w:hAnsi="Arial"/>
          <w:sz w:val="16"/>
          <w:szCs w:val="16"/>
          <w:color w:val="auto"/>
        </w:rPr>
        <w:t>From 1998 to 2005, we entered into a series of financing transactions with Levine Leichtman Capital Partners II, L.P. In July 2007</w:t>
      </w:r>
      <w:r>
        <w:rPr>
          <w:rFonts w:ascii="Arial" w:cs="Arial" w:eastAsia="Arial" w:hAnsi="Arial"/>
          <w:sz w:val="16"/>
          <w:szCs w:val="16"/>
          <w:i w:val="1"/>
          <w:iCs w:val="1"/>
          <w:color w:val="auto"/>
        </w:rPr>
        <w:t xml:space="preserve"> </w:t>
      </w:r>
      <w:r>
        <w:rPr>
          <w:rFonts w:ascii="Arial" w:cs="Arial" w:eastAsia="Arial" w:hAnsi="Arial"/>
          <w:sz w:val="16"/>
          <w:szCs w:val="16"/>
          <w:color w:val="auto"/>
        </w:rPr>
        <w:t>we repaid the final amounts due under these financing transactions. On June 30, 2008, we entered into a series of agreements pursuant to which an affiliate of Levine Leichtman Capital Partners purchased a $10 million five-year, fixed rate, senior secured note from us. The indebtedness is secured by substantially all of our assets, though not by the assets of our special-purpose financing subsidiaries. In July 2008, in conjunction with the amendment of the residual interest financing as discussed above, the lender purchased an additional $15 million note with substantially the same terms as the $10 million note. Pursuant to the June 30, 2008 securities purchase agreement, we issued to the lender 1,225,000 shares of common stock. In addition, we issued the lender two warrants: (i) warrants that we refer to as the FMV Warrants, which are exercisable for 1,611,114 shares of our common stock, at an exercise price of $1.39818 per share, and (ii) warrants that we refer to as the N Warrants, which are exercisable for 285,781 shares of our common stock, at a nominal exercise price. Both the FMV Warrants and the N Warrants are exercisable in whole or in part and at any time up to and including June 30, 2018. We valued the warrants using the Black-Scholes valuation model and recorded their value as a liability on our balance sheet because the terms of the warrants also included a provision whereby the lender could require us to purchase the warrants for cash. That provision was eliminated by mutual agreement in September 2008. The FMV Warrants were initially exercisable to purchase 1,500,000 shares for $2.573 per share, were adjusted in connection with the July 2008 issuance of other warrants to become exercisable to purchase 1,564,324 shares at $2.4672 per share, and were further adjusted in connection with a July 2009 amendment of our option plan to become exercisable at $1.44 per share. Upon issuance in September 2009 of the Fortress Warrant, the FMV Warrant was further adjusted to become exercisable to purchase 1,600,991 shares at an exercise price of $1.407 per share. Upon issuance in March 2010 of the Page Five Warrant, the FMV Warrant was further adjusted to become exercisable to purchase 1,611,114 shares at an exercise price of $1.39818 per share. All of the FMV Warrants and N Warrants were exercised in November 2013 and are no longer outstanding.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49" w:name="page50"/>
    <w:bookmarkEnd w:id="49"/>
    <w:p>
      <w:pPr>
        <w:ind w:left="340"/>
        <w:spacing w:after="0"/>
        <w:rPr>
          <w:sz w:val="20"/>
          <w:szCs w:val="20"/>
          <w:color w:val="auto"/>
        </w:rPr>
      </w:pPr>
      <w:r>
        <w:rPr>
          <w:rFonts w:ascii="Arial" w:cs="Arial" w:eastAsia="Arial" w:hAnsi="Arial"/>
          <w:sz w:val="16"/>
          <w:szCs w:val="16"/>
          <w:color w:val="auto"/>
        </w:rPr>
        <w:t>In November 2009 we entered into an additional agreement with this lender whereby they purchased an additional $5 million note. The note accrued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at 15.0% and was repaid in December 2010 at which time the lender purchased a new $27.8 million note under substantially the same terms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 million and $15 million notes already outstanding. The $27.8 million note accrues interest at 16.0% and matures in December 2013. Concurrent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issuance of the $27.8 million note, the term $10 and $15 million notes were amended to change their maturity dates to December 2013. In conjunction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issuance of the $27.8 million note, we issued to the lender 880,000 shares of common stock and 1,870 shares of Series B convertible preferred stock.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of the Series B convertible preferred stock was exchanged for 1,000 shares of our common stock on June 15, 2011, upon shareholder approval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 At the time of issuance, the value of the common stock and Series B preferred stock was $753,000 and $1.6 million, respectively. On March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we sold an additional $5 million note due February 29, 2012 to LLCP. In April 2011 we purchased from LLCP a portion of an outstanding subordinated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 issued by our CPS Cayman Residual Trust 2008-A, and financed that purchase by issuing to LLCP a new $3 million note which was fully repaid in June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In November 2011, we sold an additional $5 million note which was fully repaid in October 2012. In February 2012, we extended the maturity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 million note that was originally due in February 2012 to March 2012 when it was repaid in full. In April 2013 we repaid the $15 million note, reduced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on the remaining notes from 14.0% to 13.0% per annum and extended the maturity of the remaining notes to June 30, 2014. In January 2014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repaid the $10 million note.</w:t>
      </w:r>
    </w:p>
    <w:p>
      <w:pPr>
        <w:spacing w:after="0" w:line="211"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i w:val="1"/>
          <w:iCs w:val="1"/>
          <w:color w:val="auto"/>
        </w:rPr>
        <w:t xml:space="preserve">Subordinated Renewable Notes Debt. </w:t>
      </w:r>
      <w:r>
        <w:rPr>
          <w:rFonts w:ascii="Arial" w:cs="Arial" w:eastAsia="Arial" w:hAnsi="Arial"/>
          <w:sz w:val="16"/>
          <w:szCs w:val="16"/>
          <w:color w:val="auto"/>
        </w:rPr>
        <w:t>In June 2005, we began issuing registered subordinated renewable notes in an ongoing offering to the public.</w:t>
      </w:r>
      <w:r>
        <w:rPr>
          <w:rFonts w:ascii="Arial" w:cs="Arial" w:eastAsia="Arial" w:hAnsi="Arial"/>
          <w:sz w:val="16"/>
          <w:szCs w:val="16"/>
          <w:i w:val="1"/>
          <w:iCs w:val="1"/>
          <w:color w:val="auto"/>
        </w:rPr>
        <w:t xml:space="preserve"> </w:t>
      </w:r>
      <w:r>
        <w:rPr>
          <w:rFonts w:ascii="Arial" w:cs="Arial" w:eastAsia="Arial" w:hAnsi="Arial"/>
          <w:sz w:val="16"/>
          <w:szCs w:val="16"/>
          <w:color w:val="auto"/>
        </w:rPr>
        <w:t>Upon maturity, the notes are automatically renewed for the same term as the maturing notes, unless we repay the notes or the investor notifies us within 15 days after the maturity date of his note that he wants it repaid. Renewed notes bear interest at the rate we are offering at that time to other investors with similar note maturities. Based on the terms of the individual notes, interest payments may be required monthly, quarterly, annually or upon maturity.</w:t>
      </w:r>
    </w:p>
    <w:p>
      <w:pPr>
        <w:spacing w:after="0" w:line="154"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We must comply with certain affirmative and negative covenants related to debt facilities, which require, among other things, that we maintain certain financial ratios related to liquidity, net worth, capitalization, investments, acquisitions, restricted payments and certain dividend restrictions. In addition, certain securitization and non-securitization related debt contain cross-default provisions that would allow certain creditors to declare default if a default occurred under a different facility. As of December 31, 2013, we were in compliance with all such covenants.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This report on Form 10-K includes certain "forward-looking statements". Forward-looking statements may be identified by the use of words such as "anticipates," "expects," "plans," "estimates," or words of like meaning. As to the specifically identified forward-looking statements, factors that could affect charge-offs and recovery rates include changes in the general economic climate, which could affect the willingness or ability of obligors to pay pursuant to the terms of contracts, changes in laws respecting consumer finance, which could affect our ability to enforce rights under contracts, and changes in the market for used vehicles, which could affect the levels of recoveries upon sale of repossessed vehicles. Factors that could affect our revenues in the current year include the levels of cash releases from existing pools of contracts, which would affect our ability to purchase contracts, the terms on which we are able to finance such purchases, the willingness of dealers to sell contracts to us on the terms that it offers, and the terms on which we are able to complete term securitizations once contracts are acquired. Factors that could affect our expenses in the current year include competitive conditions in the market for qualified personnel, investor demand for asset-backed securities and interest rates (which affect the rates that we pay on asset-backed securities issued in our securitizations). The statements concerning structuring securitization transactions as secured financings and the effects of such structures on financial items and on future profitability also are forward-looking statements. Any change to the structure of our securitization transaction could cause such forward-looking statements not to be accurate. Both the amount of the effect of the change in structure on our profitability and the duration of the period in which our profitability would be affected by the change in securitization structure are estimates. The accuracy of such estimates will be affected by the rate at which we purchase and sell contracts, any changes in that rate, the credit performance of such contracts, the financial terms of future securitizations, any changes in such terms over time, and other factors that generally affect our profitability.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July 2013, the FASB issued ASU 2013-11, which requires a reporting entity to present an unrecognized tax benefit as a liability in the financial statements separate from deferred tax assets if a net operating loss carryforward, a similar tax loss, or a tax credit carryforward is not available as of the reporting date to settle taxes that would result from the disallowance of the tax position or if a reporting entity does not intend to use the deferred tax asset for such purpose. The amendments in ASU 2013-11 are effective for fiscal years, and interim periods within those years, beginning on or after December 15, 2013. We do not expect the adoption of ASU 2013-11 to have a material impact on our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From July 2003 through April 2008 all of our securitizations were structured as secured financings for financial accounting purposes. In September 2008, we securitized $198.7 million of our automobile contracts in a structure that is treated as a sale of the receivables for financial accounting purposes. The terms of the September 2008 securitization provided for us (1) to continue servicing the sold portfolio, (2) to retain a 5.0% interest in the bonds issued by the trust to which we sold the automobile contracts and (3) to earn additional compensation contingent upon (a) the return to the holders of the senior bonds issued by the trust reaching certain targets or (b) “lifetime” cumulative net charge-offs on the automobile contracts being below a pre-determined level. In September 2010 we re-securitized the remaining receivables from the September 2008 transaction in a similar "off balance sheet" structure. The September 2010 transaction is treated as a sale of the receivables for financial accounting purposes. See "Critical Accounting Policies" for a detailed discussion of our securitization structure.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are subject to interest rate risk during the period between when contracts are purchased from dealers and when such contracts become part of a term securitization. Specifically, the interest rate due on our warehouse credit facilities are adjustable while the interest rates on the contracts are fixed. Therefore, if interest rates increase, the interest we must pay to our lenders under warehouse credit facilities is likely to increase while the interest we receive from warehoused automobile contracts remains the same. As a result, excess spread cash flow would likely decrease during the warehousing period. Additionally, automobile contracts warehoused and then securitized during a rising interest rate environment may result in less excess spread cash flow to us. Historically, our securitization facilities have paid fixed rate interest to security holders set at prevailing interest rates at the time of the closing of the securitization, which may not take place until several months after we purchased those contracts. Our customers, on the other hand, pay fixed rates of interest on the automobile contracts, set at the time they purchase the underlying vehicles. A decrease in excess spread cash flow could adversely affect our earnings and cash flow.</w:t>
      </w:r>
    </w:p>
    <w:p>
      <w:pPr>
        <w:spacing w:after="0" w:line="166"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To mitigate, but not eliminate, the short-term risk relating to interest rates payable under the warehouse facilities, we have historically held automobile contracts in the warehouse credit facilities for less than four months. To mitigate, but not eliminate, the long-term risk relating to interest rates payable by us in securitizations, we have structured our term securitization transactions to include pre-funding structures, whereby the amount of notes issued exceeds the amount of contracts initially sold to the trusts. We expect to continue to use pre-funding structures in our securitizations. In pre-funding, the proceeds from the pre-funded portion are held in an escrow account until we sell the additional contracts to the trust. In pre-funded securitizations, we lock in the borrowing costs with respect to the contracts we subsequently deliver to the securitization trust. However, we incur an expense in pre-funded securitizations equal to the difference between the money market yields earned on the proceeds held in escrow prior to subsequent delivery of contracts and the interest rate paid on the notes outstanding. The amount of such expense may vary. Despite these mitigation strategies, an increase in prevailing interest rates would cause us to receive less excess spread cash flows on automobile contracts, and thus could adversely affect our earnings and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report includes Consolidated Financial Statements, notes thereto and an Independent Auditors’ Report, at the pages indicated below, in the "Index to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Under the supervision and with the participation of the Company’s Chief Executive Officer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management of the Company has evaluated the effectiveness of the design and operation of the Company’s disclosure controls and procedures, as defined in Rules 13a-15(e) and 15d-15(e) under the Securities Exchange Act of 1934 (the "Exchange Act") as of December 31, 2013 (the "Evaluation Date"). Based upon that evaluation, the Chief Executive Officer and Chief Financial Officer concluded that, as of the Evaluation Date, the Company’s disclosure controls and procedures are effective (i) to ensure that information required to be disclosed by us in reports that the Company files or submits under the Exchange Act is recorded, processed, summarized and reported within the time periods specified in the rules and forms of the Securities and Exchange Commission; and (ii) to ensure that information required to be disclosed in the reports that the Company files or submits under the Exchange Act is accumulated and communicated to our management, including the Company’s Chief Executive Officer and Chief Financial Officer, to allow timely decisions regarding required disclosures. The certifications of our chief executive officer and chief financial officer required under Section 302 of the Sarbanes-Oxley Act have been filed as Exhibits 31.1 and 31.2 to this report.</w:t>
      </w:r>
    </w:p>
    <w:p>
      <w:pPr>
        <w:spacing w:after="0" w:line="17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i w:val="1"/>
          <w:iCs w:val="1"/>
          <w:color w:val="auto"/>
        </w:rPr>
        <w:t xml:space="preserve">Internal Control. </w:t>
      </w:r>
      <w:r>
        <w:rPr>
          <w:rFonts w:ascii="Arial" w:cs="Arial" w:eastAsia="Arial" w:hAnsi="Arial"/>
          <w:sz w:val="18"/>
          <w:szCs w:val="18"/>
          <w:color w:val="auto"/>
        </w:rPr>
        <w:t>Management’s Report on Internal Control over Financial Reporting is included in this Annual Report, immediately below.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December 31, 2013, there were no changes in our internal control over financial reporting that have materially affected, or are reasonably likely to materially affect, our internal control over financial reporting.</w:t>
      </w:r>
    </w:p>
    <w:p>
      <w:pPr>
        <w:spacing w:after="0" w:line="18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We are responsible for establishing and maintaining adequate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as defined in Rule 13a-15(f) under the Securities Exchange Act of 1934. Our internal control over financial reporting is designed to provide reasonable assurance to our management and Board of Directors regarding the preparation and fair presentation of published financial statements.</w:t>
      </w:r>
    </w:p>
    <w:p>
      <w:pPr>
        <w:spacing w:after="0" w:line="147"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Therefore, even those systems determined to be effective can only provide reasonable assurance with respect to financial statement preparation and presentation.</w:t>
      </w:r>
    </w:p>
    <w:p>
      <w:pPr>
        <w:spacing w:after="0" w:line="147"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Management, with the participation of the chief executive and chief financial officers, assessed the effectiveness of our internal control over financial reporting as of December 31, 2013. In making this assessment, we used the criteria set forth by the Committee of Sponsoring Organizations of the Treadway Commission (COSO) in the 1992 Internal Control — Integrated Framework. Based on this assessment, management, with the participation of the chief executive and chief financial officers, believes that, as of December 31, 2013, our internal control over financial reporting is effective based on those criteria.</w:t>
      </w:r>
    </w:p>
    <w:p>
      <w:pPr>
        <w:spacing w:after="0" w:line="154"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Our internal control over financial reporting as of December 31, 2013, has been audited by Crowe Horwath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7" w:right="299" w:bottom="1440" w:gutter="0" w:footer="0" w:header="0"/>
        </w:sectPr>
      </w:pPr>
    </w:p>
    <w:bookmarkStart w:id="52" w:name="page53"/>
    <w:bookmarkEnd w:id="52"/>
    <w:p>
      <w:pPr>
        <w:jc w:val="center"/>
        <w:ind w:right="-2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and Corporate Governance</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Information regarding directors of the registrant is incorporated by reference to the registrant’s definitive proxy statement for its annual meeting of shareholders to be held in 2014 (the "2014 Proxy Statement"). The 2014 Proxy Statement will be filed not later than April 30, 2014. Information regarding executive officers of the registrant appears in Part I of this report, and is incorporated herein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Incorporated by reference to the 2014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Incorporated by reference to the 2014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Incorporated by reference to the 2014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Incorporated by reference to the 2014 Proxy Statement.</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878" w:right="51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financial statements listed below under the caption "Index to Financial Statements" are filed as a part of this report. No financial statement schedules are filed as the required information is inapplicable or the information is presented in the Consolidated Financial Statements or the related notes. Separate financial statements of the Company have been omitted as the Company is primarily an operating company and its subsidiaries are wholly owned and do not have minority equity interests held by any person other than the Company in amounts that together exceed 5% of the total consolidated assets as shown by the most recent year-end Consolidated Balance Sheet.</w:t>
      </w:r>
    </w:p>
    <w:p>
      <w:pPr>
        <w:spacing w:after="0" w:line="18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exhibits listed below are filed as part of this report, whether filed herewith or incorporated by reference to an exhibit filed with the report identified in the parentheses following the description of such exhibit. Unless otherwise indicated, each such identified report was filed by or with respect to the registrant.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ind w:left="100"/>
              <w:spacing w:after="0"/>
              <w:rPr>
                <w:sz w:val="20"/>
                <w:szCs w:val="20"/>
                <w:color w:val="auto"/>
              </w:rPr>
            </w:pPr>
            <w:r>
              <w:rPr>
                <w:rFonts w:ascii="Arial" w:cs="Arial" w:eastAsia="Arial" w:hAnsi="Arial"/>
                <w:sz w:val="18"/>
                <w:szCs w:val="18"/>
                <w:i w:val="1"/>
                <w:iCs w:val="1"/>
                <w:color w:val="auto"/>
              </w:rPr>
              <w:t>Exhibit</w:t>
            </w:r>
          </w:p>
        </w:tc>
        <w:tc>
          <w:tcPr>
            <w:tcW w:w="10560" w:type="dxa"/>
            <w:vAlign w:val="bottom"/>
          </w:tcPr>
          <w:p>
            <w:pPr>
              <w:spacing w:after="0"/>
              <w:rPr>
                <w:sz w:val="18"/>
                <w:szCs w:val="18"/>
                <w:color w:val="auto"/>
              </w:rPr>
            </w:pPr>
          </w:p>
        </w:tc>
      </w:tr>
      <w:tr>
        <w:trPr>
          <w:trHeight w:val="230"/>
        </w:trPr>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Number</w:t>
            </w:r>
          </w:p>
        </w:tc>
        <w:tc>
          <w:tcPr>
            <w:tcW w:w="1056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237"/>
        </w:trPr>
        <w:tc>
          <w:tcPr>
            <w:tcW w:w="860" w:type="dxa"/>
            <w:vAlign w:val="bottom"/>
          </w:tcPr>
          <w:p>
            <w:pPr>
              <w:spacing w:after="0"/>
              <w:rPr>
                <w:sz w:val="20"/>
                <w:szCs w:val="20"/>
                <w:color w:val="auto"/>
              </w:rPr>
            </w:pPr>
          </w:p>
        </w:tc>
        <w:tc>
          <w:tcPr>
            <w:tcW w:w="10560" w:type="dxa"/>
            <w:vAlign w:val="bottom"/>
          </w:tcPr>
          <w:p>
            <w:pPr>
              <w:spacing w:after="0"/>
              <w:rPr>
                <w:sz w:val="20"/>
                <w:szCs w:val="20"/>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2.1</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5"/>
              </w:rPr>
              <w:t>Agreement and Plan of Merger, dated as of November 18, 2001, by and among the Registrant, CPS Mergersub, Inc. and MFN Financial</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Corporation. (Exhibit 2.1 to Form 8-K filed on November 19, 2001 by MFN Financial Corporation)</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3.1</w:t>
            </w:r>
          </w:p>
        </w:tc>
        <w:tc>
          <w:tcPr>
            <w:tcW w:w="10560" w:type="dxa"/>
            <w:vAlign w:val="bottom"/>
          </w:tcPr>
          <w:p>
            <w:pPr>
              <w:ind w:left="160"/>
              <w:spacing w:after="0"/>
              <w:rPr>
                <w:sz w:val="20"/>
                <w:szCs w:val="20"/>
                <w:color w:val="auto"/>
              </w:rPr>
            </w:pPr>
            <w:r>
              <w:rPr>
                <w:rFonts w:ascii="Arial" w:cs="Arial" w:eastAsia="Arial" w:hAnsi="Arial"/>
                <w:sz w:val="18"/>
                <w:szCs w:val="18"/>
                <w:color w:val="auto"/>
              </w:rPr>
              <w:t>Restated Articles of Incorporation (Exhibit 3.1 to Form 10-K filed March 31, 2009)</w:t>
            </w:r>
          </w:p>
        </w:tc>
      </w:tr>
      <w:tr>
        <w:trPr>
          <w:trHeight w:val="249"/>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3.1.1</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Certificate of Designation re Series B Preferred (Exhibit 3.1.1 to Form 8-K filed by the registrant on December 30, 2010)</w:t>
            </w:r>
          </w:p>
        </w:tc>
      </w:tr>
      <w:tr>
        <w:trPr>
          <w:trHeight w:val="230"/>
        </w:trPr>
        <w:tc>
          <w:tcPr>
            <w:tcW w:w="860" w:type="dxa"/>
            <w:vAlign w:val="bottom"/>
          </w:tcPr>
          <w:p>
            <w:pPr>
              <w:ind w:left="100"/>
              <w:spacing w:after="0"/>
              <w:rPr>
                <w:sz w:val="20"/>
                <w:szCs w:val="20"/>
                <w:color w:val="auto"/>
              </w:rPr>
            </w:pPr>
            <w:r>
              <w:rPr>
                <w:rFonts w:ascii="Arial" w:cs="Arial" w:eastAsia="Arial" w:hAnsi="Arial"/>
                <w:sz w:val="18"/>
                <w:szCs w:val="18"/>
                <w:color w:val="auto"/>
              </w:rPr>
              <w:t>3.2</w:t>
            </w:r>
          </w:p>
        </w:tc>
        <w:tc>
          <w:tcPr>
            <w:tcW w:w="10560" w:type="dxa"/>
            <w:vAlign w:val="bottom"/>
          </w:tcPr>
          <w:p>
            <w:pPr>
              <w:ind w:left="160"/>
              <w:spacing w:after="0"/>
              <w:rPr>
                <w:sz w:val="20"/>
                <w:szCs w:val="20"/>
                <w:color w:val="auto"/>
              </w:rPr>
            </w:pPr>
            <w:r>
              <w:rPr>
                <w:rFonts w:ascii="Arial" w:cs="Arial" w:eastAsia="Arial" w:hAnsi="Arial"/>
                <w:sz w:val="18"/>
                <w:szCs w:val="18"/>
                <w:color w:val="auto"/>
              </w:rPr>
              <w:t>Amended and Restated Bylaws (Exhibit 3.3 to Form 8-K filed July 20, 2009)</w:t>
            </w:r>
          </w:p>
        </w:tc>
      </w:tr>
    </w:tbl>
    <w:p>
      <w:pPr>
        <w:ind w:left="1020" w:right="140" w:hanging="915"/>
        <w:spacing w:after="0" w:line="260"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Instruments defining the rights of holders of long-term debt of certain consolidated subsidiaries of the registrant are omitted pursuant to the exclusion set forth in subdivisions (b)(iv)(iii)(A) and (b)(v) of Item 601 of Regulation S-K (17 CFR 229.601). The registrant agrees to provide copies of such instruments to the United States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428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40" w:type="dxa"/>
            <w:vAlign w:val="bottom"/>
          </w:tcPr>
          <w:p>
            <w:pPr>
              <w:ind w:left="100"/>
              <w:spacing w:after="0"/>
              <w:rPr>
                <w:sz w:val="20"/>
                <w:szCs w:val="20"/>
                <w:color w:val="auto"/>
              </w:rPr>
            </w:pPr>
            <w:r>
              <w:rPr>
                <w:rFonts w:ascii="Arial" w:cs="Arial" w:eastAsia="Arial" w:hAnsi="Arial"/>
                <w:sz w:val="18"/>
                <w:szCs w:val="18"/>
                <w:color w:val="auto"/>
              </w:rPr>
              <w:t>4.1</w:t>
            </w:r>
          </w:p>
        </w:tc>
        <w:tc>
          <w:tcPr>
            <w:tcW w:w="10680" w:type="dxa"/>
            <w:vAlign w:val="bottom"/>
          </w:tcPr>
          <w:p>
            <w:pPr>
              <w:ind w:left="280"/>
              <w:spacing w:after="0"/>
              <w:rPr>
                <w:sz w:val="20"/>
                <w:szCs w:val="20"/>
                <w:color w:val="auto"/>
              </w:rPr>
            </w:pPr>
            <w:r>
              <w:rPr>
                <w:rFonts w:ascii="Arial" w:cs="Arial" w:eastAsia="Arial" w:hAnsi="Arial"/>
                <w:sz w:val="18"/>
                <w:szCs w:val="18"/>
                <w:color w:val="auto"/>
              </w:rPr>
              <w:t>Form of Indenture re Renewable Unsecured Subordinated Notes (“RUS Notes”). (Exhibit 4.1 to Form S-2, no. 333-121913)</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43"/>
        </w:trPr>
        <w:tc>
          <w:tcPr>
            <w:tcW w:w="7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4.2.1</w:t>
            </w:r>
          </w:p>
        </w:tc>
        <w:tc>
          <w:tcPr>
            <w:tcW w:w="10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Form of RUS Notes (Exhibit 4.2 to Form S-2, no. 333-121913)</w:t>
            </w:r>
          </w:p>
        </w:tc>
      </w:tr>
      <w:tr>
        <w:trPr>
          <w:trHeight w:val="237"/>
        </w:trPr>
        <w:tc>
          <w:tcPr>
            <w:tcW w:w="740" w:type="dxa"/>
            <w:vAlign w:val="bottom"/>
          </w:tcPr>
          <w:p>
            <w:pPr>
              <w:ind w:left="100"/>
              <w:spacing w:after="0"/>
              <w:rPr>
                <w:sz w:val="20"/>
                <w:szCs w:val="20"/>
                <w:color w:val="auto"/>
              </w:rPr>
            </w:pPr>
            <w:r>
              <w:rPr>
                <w:rFonts w:ascii="Arial" w:cs="Arial" w:eastAsia="Arial" w:hAnsi="Arial"/>
                <w:sz w:val="18"/>
                <w:szCs w:val="18"/>
                <w:color w:val="auto"/>
              </w:rPr>
              <w:t>4.3</w:t>
            </w:r>
          </w:p>
        </w:tc>
        <w:tc>
          <w:tcPr>
            <w:tcW w:w="10680" w:type="dxa"/>
            <w:vAlign w:val="bottom"/>
          </w:tcPr>
          <w:p>
            <w:pPr>
              <w:ind w:left="280"/>
              <w:spacing w:after="0"/>
              <w:rPr>
                <w:sz w:val="20"/>
                <w:szCs w:val="20"/>
                <w:color w:val="auto"/>
              </w:rPr>
            </w:pPr>
            <w:r>
              <w:rPr>
                <w:rFonts w:ascii="Arial" w:cs="Arial" w:eastAsia="Arial" w:hAnsi="Arial"/>
                <w:sz w:val="18"/>
                <w:szCs w:val="18"/>
                <w:color w:val="auto"/>
                <w:w w:val="97"/>
              </w:rPr>
              <w:t>Form of Indenture re additional Renewable Unsecured Subordinated Notes (“ARUS Notes”) (Exhibit 4.1 to Form S-1, no. 333-168976)</w:t>
            </w:r>
          </w:p>
        </w:tc>
      </w:tr>
      <w:tr>
        <w:trPr>
          <w:trHeight w:val="249"/>
        </w:trPr>
        <w:tc>
          <w:tcPr>
            <w:tcW w:w="7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4.3.1</w:t>
            </w:r>
          </w:p>
        </w:tc>
        <w:tc>
          <w:tcPr>
            <w:tcW w:w="10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Form of ARUS Notes (Exhibit 4.2 to Form S-1, no. 333-168976)</w:t>
            </w:r>
          </w:p>
        </w:tc>
      </w:tr>
      <w:tr>
        <w:trPr>
          <w:trHeight w:val="237"/>
        </w:trPr>
        <w:tc>
          <w:tcPr>
            <w:tcW w:w="740" w:type="dxa"/>
            <w:vAlign w:val="bottom"/>
          </w:tcPr>
          <w:p>
            <w:pPr>
              <w:ind w:left="100"/>
              <w:spacing w:after="0"/>
              <w:rPr>
                <w:sz w:val="20"/>
                <w:szCs w:val="20"/>
                <w:color w:val="auto"/>
              </w:rPr>
            </w:pPr>
            <w:r>
              <w:rPr>
                <w:rFonts w:ascii="Arial" w:cs="Arial" w:eastAsia="Arial" w:hAnsi="Arial"/>
                <w:sz w:val="18"/>
                <w:szCs w:val="18"/>
                <w:color w:val="auto"/>
              </w:rPr>
              <w:t>4.4</w:t>
            </w:r>
          </w:p>
        </w:tc>
        <w:tc>
          <w:tcPr>
            <w:tcW w:w="10680" w:type="dxa"/>
            <w:vAlign w:val="bottom"/>
          </w:tcPr>
          <w:p>
            <w:pPr>
              <w:ind w:left="280"/>
              <w:spacing w:after="0"/>
              <w:rPr>
                <w:sz w:val="20"/>
                <w:szCs w:val="20"/>
                <w:color w:val="auto"/>
              </w:rPr>
            </w:pPr>
            <w:r>
              <w:rPr>
                <w:rFonts w:ascii="Arial" w:cs="Arial" w:eastAsia="Arial" w:hAnsi="Arial"/>
                <w:sz w:val="18"/>
                <w:szCs w:val="18"/>
                <w:color w:val="auto"/>
              </w:rPr>
              <w:t>Supplement dated December 7, 2010 to Indenture re ARUS Notes (Exhibit 4.3 to Form S-1, no. 333-168976)</w:t>
            </w:r>
          </w:p>
        </w:tc>
      </w:tr>
      <w:tr>
        <w:trPr>
          <w:trHeight w:val="249"/>
        </w:trPr>
        <w:tc>
          <w:tcPr>
            <w:tcW w:w="7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4.4</w:t>
            </w:r>
          </w:p>
        </w:tc>
        <w:tc>
          <w:tcPr>
            <w:tcW w:w="106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Supplement dated January 22, 2014 to Indenture re ARUS Notes (Exhibit 4.4 to Form S-1, no. 333-190766)</w:t>
            </w:r>
          </w:p>
        </w:tc>
      </w:tr>
      <w:tr>
        <w:trPr>
          <w:trHeight w:val="237"/>
        </w:trPr>
        <w:tc>
          <w:tcPr>
            <w:tcW w:w="740" w:type="dxa"/>
            <w:vAlign w:val="bottom"/>
          </w:tcPr>
          <w:p>
            <w:pPr>
              <w:ind w:left="100"/>
              <w:spacing w:after="0"/>
              <w:rPr>
                <w:sz w:val="20"/>
                <w:szCs w:val="20"/>
                <w:color w:val="auto"/>
              </w:rPr>
            </w:pPr>
            <w:r>
              <w:rPr>
                <w:rFonts w:ascii="Arial" w:cs="Arial" w:eastAsia="Arial" w:hAnsi="Arial"/>
                <w:sz w:val="18"/>
                <w:szCs w:val="18"/>
                <w:color w:val="auto"/>
              </w:rPr>
              <w:t>4.29</w:t>
            </w:r>
          </w:p>
        </w:tc>
        <w:tc>
          <w:tcPr>
            <w:tcW w:w="10680" w:type="dxa"/>
            <w:vAlign w:val="bottom"/>
          </w:tcPr>
          <w:p>
            <w:pPr>
              <w:ind w:left="280"/>
              <w:spacing w:after="0"/>
              <w:rPr>
                <w:sz w:val="20"/>
                <w:szCs w:val="20"/>
                <w:color w:val="auto"/>
              </w:rPr>
            </w:pPr>
            <w:r>
              <w:rPr>
                <w:rFonts w:ascii="Arial" w:cs="Arial" w:eastAsia="Arial" w:hAnsi="Arial"/>
                <w:sz w:val="18"/>
                <w:szCs w:val="18"/>
                <w:color w:val="auto"/>
              </w:rPr>
              <w:t>Revolving Credit Agreement dated December 23, 2010 (Exhibit 4.29 to Form 10-K filed March 31, 2011)</w:t>
            </w:r>
          </w:p>
        </w:tc>
      </w:tr>
      <w:tr>
        <w:trPr>
          <w:trHeight w:val="249"/>
        </w:trPr>
        <w:tc>
          <w:tcPr>
            <w:tcW w:w="7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4.37</w:t>
            </w:r>
          </w:p>
        </w:tc>
        <w:tc>
          <w:tcPr>
            <w:tcW w:w="106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7"/>
              </w:rPr>
              <w:t>Indenture re Notes issued by CPS Auto Receivables Trust 2012-A (exhibit 4.37 to Form 10-Q filed by the registrant on April 24, 2012)</w:t>
            </w:r>
          </w:p>
        </w:tc>
      </w:tr>
      <w:tr>
        <w:trPr>
          <w:trHeight w:val="202"/>
        </w:trPr>
        <w:tc>
          <w:tcPr>
            <w:tcW w:w="740" w:type="dxa"/>
            <w:vAlign w:val="bottom"/>
          </w:tcPr>
          <w:p>
            <w:pPr>
              <w:ind w:left="100"/>
              <w:spacing w:after="0" w:line="201" w:lineRule="exact"/>
              <w:rPr>
                <w:sz w:val="20"/>
                <w:szCs w:val="20"/>
                <w:color w:val="auto"/>
              </w:rPr>
            </w:pPr>
            <w:r>
              <w:rPr>
                <w:rFonts w:ascii="Arial" w:cs="Arial" w:eastAsia="Arial" w:hAnsi="Arial"/>
                <w:sz w:val="18"/>
                <w:szCs w:val="18"/>
                <w:color w:val="auto"/>
              </w:rPr>
              <w:t>4.38</w:t>
            </w:r>
          </w:p>
        </w:tc>
        <w:tc>
          <w:tcPr>
            <w:tcW w:w="10680" w:type="dxa"/>
            <w:vAlign w:val="bottom"/>
          </w:tcPr>
          <w:p>
            <w:pPr>
              <w:ind w:left="280"/>
              <w:spacing w:after="0" w:line="201" w:lineRule="exact"/>
              <w:rPr>
                <w:sz w:val="20"/>
                <w:szCs w:val="20"/>
                <w:color w:val="auto"/>
              </w:rPr>
            </w:pPr>
            <w:r>
              <w:rPr>
                <w:rFonts w:ascii="Arial" w:cs="Arial" w:eastAsia="Arial" w:hAnsi="Arial"/>
                <w:sz w:val="18"/>
                <w:szCs w:val="18"/>
                <w:color w:val="auto"/>
                <w:w w:val="95"/>
              </w:rPr>
              <w:t>Sale and Servicing Agreement dated as of March 1, 2012, related to notes issued by CPS Auto Receivables Trust 2012-A (exhibit 4.38 to</w:t>
            </w: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Form 10-Q filed by the registrant on April 24, 2012)</w:t>
            </w:r>
          </w:p>
        </w:tc>
      </w:tr>
      <w:tr>
        <w:trPr>
          <w:trHeight w:val="27"/>
        </w:trPr>
        <w:tc>
          <w:tcPr>
            <w:tcW w:w="740" w:type="dxa"/>
            <w:vAlign w:val="bottom"/>
          </w:tcPr>
          <w:p>
            <w:pPr>
              <w:spacing w:after="0"/>
              <w:rPr>
                <w:sz w:val="2"/>
                <w:szCs w:val="2"/>
                <w:color w:val="auto"/>
              </w:rPr>
            </w:pPr>
          </w:p>
        </w:tc>
        <w:tc>
          <w:tcPr>
            <w:tcW w:w="10680" w:type="dxa"/>
            <w:vAlign w:val="bottom"/>
          </w:tcPr>
          <w:p>
            <w:pPr>
              <w:spacing w:after="0"/>
              <w:rPr>
                <w:sz w:val="2"/>
                <w:szCs w:val="2"/>
                <w:color w:val="auto"/>
              </w:rPr>
            </w:pPr>
          </w:p>
        </w:tc>
      </w:tr>
      <w:tr>
        <w:trPr>
          <w:trHeight w:val="243"/>
        </w:trPr>
        <w:tc>
          <w:tcPr>
            <w:tcW w:w="74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4.39</w:t>
            </w:r>
          </w:p>
        </w:tc>
        <w:tc>
          <w:tcPr>
            <w:tcW w:w="10680" w:type="dxa"/>
            <w:vAlign w:val="bottom"/>
            <w:shd w:val="clear" w:color="auto" w:fill="EEEEEE"/>
          </w:tcPr>
          <w:p>
            <w:pPr>
              <w:ind w:left="280"/>
              <w:spacing w:after="0"/>
              <w:rPr>
                <w:sz w:val="20"/>
                <w:szCs w:val="20"/>
                <w:color w:val="auto"/>
              </w:rPr>
            </w:pPr>
            <w:r>
              <w:rPr>
                <w:rFonts w:ascii="Arial" w:cs="Arial" w:eastAsia="Arial" w:hAnsi="Arial"/>
                <w:sz w:val="18"/>
                <w:szCs w:val="18"/>
                <w:color w:val="auto"/>
                <w:w w:val="98"/>
              </w:rPr>
              <w:t>Indenture re Notes issued by CPS Auto Receivables Trust 2012-B (exhibit 4.39 to Form 8-K filed by the registrant on June 26, 2012)</w:t>
            </w:r>
          </w:p>
        </w:tc>
      </w:tr>
      <w:tr>
        <w:trPr>
          <w:trHeight w:val="202"/>
        </w:trPr>
        <w:tc>
          <w:tcPr>
            <w:tcW w:w="740" w:type="dxa"/>
            <w:vAlign w:val="bottom"/>
          </w:tcPr>
          <w:p>
            <w:pPr>
              <w:ind w:left="100"/>
              <w:spacing w:after="0" w:line="201" w:lineRule="exact"/>
              <w:rPr>
                <w:sz w:val="20"/>
                <w:szCs w:val="20"/>
                <w:color w:val="auto"/>
              </w:rPr>
            </w:pPr>
            <w:r>
              <w:rPr>
                <w:rFonts w:ascii="Arial" w:cs="Arial" w:eastAsia="Arial" w:hAnsi="Arial"/>
                <w:sz w:val="18"/>
                <w:szCs w:val="18"/>
                <w:color w:val="auto"/>
              </w:rPr>
              <w:t>4.40</w:t>
            </w:r>
          </w:p>
        </w:tc>
        <w:tc>
          <w:tcPr>
            <w:tcW w:w="10680" w:type="dxa"/>
            <w:vAlign w:val="bottom"/>
          </w:tcPr>
          <w:p>
            <w:pPr>
              <w:ind w:left="280"/>
              <w:spacing w:after="0" w:line="201" w:lineRule="exact"/>
              <w:rPr>
                <w:sz w:val="20"/>
                <w:szCs w:val="20"/>
                <w:color w:val="auto"/>
              </w:rPr>
            </w:pPr>
            <w:r>
              <w:rPr>
                <w:rFonts w:ascii="Arial" w:cs="Arial" w:eastAsia="Arial" w:hAnsi="Arial"/>
                <w:sz w:val="18"/>
                <w:szCs w:val="18"/>
                <w:color w:val="auto"/>
                <w:w w:val="92"/>
              </w:rPr>
              <w:t>Sale and Servicing Agreement dated as of June 1, 2012, related to notes issued by CPS Auto Receivables Trust 2012-B (exhibit 4.40 to Form</w:t>
            </w: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8-K filed by the registrant on June 26, 2012)</w:t>
            </w:r>
          </w:p>
        </w:tc>
      </w:tr>
      <w:tr>
        <w:trPr>
          <w:trHeight w:val="675"/>
        </w:trPr>
        <w:tc>
          <w:tcPr>
            <w:tcW w:w="740" w:type="dxa"/>
            <w:vAlign w:val="bottom"/>
            <w:tcBorders>
              <w:bottom w:val="single" w:sz="8" w:color="auto"/>
            </w:tcBorders>
          </w:tcPr>
          <w:p>
            <w:pPr>
              <w:spacing w:after="0"/>
              <w:rPr>
                <w:sz w:val="24"/>
                <w:szCs w:val="24"/>
                <w:color w:val="auto"/>
              </w:rPr>
            </w:pPr>
          </w:p>
        </w:tc>
        <w:tc>
          <w:tcPr>
            <w:tcW w:w="10680" w:type="dxa"/>
            <w:vAlign w:val="bottom"/>
            <w:tcBorders>
              <w:bottom w:val="single" w:sz="8" w:color="auto"/>
            </w:tcBorders>
          </w:tcPr>
          <w:p>
            <w:pPr>
              <w:ind w:left="488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661" w:right="2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ind w:left="100"/>
              <w:spacing w:after="0"/>
              <w:rPr>
                <w:sz w:val="20"/>
                <w:szCs w:val="20"/>
                <w:color w:val="auto"/>
              </w:rPr>
            </w:pPr>
            <w:r>
              <w:rPr>
                <w:rFonts w:ascii="Arial" w:cs="Arial" w:eastAsia="Arial" w:hAnsi="Arial"/>
                <w:sz w:val="18"/>
                <w:szCs w:val="18"/>
                <w:i w:val="1"/>
                <w:iCs w:val="1"/>
                <w:color w:val="auto"/>
              </w:rPr>
              <w:t>Exhibit</w:t>
            </w:r>
          </w:p>
        </w:tc>
        <w:tc>
          <w:tcPr>
            <w:tcW w:w="10560" w:type="dxa"/>
            <w:vAlign w:val="bottom"/>
          </w:tcPr>
          <w:p>
            <w:pPr>
              <w:spacing w:after="0"/>
              <w:rPr>
                <w:sz w:val="18"/>
                <w:szCs w:val="18"/>
                <w:color w:val="auto"/>
              </w:rPr>
            </w:pPr>
          </w:p>
        </w:tc>
      </w:tr>
      <w:tr>
        <w:trPr>
          <w:trHeight w:val="230"/>
        </w:trPr>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Number</w:t>
            </w:r>
          </w:p>
        </w:tc>
        <w:tc>
          <w:tcPr>
            <w:tcW w:w="1056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453"/>
        </w:trPr>
        <w:tc>
          <w:tcPr>
            <w:tcW w:w="860" w:type="dxa"/>
            <w:vAlign w:val="bottom"/>
          </w:tcPr>
          <w:p>
            <w:pPr>
              <w:ind w:left="100"/>
              <w:spacing w:after="0"/>
              <w:rPr>
                <w:sz w:val="20"/>
                <w:szCs w:val="20"/>
                <w:color w:val="auto"/>
              </w:rPr>
            </w:pPr>
            <w:r>
              <w:rPr>
                <w:rFonts w:ascii="Arial" w:cs="Arial" w:eastAsia="Arial" w:hAnsi="Arial"/>
                <w:sz w:val="18"/>
                <w:szCs w:val="18"/>
                <w:color w:val="auto"/>
              </w:rPr>
              <w:t>4.41</w:t>
            </w:r>
          </w:p>
        </w:tc>
        <w:tc>
          <w:tcPr>
            <w:tcW w:w="10560" w:type="dxa"/>
            <w:vAlign w:val="bottom"/>
          </w:tcPr>
          <w:p>
            <w:pPr>
              <w:ind w:left="160"/>
              <w:spacing w:after="0"/>
              <w:rPr>
                <w:sz w:val="20"/>
                <w:szCs w:val="20"/>
                <w:color w:val="auto"/>
              </w:rPr>
            </w:pPr>
            <w:r>
              <w:rPr>
                <w:rFonts w:ascii="Arial" w:cs="Arial" w:eastAsia="Arial" w:hAnsi="Arial"/>
                <w:sz w:val="18"/>
                <w:szCs w:val="18"/>
                <w:color w:val="auto"/>
                <w:w w:val="94"/>
              </w:rPr>
              <w:t>Indenture re Notes issued by CPS Auto Receivables Trust 2012-C (exhibit 4.41 to Form 10-Q filed by the registrant on November 6, 2012)</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4.42</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5"/>
              </w:rPr>
              <w:t>Sale and Servicing Agreement dated as of March 1, 2012, related to notes issued by CPS Auto Receivables Trust 2012-C (exhibit 4.42 to</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Form 10-Q filed by the registrant on November 6, 2012)</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4.43</w:t>
            </w:r>
          </w:p>
        </w:tc>
        <w:tc>
          <w:tcPr>
            <w:tcW w:w="10560" w:type="dxa"/>
            <w:vAlign w:val="bottom"/>
          </w:tcPr>
          <w:p>
            <w:pPr>
              <w:ind w:left="160"/>
              <w:spacing w:after="0"/>
              <w:rPr>
                <w:sz w:val="20"/>
                <w:szCs w:val="20"/>
                <w:color w:val="auto"/>
              </w:rPr>
            </w:pPr>
            <w:r>
              <w:rPr>
                <w:rFonts w:ascii="Arial" w:cs="Arial" w:eastAsia="Arial" w:hAnsi="Arial"/>
                <w:sz w:val="18"/>
                <w:szCs w:val="18"/>
                <w:color w:val="auto"/>
              </w:rPr>
              <w:t>Indenture re Notes issued by CPS Auto Receivables Trust 2012-D (to be filed by amendment)</w:t>
            </w:r>
          </w:p>
        </w:tc>
      </w:tr>
      <w:tr>
        <w:trPr>
          <w:trHeight w:val="208"/>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4.44</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3"/>
              </w:rPr>
              <w:t>Sale and Servicing Agreement dated as of December 1, 2012, related to notes issued by CPS Auto Receivables Trust 2012-D (to be filed by</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amendment)</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4.45</w:t>
            </w:r>
          </w:p>
        </w:tc>
        <w:tc>
          <w:tcPr>
            <w:tcW w:w="10560" w:type="dxa"/>
            <w:vAlign w:val="bottom"/>
          </w:tcPr>
          <w:p>
            <w:pPr>
              <w:ind w:left="160"/>
              <w:spacing w:after="0"/>
              <w:rPr>
                <w:sz w:val="20"/>
                <w:szCs w:val="20"/>
                <w:color w:val="auto"/>
              </w:rPr>
            </w:pPr>
            <w:r>
              <w:rPr>
                <w:rFonts w:ascii="Arial" w:cs="Arial" w:eastAsia="Arial" w:hAnsi="Arial"/>
                <w:sz w:val="18"/>
                <w:szCs w:val="18"/>
                <w:color w:val="auto"/>
                <w:w w:val="94"/>
              </w:rPr>
              <w:t>Indenture re Notes issued by CPS Auto Receivables Trust 2013-A (exhibit 4.43 to Form 10-Q/A filed by the registrant on August 14, 2013)</w:t>
            </w:r>
          </w:p>
        </w:tc>
      </w:tr>
      <w:tr>
        <w:trPr>
          <w:trHeight w:val="208"/>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4.46</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5"/>
              </w:rPr>
              <w:t>Sale and Servicing Agreement dated as of March 1, 2013, related to notes issued by CPS Auto Receivables Trust 2013-A (exhibit 4.44 to</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Form 10-Q/A filed by the registrant on August 14, 2013)</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4.47</w:t>
            </w:r>
          </w:p>
        </w:tc>
        <w:tc>
          <w:tcPr>
            <w:tcW w:w="10560" w:type="dxa"/>
            <w:vAlign w:val="bottom"/>
          </w:tcPr>
          <w:p>
            <w:pPr>
              <w:ind w:left="160"/>
              <w:spacing w:after="0"/>
              <w:rPr>
                <w:sz w:val="20"/>
                <w:szCs w:val="20"/>
                <w:color w:val="auto"/>
              </w:rPr>
            </w:pPr>
            <w:r>
              <w:rPr>
                <w:rFonts w:ascii="Arial" w:cs="Arial" w:eastAsia="Arial" w:hAnsi="Arial"/>
                <w:sz w:val="18"/>
                <w:szCs w:val="18"/>
                <w:color w:val="auto"/>
                <w:w w:val="94"/>
              </w:rPr>
              <w:t>Indenture re Notes issued by CPS Auto Receivables Trust 2013-B (exhibit 4.45 to Form 10-Q/A filed by the registrant on August 14, 2013)</w:t>
            </w:r>
          </w:p>
        </w:tc>
      </w:tr>
      <w:tr>
        <w:trPr>
          <w:trHeight w:val="208"/>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4.48</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2"/>
              </w:rPr>
              <w:t>Sale and Servicing Agreement dated as of June 1, 2013, related to notes issued by CPS Auto Receivables Trust 2013-B (exhibit 4.46 to Form</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10-Q/A filed by the registrant on August 14, 2013)</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4.49</w:t>
            </w:r>
          </w:p>
        </w:tc>
        <w:tc>
          <w:tcPr>
            <w:tcW w:w="10560" w:type="dxa"/>
            <w:vAlign w:val="bottom"/>
          </w:tcPr>
          <w:p>
            <w:pPr>
              <w:ind w:left="160"/>
              <w:spacing w:after="0"/>
              <w:rPr>
                <w:sz w:val="20"/>
                <w:szCs w:val="20"/>
                <w:color w:val="auto"/>
              </w:rPr>
            </w:pPr>
            <w:r>
              <w:rPr>
                <w:rFonts w:ascii="Arial" w:cs="Arial" w:eastAsia="Arial" w:hAnsi="Arial"/>
                <w:sz w:val="18"/>
                <w:szCs w:val="18"/>
                <w:color w:val="auto"/>
                <w:w w:val="94"/>
              </w:rPr>
              <w:t>Indenture re Notes issued by CPS Auto Receivables Trust 2013-C (exhibit 4.47 to Form 8-K/A filed by the registrant on October 30, 2013)</w:t>
            </w:r>
          </w:p>
        </w:tc>
      </w:tr>
      <w:tr>
        <w:trPr>
          <w:trHeight w:val="208"/>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4.50</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1"/>
              </w:rPr>
              <w:t>Sale and Servicing Agreement dated as of September 1, 2013, related to notes issued by CPS Auto Receivables Trust 2013-C (exhibit 4.48 to</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Form 8-K/A filed by the registrant on October 30, 2013)</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4.51</w:t>
            </w:r>
          </w:p>
        </w:tc>
        <w:tc>
          <w:tcPr>
            <w:tcW w:w="10560" w:type="dxa"/>
            <w:vAlign w:val="bottom"/>
          </w:tcPr>
          <w:p>
            <w:pPr>
              <w:ind w:left="160"/>
              <w:spacing w:after="0"/>
              <w:rPr>
                <w:sz w:val="20"/>
                <w:szCs w:val="20"/>
                <w:color w:val="auto"/>
              </w:rPr>
            </w:pPr>
            <w:r>
              <w:rPr>
                <w:rFonts w:ascii="Arial" w:cs="Arial" w:eastAsia="Arial" w:hAnsi="Arial"/>
                <w:sz w:val="18"/>
                <w:szCs w:val="18"/>
                <w:color w:val="auto"/>
                <w:w w:val="96"/>
              </w:rPr>
              <w:t>Indenture re Notes issued by CPS Auto Receivables Trust 2013-D (exhibit 4.49 Form 8-K/A filed by the registrant on January 22, 2014)</w:t>
            </w:r>
          </w:p>
        </w:tc>
      </w:tr>
      <w:tr>
        <w:trPr>
          <w:trHeight w:val="208"/>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4.52</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3"/>
              </w:rPr>
              <w:t>Sale and Servicing Agreement dated as of December 1, 2013, related to notes issued by CPS Auto Receivables Trust 2013-D (exhibit 4.50</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Form 8-K/A filed by the registrant on January 22, 2014)</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10.1</w:t>
            </w:r>
          </w:p>
        </w:tc>
        <w:tc>
          <w:tcPr>
            <w:tcW w:w="10560" w:type="dxa"/>
            <w:vAlign w:val="bottom"/>
          </w:tcPr>
          <w:p>
            <w:pPr>
              <w:ind w:left="160"/>
              <w:spacing w:after="0"/>
              <w:rPr>
                <w:sz w:val="20"/>
                <w:szCs w:val="20"/>
                <w:color w:val="auto"/>
              </w:rPr>
            </w:pPr>
            <w:r>
              <w:rPr>
                <w:rFonts w:ascii="Arial" w:cs="Arial" w:eastAsia="Arial" w:hAnsi="Arial"/>
                <w:sz w:val="18"/>
                <w:szCs w:val="18"/>
                <w:color w:val="auto"/>
              </w:rPr>
              <w:t>1991 Stock Option Plan &amp; forms of Option Agreements thereunder  (Exhibit 10.19 to Form S-2, no. 333-121913) **</w:t>
            </w:r>
          </w:p>
        </w:tc>
      </w:tr>
      <w:tr>
        <w:trPr>
          <w:trHeight w:val="249"/>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10.2</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1997 Long-Term Incentive Stock Plan ("1997 Plan") (Exhibit 10.20 to Form S-2, no. 333-121913) **</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10.2.1</w:t>
            </w:r>
          </w:p>
        </w:tc>
        <w:tc>
          <w:tcPr>
            <w:tcW w:w="10560" w:type="dxa"/>
            <w:vAlign w:val="bottom"/>
          </w:tcPr>
          <w:p>
            <w:pPr>
              <w:ind w:left="160"/>
              <w:spacing w:after="0"/>
              <w:rPr>
                <w:sz w:val="20"/>
                <w:szCs w:val="20"/>
                <w:color w:val="auto"/>
              </w:rPr>
            </w:pPr>
            <w:r>
              <w:rPr>
                <w:rFonts w:ascii="Arial" w:cs="Arial" w:eastAsia="Arial" w:hAnsi="Arial"/>
                <w:sz w:val="18"/>
                <w:szCs w:val="18"/>
                <w:color w:val="auto"/>
              </w:rPr>
              <w:t>Form of Option Agreement under 1997 Plan (Exhibit 10.2.1 to Form 10-K filed March 13, 2006) **</w:t>
            </w:r>
          </w:p>
        </w:tc>
      </w:tr>
      <w:tr>
        <w:trPr>
          <w:trHeight w:val="208"/>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10.14</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5"/>
              </w:rPr>
              <w:t>2006 Long-Term Equity Incentive Plan as amended April 18, 2013 (Incorporated by reference to pages A-1 through A-10 of the definitive</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proxy statement filed by the registrant on March 20, 2013)**</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10.14.1</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8"/>
              </w:rPr>
              <w:t>Form of Option Agreement under the 2006 Long-Term Equity Incentive Plan (Exhibit 10.14.1 to registrant's Form 10-K filed March 9,</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2007)**</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10.14.2</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4"/>
              </w:rPr>
              <w:t>Form of Option Agreement under the 2006 Long-Term Equity Incentive Plan (Exhibit 99.(D)(2) to registrant's Schedule TO filed November</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12, 2009)**</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10.14.2</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4"/>
              </w:rPr>
              <w:t>Form of Option Agreement under the 2006 Long-Term Equity Incentive Plan (Exhibit 99.(D)(3) to registrant's Schedule TO filed November</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12, 2009)**</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10.15</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4"/>
              </w:rPr>
              <w:t>Securities Purchase Agreement between the registrant and Levine Leichtman Capital Partners IV, L. P. ("LLCP"), relating to the sale of an</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aggregate of $25 million of Notes. (Incorporated by reference to exhibit 99.2 to Schedule 13D filed by LLCP on July 10, 2008)</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10.15.1</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1"/>
              </w:rPr>
              <w:t>Amendment dated July 10, 2008 to Securities Purchase Agreement dated June 30, 2008 between the registrant and LLCP. (Exhibit 10.15.1 to</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registrant's Form 10-Q filed August 11, 2008)</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10.15.2</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0"/>
              </w:rPr>
              <w:t>Amendment dated December 23, 2010 to Securities Purchase Agreement dated June 30, 2008 between the registrant and LLCP. (incorporated</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by reference to Schedule 13D by Levine Leichtman Capital Partners IV, L.P. on January 3, 2011.</w:t>
            </w:r>
          </w:p>
        </w:tc>
      </w:tr>
      <w:tr>
        <w:trPr>
          <w:trHeight w:val="648"/>
        </w:trPr>
        <w:tc>
          <w:tcPr>
            <w:tcW w:w="86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ind w:left="4760"/>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420"/>
          </w:cols>
          <w:pgMar w:left="240" w:top="881"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ind w:left="100"/>
              <w:spacing w:after="0"/>
              <w:rPr>
                <w:sz w:val="20"/>
                <w:szCs w:val="20"/>
                <w:color w:val="auto"/>
              </w:rPr>
            </w:pPr>
            <w:r>
              <w:rPr>
                <w:rFonts w:ascii="Arial" w:cs="Arial" w:eastAsia="Arial" w:hAnsi="Arial"/>
                <w:sz w:val="18"/>
                <w:szCs w:val="18"/>
                <w:i w:val="1"/>
                <w:iCs w:val="1"/>
                <w:color w:val="auto"/>
              </w:rPr>
              <w:t>Exhibit</w:t>
            </w:r>
          </w:p>
        </w:tc>
        <w:tc>
          <w:tcPr>
            <w:tcW w:w="10560" w:type="dxa"/>
            <w:vAlign w:val="bottom"/>
          </w:tcPr>
          <w:p>
            <w:pPr>
              <w:spacing w:after="0"/>
              <w:rPr>
                <w:sz w:val="18"/>
                <w:szCs w:val="18"/>
                <w:color w:val="auto"/>
              </w:rPr>
            </w:pPr>
          </w:p>
        </w:tc>
      </w:tr>
      <w:tr>
        <w:trPr>
          <w:trHeight w:val="230"/>
        </w:trPr>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Number</w:t>
            </w:r>
          </w:p>
        </w:tc>
        <w:tc>
          <w:tcPr>
            <w:tcW w:w="10560" w:type="dxa"/>
            <w:vAlign w:val="bottom"/>
            <w:tcBorders>
              <w:bottom w:val="single" w:sz="8" w:color="auto"/>
            </w:tcBorders>
          </w:tcPr>
          <w:p>
            <w:pPr>
              <w:ind w:left="160"/>
              <w:spacing w:after="0"/>
              <w:rPr>
                <w:sz w:val="20"/>
                <w:szCs w:val="20"/>
                <w:color w:val="auto"/>
              </w:rPr>
            </w:pPr>
            <w:r>
              <w:rPr>
                <w:rFonts w:ascii="Arial" w:cs="Arial" w:eastAsia="Arial" w:hAnsi="Arial"/>
                <w:sz w:val="18"/>
                <w:szCs w:val="18"/>
                <w:i w:val="1"/>
                <w:iCs w:val="1"/>
                <w:color w:val="auto"/>
              </w:rPr>
              <w:t>Description  (“**” indicates compensatory plan or agreement.)</w:t>
            </w:r>
          </w:p>
        </w:tc>
      </w:tr>
      <w:tr>
        <w:trPr>
          <w:trHeight w:val="411"/>
        </w:trPr>
        <w:tc>
          <w:tcPr>
            <w:tcW w:w="860" w:type="dxa"/>
            <w:vAlign w:val="bottom"/>
          </w:tcPr>
          <w:p>
            <w:pPr>
              <w:ind w:left="100"/>
              <w:spacing w:after="0"/>
              <w:rPr>
                <w:sz w:val="20"/>
                <w:szCs w:val="20"/>
                <w:color w:val="auto"/>
              </w:rPr>
            </w:pPr>
            <w:r>
              <w:rPr>
                <w:rFonts w:ascii="Arial" w:cs="Arial" w:eastAsia="Arial" w:hAnsi="Arial"/>
                <w:sz w:val="18"/>
                <w:szCs w:val="18"/>
                <w:color w:val="auto"/>
              </w:rPr>
              <w:t>10.16</w:t>
            </w:r>
          </w:p>
        </w:tc>
        <w:tc>
          <w:tcPr>
            <w:tcW w:w="10560" w:type="dxa"/>
            <w:vAlign w:val="bottom"/>
          </w:tcPr>
          <w:p>
            <w:pPr>
              <w:ind w:left="160"/>
              <w:spacing w:after="0"/>
              <w:rPr>
                <w:sz w:val="20"/>
                <w:szCs w:val="20"/>
                <w:color w:val="auto"/>
              </w:rPr>
            </w:pPr>
            <w:r>
              <w:rPr>
                <w:rFonts w:ascii="Arial" w:cs="Arial" w:eastAsia="Arial" w:hAnsi="Arial"/>
                <w:sz w:val="18"/>
                <w:szCs w:val="18"/>
                <w:color w:val="auto"/>
                <w:w w:val="92"/>
              </w:rPr>
              <w:t>Registration Rights Agreement between the registrant and LLCP. (Incorporated by reference to exhibit 99.6 to Schedule 13D filed by LLCP on</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July 10, 2008)</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10.17</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4"/>
              </w:rPr>
              <w:t>Investor Rights Agreement between the registrant and LLCP. (Incorporated by reference to exhibit 99.7 to Schedule 13D filed by LLCP on</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July 10, 2008)</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10.18</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3"/>
              </w:rPr>
              <w:t>FMV Warrant dated June 30, 2008, issued to LLCP. (Incorporated by reference to the FMV warrant appearing as pages A-1 through A-13 of</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the preliminary proxy statement filed by the registrant on July 28, 2008.)</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10.18.1</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4"/>
              </w:rPr>
              <w:t>Amendment dated March 30, 2012 to FMV Warrant dated June 30, 2008, issued to LLCP. (Incorporated by reference to Exhibit 10.1 to the</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current report on Form 8-K dated March 30, 2012, as amended and filed on Form 8-K/A by the registrant on May 30, 2012.)</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10.19</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2"/>
              </w:rPr>
              <w:t>N Warrant dated June 30, 2008, issued to LLCP. (Incorporated by reference to the FMV warrant appearing as pages B-1 through B-13 of the</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preliminary proxy statement filed by the registrant on July 28, 2008.)</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10.19.1</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6"/>
              </w:rPr>
              <w:t>Amendment dated March 30, 2012 to N Warrant dated June 30, 2008, issued to LLCP. (Incorporated by reference to Exhibit 10.2 to the</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current report on Form 8-K dated March 30, 2012, as amended and filed on Form 8-K/A by the registrant on May 30, 2012.)</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10.20</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7"/>
              </w:rPr>
              <w:t>Amended and Restated Note Purchase Agreement dated July 10, 2008 among the registrant, its subsidiary Folio Funding II, LLC, and</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Citigroup Financial Products Inc. (Exhibit 10.20 to registrant's Form 10-Q filed August 11, 2008)</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02"/>
        </w:trPr>
        <w:tc>
          <w:tcPr>
            <w:tcW w:w="860" w:type="dxa"/>
            <w:vAlign w:val="bottom"/>
            <w:shd w:val="clear" w:color="auto" w:fill="EEEEEE"/>
          </w:tcPr>
          <w:p>
            <w:pPr>
              <w:ind w:left="100"/>
              <w:spacing w:after="0" w:line="201" w:lineRule="exact"/>
              <w:rPr>
                <w:sz w:val="20"/>
                <w:szCs w:val="20"/>
                <w:color w:val="auto"/>
              </w:rPr>
            </w:pPr>
            <w:r>
              <w:rPr>
                <w:rFonts w:ascii="Arial" w:cs="Arial" w:eastAsia="Arial" w:hAnsi="Arial"/>
                <w:sz w:val="18"/>
                <w:szCs w:val="18"/>
                <w:color w:val="auto"/>
              </w:rPr>
              <w:t>10.21</w:t>
            </w:r>
          </w:p>
        </w:tc>
        <w:tc>
          <w:tcPr>
            <w:tcW w:w="10560" w:type="dxa"/>
            <w:vAlign w:val="bottom"/>
            <w:shd w:val="clear" w:color="auto" w:fill="EEEEEE"/>
          </w:tcPr>
          <w:p>
            <w:pPr>
              <w:ind w:left="160"/>
              <w:spacing w:after="0" w:line="201" w:lineRule="exact"/>
              <w:rPr>
                <w:sz w:val="20"/>
                <w:szCs w:val="20"/>
                <w:color w:val="auto"/>
              </w:rPr>
            </w:pPr>
            <w:r>
              <w:rPr>
                <w:rFonts w:ascii="Arial" w:cs="Arial" w:eastAsia="Arial" w:hAnsi="Arial"/>
                <w:sz w:val="18"/>
                <w:szCs w:val="18"/>
                <w:color w:val="auto"/>
                <w:w w:val="92"/>
              </w:rPr>
              <w:t>Amended and Restated Indenture dated July 10, 2008 among Folio Funding II, LLC, Citigroup Financial Products Inc. and Wells Fargo Bank,</w:t>
            </w:r>
          </w:p>
        </w:tc>
      </w:tr>
      <w:tr>
        <w:trPr>
          <w:trHeight w:val="237"/>
        </w:trPr>
        <w:tc>
          <w:tcPr>
            <w:tcW w:w="860" w:type="dxa"/>
            <w:vAlign w:val="bottom"/>
            <w:tcBorders>
              <w:bottom w:val="single" w:sz="8" w:color="EEEEEE"/>
            </w:tcBorders>
            <w:shd w:val="clear" w:color="auto" w:fill="EEEEEE"/>
          </w:tcPr>
          <w:p>
            <w:pPr>
              <w:spacing w:after="0"/>
              <w:rPr>
                <w:sz w:val="20"/>
                <w:szCs w:val="20"/>
                <w:color w:val="auto"/>
              </w:rPr>
            </w:pPr>
          </w:p>
        </w:tc>
        <w:tc>
          <w:tcPr>
            <w:tcW w:w="105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N.A. (Exhibit 10.21 to registrant's Form 10-Q filed August 11, 2008)</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10.22</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3"/>
              </w:rPr>
              <w:t>Performance Guaranty dated July 10, 2008 issued by the registrant in favor of Citigroup Financial Products Inc. (Exhibit 10.22 to registrant's</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Form 10-Q filed August 11, 2008)</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43"/>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10.23</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9"/>
              </w:rPr>
              <w:t>Warrant dated July 10, 2008, issued to Citigroup Global Markets Inc. (Exhibit 10.23 to registrant's Form 10-Q filed August 11, 2008)</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10.24</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1"/>
              </w:rPr>
              <w:t>Purchase and Sale Agreement re Motor Vehicle Contracts dated as of September 26, 2008 (Exhibit 10.24 to Form 8-K/A filed by the registrant</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on November 7, 2008)</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43"/>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10.25</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2"/>
              </w:rPr>
              <w:t>Transfer and Servicing Agreement dated as of September 26, 2008 (Exhibit 10.25 to Form 8-K/A filed by the registrant on November 7, 2008)</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10.26</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4"/>
              </w:rPr>
              <w:t>Revolving Credit Agreement dated September 25, 2009 among the registrant, its subsidiary Page Four Funding, LLC, and Fortress Credit</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Corp. ("Fortress") (Exhibit 10.1 to registrant's Form 8-K filed October 1, 2009)</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43"/>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10.27</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Warrant dated September 25, 2009, issued to an affiliate of Fortress. (Exhibit 10.2 to registrant's Form 8-K filed October 1, 2009)</w:t>
            </w:r>
          </w:p>
        </w:tc>
      </w:tr>
      <w:tr>
        <w:trPr>
          <w:trHeight w:val="202"/>
        </w:trPr>
        <w:tc>
          <w:tcPr>
            <w:tcW w:w="860" w:type="dxa"/>
            <w:vAlign w:val="bottom"/>
          </w:tcPr>
          <w:p>
            <w:pPr>
              <w:ind w:left="100"/>
              <w:spacing w:after="0" w:line="201" w:lineRule="exact"/>
              <w:rPr>
                <w:sz w:val="20"/>
                <w:szCs w:val="20"/>
                <w:color w:val="auto"/>
              </w:rPr>
            </w:pPr>
            <w:r>
              <w:rPr>
                <w:rFonts w:ascii="Arial" w:cs="Arial" w:eastAsia="Arial" w:hAnsi="Arial"/>
                <w:sz w:val="18"/>
                <w:szCs w:val="18"/>
                <w:color w:val="auto"/>
              </w:rPr>
              <w:t>10.27.1</w:t>
            </w:r>
          </w:p>
        </w:tc>
        <w:tc>
          <w:tcPr>
            <w:tcW w:w="10560" w:type="dxa"/>
            <w:vAlign w:val="bottom"/>
          </w:tcPr>
          <w:p>
            <w:pPr>
              <w:ind w:left="160"/>
              <w:spacing w:after="0" w:line="201" w:lineRule="exact"/>
              <w:rPr>
                <w:sz w:val="20"/>
                <w:szCs w:val="20"/>
                <w:color w:val="auto"/>
              </w:rPr>
            </w:pPr>
            <w:r>
              <w:rPr>
                <w:rFonts w:ascii="Arial" w:cs="Arial" w:eastAsia="Arial" w:hAnsi="Arial"/>
                <w:sz w:val="18"/>
                <w:szCs w:val="18"/>
                <w:color w:val="auto"/>
                <w:w w:val="95"/>
              </w:rPr>
              <w:t>Amendment dated March 30, 2012 to Warrant dated September 25, 2009, issued to an affiliate of Fortress. (Incorporated by reference to</w:t>
            </w:r>
          </w:p>
        </w:tc>
      </w:tr>
      <w:tr>
        <w:trPr>
          <w:trHeight w:val="216"/>
        </w:trPr>
        <w:tc>
          <w:tcPr>
            <w:tcW w:w="860" w:type="dxa"/>
            <w:vAlign w:val="bottom"/>
          </w:tcPr>
          <w:p>
            <w:pPr>
              <w:spacing w:after="0"/>
              <w:rPr>
                <w:sz w:val="18"/>
                <w:szCs w:val="18"/>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w w:val="96"/>
              </w:rPr>
              <w:t>Exhibit 10.3 to the current report on Form 8-K dated March 30, 2012, as amended and filed on Form 8-K/A by the registrant on May 30,</w:t>
            </w:r>
          </w:p>
        </w:tc>
      </w:tr>
      <w:tr>
        <w:trPr>
          <w:trHeight w:val="230"/>
        </w:trPr>
        <w:tc>
          <w:tcPr>
            <w:tcW w:w="860" w:type="dxa"/>
            <w:vAlign w:val="bottom"/>
          </w:tcPr>
          <w:p>
            <w:pPr>
              <w:spacing w:after="0"/>
              <w:rPr>
                <w:sz w:val="20"/>
                <w:szCs w:val="20"/>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2012.)</w:t>
            </w:r>
          </w:p>
        </w:tc>
      </w:tr>
      <w:tr>
        <w:trPr>
          <w:trHeight w:val="27"/>
        </w:trPr>
        <w:tc>
          <w:tcPr>
            <w:tcW w:w="860" w:type="dxa"/>
            <w:vAlign w:val="bottom"/>
          </w:tcPr>
          <w:p>
            <w:pPr>
              <w:spacing w:after="0"/>
              <w:rPr>
                <w:sz w:val="2"/>
                <w:szCs w:val="2"/>
                <w:color w:val="auto"/>
              </w:rPr>
            </w:pPr>
          </w:p>
        </w:tc>
        <w:tc>
          <w:tcPr>
            <w:tcW w:w="10560" w:type="dxa"/>
            <w:vAlign w:val="bottom"/>
          </w:tcPr>
          <w:p>
            <w:pPr>
              <w:spacing w:after="0"/>
              <w:rPr>
                <w:sz w:val="2"/>
                <w:szCs w:val="2"/>
                <w:color w:val="auto"/>
              </w:rPr>
            </w:pPr>
          </w:p>
        </w:tc>
      </w:tr>
      <w:tr>
        <w:trPr>
          <w:trHeight w:val="243"/>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14</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Registrant’s Code of Ethics for Senior Financial Officers (Exhibit 14 to Form 10-K filed March 13, 2006)</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21</w:t>
            </w:r>
          </w:p>
        </w:tc>
        <w:tc>
          <w:tcPr>
            <w:tcW w:w="10560" w:type="dxa"/>
            <w:vAlign w:val="bottom"/>
          </w:tcPr>
          <w:p>
            <w:pPr>
              <w:ind w:left="160"/>
              <w:spacing w:after="0"/>
              <w:rPr>
                <w:sz w:val="20"/>
                <w:szCs w:val="20"/>
                <w:color w:val="auto"/>
              </w:rPr>
            </w:pPr>
            <w:r>
              <w:rPr>
                <w:rFonts w:ascii="Arial" w:cs="Arial" w:eastAsia="Arial" w:hAnsi="Arial"/>
                <w:sz w:val="18"/>
                <w:szCs w:val="18"/>
                <w:color w:val="auto"/>
              </w:rPr>
              <w:t>List of subsidiaries of the registrant (filed herewith)</w:t>
            </w:r>
          </w:p>
        </w:tc>
      </w:tr>
      <w:tr>
        <w:trPr>
          <w:trHeight w:val="249"/>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23.1</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Consent of Crowe Horwath LLP (filed herewith)</w:t>
            </w:r>
          </w:p>
        </w:tc>
      </w:tr>
      <w:tr>
        <w:trPr>
          <w:trHeight w:val="237"/>
        </w:trPr>
        <w:tc>
          <w:tcPr>
            <w:tcW w:w="860" w:type="dxa"/>
            <w:vAlign w:val="bottom"/>
          </w:tcPr>
          <w:p>
            <w:pPr>
              <w:ind w:left="100"/>
              <w:spacing w:after="0"/>
              <w:rPr>
                <w:sz w:val="20"/>
                <w:szCs w:val="20"/>
                <w:color w:val="auto"/>
              </w:rPr>
            </w:pPr>
            <w:r>
              <w:rPr>
                <w:rFonts w:ascii="Arial" w:cs="Arial" w:eastAsia="Arial" w:hAnsi="Arial"/>
                <w:sz w:val="18"/>
                <w:szCs w:val="18"/>
                <w:color w:val="auto"/>
              </w:rPr>
              <w:t>31.1</w:t>
            </w:r>
          </w:p>
        </w:tc>
        <w:tc>
          <w:tcPr>
            <w:tcW w:w="10560" w:type="dxa"/>
            <w:vAlign w:val="bottom"/>
          </w:tcPr>
          <w:p>
            <w:pPr>
              <w:ind w:left="160"/>
              <w:spacing w:after="0"/>
              <w:rPr>
                <w:sz w:val="20"/>
                <w:szCs w:val="20"/>
                <w:color w:val="auto"/>
              </w:rPr>
            </w:pPr>
            <w:r>
              <w:rPr>
                <w:rFonts w:ascii="Arial" w:cs="Arial" w:eastAsia="Arial" w:hAnsi="Arial"/>
                <w:sz w:val="18"/>
                <w:szCs w:val="18"/>
                <w:color w:val="auto"/>
              </w:rPr>
              <w:t>Rule 13a-14(a) certification by chief executive officer (filed herewith)</w:t>
            </w:r>
          </w:p>
        </w:tc>
      </w:tr>
      <w:tr>
        <w:trPr>
          <w:trHeight w:val="249"/>
        </w:trPr>
        <w:tc>
          <w:tcPr>
            <w:tcW w:w="8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31.2</w:t>
            </w:r>
          </w:p>
        </w:tc>
        <w:tc>
          <w:tcPr>
            <w:tcW w:w="105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Rule 13a-14(a) certification by chief financial officer (filed herewith)</w:t>
            </w:r>
          </w:p>
        </w:tc>
      </w:tr>
      <w:tr>
        <w:trPr>
          <w:trHeight w:val="230"/>
        </w:trPr>
        <w:tc>
          <w:tcPr>
            <w:tcW w:w="860" w:type="dxa"/>
            <w:vAlign w:val="bottom"/>
          </w:tcPr>
          <w:p>
            <w:pPr>
              <w:ind w:left="100"/>
              <w:spacing w:after="0"/>
              <w:rPr>
                <w:sz w:val="20"/>
                <w:szCs w:val="20"/>
                <w:color w:val="auto"/>
              </w:rPr>
            </w:pPr>
            <w:r>
              <w:rPr>
                <w:rFonts w:ascii="Arial" w:cs="Arial" w:eastAsia="Arial" w:hAnsi="Arial"/>
                <w:sz w:val="18"/>
                <w:szCs w:val="18"/>
                <w:color w:val="auto"/>
              </w:rPr>
              <w:t>32</w:t>
            </w:r>
          </w:p>
        </w:tc>
        <w:tc>
          <w:tcPr>
            <w:tcW w:w="10560" w:type="dxa"/>
            <w:vAlign w:val="bottom"/>
          </w:tcPr>
          <w:p>
            <w:pPr>
              <w:ind w:left="160"/>
              <w:spacing w:after="0"/>
              <w:rPr>
                <w:sz w:val="20"/>
                <w:szCs w:val="20"/>
                <w:color w:val="auto"/>
              </w:rPr>
            </w:pPr>
            <w:r>
              <w:rPr>
                <w:rFonts w:ascii="Arial" w:cs="Arial" w:eastAsia="Arial" w:hAnsi="Arial"/>
                <w:sz w:val="18"/>
                <w:szCs w:val="18"/>
                <w:color w:val="auto"/>
              </w:rPr>
              <w:t>Section 1350 certification (filed herewith)</w:t>
            </w:r>
          </w:p>
        </w:tc>
      </w:tr>
      <w:tr>
        <w:trPr>
          <w:trHeight w:val="661"/>
        </w:trPr>
        <w:tc>
          <w:tcPr>
            <w:tcW w:w="860" w:type="dxa"/>
            <w:vAlign w:val="bottom"/>
            <w:tcBorders>
              <w:bottom w:val="single" w:sz="8" w:color="auto"/>
            </w:tcBorders>
          </w:tcPr>
          <w:p>
            <w:pPr>
              <w:spacing w:after="0"/>
              <w:rPr>
                <w:sz w:val="24"/>
                <w:szCs w:val="24"/>
                <w:color w:val="auto"/>
              </w:rPr>
            </w:pPr>
          </w:p>
        </w:tc>
        <w:tc>
          <w:tcPr>
            <w:tcW w:w="10560" w:type="dxa"/>
            <w:vAlign w:val="bottom"/>
            <w:tcBorders>
              <w:bottom w:val="single" w:sz="8" w:color="auto"/>
            </w:tcBorders>
          </w:tcPr>
          <w:p>
            <w:pPr>
              <w:ind w:left="4760"/>
              <w:spacing w:after="0"/>
              <w:rPr>
                <w:sz w:val="20"/>
                <w:szCs w:val="20"/>
                <w:color w:val="auto"/>
              </w:rPr>
            </w:pPr>
            <w:r>
              <w:rPr>
                <w:rFonts w:ascii="Arial" w:cs="Arial" w:eastAsia="Arial" w:hAnsi="Arial"/>
                <w:sz w:val="18"/>
                <w:szCs w:val="18"/>
                <w:color w:val="auto"/>
              </w:rPr>
              <w:t>54</w:t>
            </w:r>
          </w:p>
        </w:tc>
      </w:tr>
    </w:tbl>
    <w:p>
      <w:pPr>
        <w:sectPr>
          <w:pgSz w:w="11900" w:h="16838" w:orient="portrait"/>
          <w:cols w:equalWidth="0" w:num="1">
            <w:col w:w="11420"/>
          </w:cols>
          <w:pgMar w:left="240" w:top="881"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13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8780" w:type="dxa"/>
            <w:vAlign w:val="bottom"/>
            <w:gridSpan w:val="2"/>
          </w:tcPr>
          <w:p>
            <w:pPr>
              <w:ind w:left="1480"/>
              <w:spacing w:after="0"/>
              <w:rPr>
                <w:sz w:val="20"/>
                <w:szCs w:val="20"/>
                <w:color w:val="auto"/>
              </w:rPr>
            </w:pPr>
            <w:r>
              <w:rPr>
                <w:rFonts w:ascii="Arial" w:cs="Arial" w:eastAsia="Arial" w:hAnsi="Arial"/>
                <w:sz w:val="18"/>
                <w:szCs w:val="18"/>
                <w:b w:val="1"/>
                <w:bCs w:val="1"/>
                <w:color w:val="auto"/>
              </w:rPr>
              <w:t xml:space="preserve">CONSUMER PORTFOLIO SERVICES, INC. </w:t>
            </w:r>
            <w:r>
              <w:rPr>
                <w:rFonts w:ascii="Arial" w:cs="Arial" w:eastAsia="Arial" w:hAnsi="Arial"/>
                <w:sz w:val="18"/>
                <w:szCs w:val="18"/>
                <w:i w:val="1"/>
                <w:iCs w:val="1"/>
                <w:color w:val="auto"/>
              </w:rPr>
              <w:t>(registrant)</w:t>
            </w:r>
          </w:p>
        </w:tc>
      </w:tr>
      <w:tr>
        <w:trPr>
          <w:trHeight w:val="432"/>
        </w:trPr>
        <w:tc>
          <w:tcPr>
            <w:tcW w:w="2640" w:type="dxa"/>
            <w:vAlign w:val="bottom"/>
          </w:tcPr>
          <w:p>
            <w:pPr>
              <w:spacing w:after="0"/>
              <w:rPr>
                <w:sz w:val="20"/>
                <w:szCs w:val="20"/>
                <w:color w:val="auto"/>
              </w:rPr>
            </w:pPr>
            <w:r>
              <w:rPr>
                <w:rFonts w:ascii="Arial" w:cs="Arial" w:eastAsia="Arial" w:hAnsi="Arial"/>
                <w:sz w:val="18"/>
                <w:szCs w:val="18"/>
                <w:color w:val="auto"/>
              </w:rPr>
              <w:t>March 10, 2014</w:t>
            </w:r>
          </w:p>
        </w:tc>
        <w:tc>
          <w:tcPr>
            <w:tcW w:w="2060" w:type="dxa"/>
            <w:vAlign w:val="bottom"/>
          </w:tcPr>
          <w:p>
            <w:pPr>
              <w:ind w:left="1480"/>
              <w:spacing w:after="0"/>
              <w:rPr>
                <w:sz w:val="20"/>
                <w:szCs w:val="20"/>
                <w:color w:val="auto"/>
              </w:rPr>
            </w:pPr>
            <w:r>
              <w:rPr>
                <w:rFonts w:ascii="Arial" w:cs="Arial" w:eastAsia="Arial" w:hAnsi="Arial"/>
                <w:sz w:val="18"/>
                <w:szCs w:val="18"/>
                <w:color w:val="auto"/>
              </w:rPr>
              <w:t>By:</w:t>
            </w:r>
          </w:p>
        </w:tc>
        <w:tc>
          <w:tcPr>
            <w:tcW w:w="6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CHARLES E. BRADLEY, JR.</w:t>
            </w:r>
          </w:p>
        </w:tc>
      </w:tr>
      <w:tr>
        <w:trPr>
          <w:trHeight w:val="224"/>
        </w:trPr>
        <w:tc>
          <w:tcPr>
            <w:tcW w:w="26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6720" w:type="dxa"/>
            <w:vAlign w:val="bottom"/>
          </w:tcPr>
          <w:p>
            <w:pPr>
              <w:ind w:left="100"/>
              <w:spacing w:after="0"/>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President</w:t>
            </w:r>
          </w:p>
        </w:tc>
      </w:tr>
    </w:tbl>
    <w:p>
      <w:pPr>
        <w:spacing w:after="0" w:line="187" w:lineRule="exact"/>
        <w:rPr>
          <w:sz w:val="20"/>
          <w:szCs w:val="20"/>
          <w:color w:val="auto"/>
        </w:rPr>
      </w:pPr>
    </w:p>
    <w:p>
      <w:pPr>
        <w:ind w:right="120" w:firstLine="13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March 10, 2014</w:t>
            </w: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CHARLES E. BRADLEY, JR.</w:t>
            </w:r>
          </w:p>
        </w:tc>
      </w:tr>
      <w:tr>
        <w:trPr>
          <w:trHeight w:val="195"/>
        </w:trPr>
        <w:tc>
          <w:tcPr>
            <w:tcW w:w="4800" w:type="dxa"/>
            <w:vAlign w:val="bottom"/>
          </w:tcPr>
          <w:p>
            <w:pPr>
              <w:spacing w:after="0"/>
              <w:rPr>
                <w:sz w:val="16"/>
                <w:szCs w:val="16"/>
                <w:color w:val="auto"/>
              </w:rPr>
            </w:pPr>
          </w:p>
        </w:tc>
        <w:tc>
          <w:tcPr>
            <w:tcW w:w="6620" w:type="dxa"/>
            <w:vAlign w:val="bottom"/>
          </w:tcPr>
          <w:p>
            <w:pPr>
              <w:ind w:left="100"/>
              <w:spacing w:after="0" w:line="195" w:lineRule="exact"/>
              <w:rPr>
                <w:sz w:val="20"/>
                <w:szCs w:val="20"/>
                <w:color w:val="auto"/>
              </w:rPr>
            </w:pPr>
            <w:r>
              <w:rPr>
                <w:rFonts w:ascii="Arial" w:cs="Arial" w:eastAsia="Arial" w:hAnsi="Arial"/>
                <w:sz w:val="18"/>
                <w:szCs w:val="18"/>
                <w:color w:val="auto"/>
              </w:rPr>
              <w:t xml:space="preserve">Charles E. Bradley, Jr., </w:t>
            </w:r>
            <w:r>
              <w:rPr>
                <w:rFonts w:ascii="Arial" w:cs="Arial" w:eastAsia="Arial" w:hAnsi="Arial"/>
                <w:sz w:val="18"/>
                <w:szCs w:val="18"/>
                <w:i w:val="1"/>
                <w:iCs w:val="1"/>
                <w:color w:val="auto"/>
              </w:rPr>
              <w:t>Director,</w:t>
            </w:r>
          </w:p>
        </w:tc>
      </w:tr>
      <w:tr>
        <w:trPr>
          <w:trHeight w:val="216"/>
        </w:trPr>
        <w:tc>
          <w:tcPr>
            <w:tcW w:w="4800" w:type="dxa"/>
            <w:vAlign w:val="bottom"/>
          </w:tcPr>
          <w:p>
            <w:pPr>
              <w:spacing w:after="0"/>
              <w:rPr>
                <w:sz w:val="18"/>
                <w:szCs w:val="18"/>
                <w:color w:val="auto"/>
              </w:rPr>
            </w:pPr>
          </w:p>
        </w:tc>
        <w:tc>
          <w:tcPr>
            <w:tcW w:w="6620" w:type="dxa"/>
            <w:vAlign w:val="bottom"/>
          </w:tcPr>
          <w:p>
            <w:pPr>
              <w:ind w:left="1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480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4800" w:type="dxa"/>
            <w:vAlign w:val="bottom"/>
          </w:tcPr>
          <w:p>
            <w:pPr>
              <w:spacing w:after="0"/>
              <w:rPr>
                <w:sz w:val="20"/>
                <w:szCs w:val="20"/>
                <w:color w:val="auto"/>
              </w:rPr>
            </w:pPr>
            <w:r>
              <w:rPr>
                <w:rFonts w:ascii="Arial" w:cs="Arial" w:eastAsia="Arial" w:hAnsi="Arial"/>
                <w:sz w:val="18"/>
                <w:szCs w:val="18"/>
                <w:color w:val="auto"/>
              </w:rPr>
              <w:t>March 10, 2014</w:t>
            </w: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CHRIS A. ADAMS</w:t>
            </w:r>
          </w:p>
        </w:tc>
      </w:tr>
      <w:tr>
        <w:trPr>
          <w:trHeight w:val="224"/>
        </w:trPr>
        <w:tc>
          <w:tcPr>
            <w:tcW w:w="48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 xml:space="preserve">Chris A. Adams,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10, 2014</w:t>
            </w: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BRIAN J. RAYHILL</w:t>
            </w:r>
          </w:p>
        </w:tc>
      </w:tr>
      <w:tr>
        <w:trPr>
          <w:trHeight w:val="224"/>
        </w:trPr>
        <w:tc>
          <w:tcPr>
            <w:tcW w:w="48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 xml:space="preserve">Brian J. Rayhill,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10, 2014</w:t>
            </w: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WILLIAM B. ROBERTS</w:t>
            </w:r>
          </w:p>
        </w:tc>
      </w:tr>
      <w:tr>
        <w:trPr>
          <w:trHeight w:val="224"/>
        </w:trPr>
        <w:tc>
          <w:tcPr>
            <w:tcW w:w="48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 xml:space="preserve">William B. Roberts,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10, 2014</w:t>
            </w: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GREGORY S. WASHER</w:t>
            </w:r>
          </w:p>
        </w:tc>
      </w:tr>
      <w:tr>
        <w:trPr>
          <w:trHeight w:val="224"/>
        </w:trPr>
        <w:tc>
          <w:tcPr>
            <w:tcW w:w="48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 xml:space="preserve">Gregory S. Washer,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10, 2014</w:t>
            </w: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DANIEL S. WOOD</w:t>
            </w:r>
          </w:p>
        </w:tc>
      </w:tr>
      <w:tr>
        <w:trPr>
          <w:trHeight w:val="224"/>
        </w:trPr>
        <w:tc>
          <w:tcPr>
            <w:tcW w:w="4800" w:type="dxa"/>
            <w:vAlign w:val="bottom"/>
          </w:tcPr>
          <w:p>
            <w:pPr>
              <w:spacing w:after="0"/>
              <w:rPr>
                <w:sz w:val="19"/>
                <w:szCs w:val="19"/>
                <w:color w:val="auto"/>
              </w:rPr>
            </w:pPr>
          </w:p>
        </w:tc>
        <w:tc>
          <w:tcPr>
            <w:tcW w:w="6620" w:type="dxa"/>
            <w:vAlign w:val="bottom"/>
          </w:tcPr>
          <w:p>
            <w:pPr>
              <w:ind w:left="100"/>
              <w:spacing w:after="0"/>
              <w:rPr>
                <w:sz w:val="20"/>
                <w:szCs w:val="20"/>
                <w:color w:val="auto"/>
              </w:rPr>
            </w:pPr>
            <w:r>
              <w:rPr>
                <w:rFonts w:ascii="Arial" w:cs="Arial" w:eastAsia="Arial" w:hAnsi="Arial"/>
                <w:sz w:val="18"/>
                <w:szCs w:val="18"/>
                <w:color w:val="auto"/>
              </w:rPr>
              <w:t xml:space="preserve">Daniel S. Wood, </w:t>
            </w:r>
            <w:r>
              <w:rPr>
                <w:rFonts w:ascii="Arial" w:cs="Arial" w:eastAsia="Arial" w:hAnsi="Arial"/>
                <w:sz w:val="18"/>
                <w:szCs w:val="18"/>
                <w:i w:val="1"/>
                <w:iCs w:val="1"/>
                <w:color w:val="auto"/>
              </w:rPr>
              <w:t>Director</w:t>
            </w:r>
          </w:p>
        </w:tc>
      </w:tr>
      <w:tr>
        <w:trPr>
          <w:trHeight w:val="620"/>
        </w:trPr>
        <w:tc>
          <w:tcPr>
            <w:tcW w:w="4800" w:type="dxa"/>
            <w:vAlign w:val="bottom"/>
          </w:tcPr>
          <w:p>
            <w:pPr>
              <w:spacing w:after="0"/>
              <w:rPr>
                <w:sz w:val="20"/>
                <w:szCs w:val="20"/>
                <w:color w:val="auto"/>
              </w:rPr>
            </w:pPr>
            <w:r>
              <w:rPr>
                <w:rFonts w:ascii="Arial" w:cs="Arial" w:eastAsia="Arial" w:hAnsi="Arial"/>
                <w:sz w:val="18"/>
                <w:szCs w:val="18"/>
                <w:color w:val="auto"/>
              </w:rPr>
              <w:t>March 10, 2014</w:t>
            </w:r>
          </w:p>
        </w:tc>
        <w:tc>
          <w:tcPr>
            <w:tcW w:w="6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JEFFREY P. FRITZ</w:t>
            </w:r>
          </w:p>
        </w:tc>
      </w:tr>
      <w:tr>
        <w:trPr>
          <w:trHeight w:val="195"/>
        </w:trPr>
        <w:tc>
          <w:tcPr>
            <w:tcW w:w="4800" w:type="dxa"/>
            <w:vAlign w:val="bottom"/>
          </w:tcPr>
          <w:p>
            <w:pPr>
              <w:spacing w:after="0"/>
              <w:rPr>
                <w:sz w:val="16"/>
                <w:szCs w:val="16"/>
                <w:color w:val="auto"/>
              </w:rPr>
            </w:pPr>
          </w:p>
        </w:tc>
        <w:tc>
          <w:tcPr>
            <w:tcW w:w="6620" w:type="dxa"/>
            <w:vAlign w:val="bottom"/>
          </w:tcPr>
          <w:p>
            <w:pPr>
              <w:ind w:left="100"/>
              <w:spacing w:after="0" w:line="195" w:lineRule="exact"/>
              <w:rPr>
                <w:sz w:val="20"/>
                <w:szCs w:val="20"/>
                <w:color w:val="auto"/>
              </w:rPr>
            </w:pPr>
            <w:r>
              <w:rPr>
                <w:rFonts w:ascii="Arial" w:cs="Arial" w:eastAsia="Arial" w:hAnsi="Arial"/>
                <w:sz w:val="18"/>
                <w:szCs w:val="18"/>
                <w:color w:val="auto"/>
              </w:rPr>
              <w:t xml:space="preserve">Jeffrey P. Fritz, </w:t>
            </w:r>
            <w:r>
              <w:rPr>
                <w:rFonts w:ascii="Arial" w:cs="Arial" w:eastAsia="Arial" w:hAnsi="Arial"/>
                <w:sz w:val="18"/>
                <w:szCs w:val="18"/>
                <w:i w:val="1"/>
                <w:iCs w:val="1"/>
                <w:color w:val="auto"/>
              </w:rPr>
              <w:t>Sr. Vice President and Chief Financial Officer</w:t>
            </w:r>
          </w:p>
        </w:tc>
      </w:tr>
      <w:tr>
        <w:trPr>
          <w:trHeight w:val="230"/>
        </w:trPr>
        <w:tc>
          <w:tcPr>
            <w:tcW w:w="4800" w:type="dxa"/>
            <w:vAlign w:val="bottom"/>
          </w:tcPr>
          <w:p>
            <w:pPr>
              <w:spacing w:after="0"/>
              <w:rPr>
                <w:sz w:val="20"/>
                <w:szCs w:val="20"/>
                <w:color w:val="auto"/>
              </w:rPr>
            </w:pPr>
          </w:p>
        </w:tc>
        <w:tc>
          <w:tcPr>
            <w:tcW w:w="6620" w:type="dxa"/>
            <w:vAlign w:val="bottom"/>
          </w:tcPr>
          <w:p>
            <w:pPr>
              <w:ind w:left="10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160" w:type="dxa"/>
            <w:vAlign w:val="bottom"/>
          </w:tcPr>
          <w:p>
            <w:pPr>
              <w:jc w:val="center"/>
              <w:ind w:left="1150"/>
              <w:spacing w:after="0"/>
              <w:rPr>
                <w:sz w:val="20"/>
                <w:szCs w:val="20"/>
                <w:color w:val="auto"/>
              </w:rPr>
            </w:pPr>
            <w:r>
              <w:rPr>
                <w:rFonts w:ascii="Arial" w:cs="Arial" w:eastAsia="Arial" w:hAnsi="Arial"/>
                <w:sz w:val="18"/>
                <w:szCs w:val="18"/>
                <w:b w:val="1"/>
                <w:bCs w:val="1"/>
                <w:color w:val="auto"/>
              </w:rPr>
              <w:t>INDEX TO FINANCIAL STATEMENTS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016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Page Reference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Report of Independent Registered Public Accounting Firm – Crowe Horwath LLP</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Consolidated Balance Sheets as of December 31, 2013 and 2012</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Operations for the years ended December 31, 2013 and 2012</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Comprehensive Income for the years ended December 31, 2013 and 2012</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Shareholders’ Equity for the years ended December 31, 2013 and 2012</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Consolidated Statements of Cash Flows for the years ended December 31, 2013 and 2012</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F-9</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160" w:type="dxa"/>
            <w:vAlign w:val="bottom"/>
            <w:tcBorders>
              <w:bottom w:val="single" w:sz="8" w:color="auto"/>
            </w:tcBorders>
          </w:tcPr>
          <w:p>
            <w:pPr>
              <w:jc w:val="center"/>
              <w:ind w:left="1130"/>
              <w:spacing w:after="0"/>
              <w:rPr>
                <w:sz w:val="20"/>
                <w:szCs w:val="20"/>
                <w:color w:val="auto"/>
              </w:rPr>
            </w:pPr>
            <w:r>
              <w:rPr>
                <w:rFonts w:ascii="Arial" w:cs="Arial" w:eastAsia="Arial" w:hAnsi="Arial"/>
                <w:sz w:val="18"/>
                <w:szCs w:val="18"/>
                <w:color w:val="auto"/>
                <w:w w:val="96"/>
              </w:rPr>
              <w:t>F-1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9" w:right="239" w:bottom="1440" w:gutter="0" w:footer="0" w:header="0"/>
        </w:sectPr>
      </w:pPr>
    </w:p>
    <w:bookmarkStart w:id="58" w:name="page59"/>
    <w:bookmarkEnd w:id="58"/>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Consumer Portfolio Services, Inc.</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audited the accompanying consolidated balance sheets of Consumer Portfolio Services, Inc. and subsidiaries (the Company) as of December 31, 2013 and 2012, and the related consolidated statements of operations, comprehensive income, shareholders' equity, and cash flows for the years then ended. We also have audited the Company’s internal control over financial reporting as of December 31, 2013, based on criteria established in the 1992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Consumer Portfolio Services, Inc. and subsidiaries as of December 31, 2013 and 2012, and the results of their operations and their cash flows for the years then ended in conformity with accounting principles generally accepted in the United States of America. Also in our opinion, Consumer Portfolio Services, Inc. maintained, in all material respects, effective internal control over financial reporting as of December 31, 2013, based on the criteria established in the 1992 Internal Control – Integrated Framework issued by the Committee of Sponsoring Organizations of the Treadway Commission.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CROWE HORWATH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December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22,112</w:t>
            </w:r>
          </w:p>
        </w:tc>
        <w:tc>
          <w:tcPr>
            <w:tcW w:w="200" w:type="dxa"/>
            <w:vAlign w:val="bottom"/>
          </w:tcPr>
          <w:p>
            <w:pPr>
              <w:spacing w:after="0"/>
              <w:rPr>
                <w:sz w:val="18"/>
                <w:szCs w:val="18"/>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132,284</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1,155,063</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764,343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18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(39,626)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(19,594)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1,115,437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744,749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14,476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in securitizations</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Furniture and equipment, net</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59,215</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18,670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21,481</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15,051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1,396,366</w:t>
            </w:r>
          </w:p>
        </w:tc>
        <w:tc>
          <w:tcPr>
            <w:tcW w:w="200" w:type="dxa"/>
            <w:vAlign w:val="bottom"/>
            <w:tcBorders>
              <w:bottom w:val="single" w:sz="8" w:color="EEEEEE"/>
            </w:tcBorders>
          </w:tcPr>
          <w:p>
            <w:pPr>
              <w:spacing w:after="0"/>
              <w:rPr>
                <w:sz w:val="22"/>
                <w:szCs w:val="22"/>
                <w:color w:val="auto"/>
              </w:rPr>
            </w:pPr>
          </w:p>
        </w:tc>
        <w:tc>
          <w:tcPr>
            <w:tcW w:w="160" w:type="dxa"/>
            <w:vAlign w:val="bottom"/>
            <w:tcBorders>
              <w:bottom w:val="single" w:sz="8" w:color="EEEEEE"/>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1,037,620</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24,839</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17,785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9,452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19,096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receivables measured at fair value</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Securitization trust debt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1,177,559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792,497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Senior secured debt, related party</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38,559</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19,142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1,301,764</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976,309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24,015,585 and 19,838,913 shares issued</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December 31, 2013 and 2012, respectively</w:t>
            </w:r>
          </w:p>
        </w:tc>
        <w:tc>
          <w:tcPr>
            <w:tcW w:w="18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73,422</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22,275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EEEEEE"/>
          </w:tcPr>
          <w:p>
            <w:pPr>
              <w:spacing w:after="0"/>
              <w:rPr>
                <w:sz w:val="19"/>
                <w:szCs w:val="19"/>
                <w:color w:val="auto"/>
              </w:rPr>
            </w:pPr>
          </w:p>
        </w:tc>
        <w:tc>
          <w:tcPr>
            <w:tcW w:w="16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94,602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61,311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1,396,366</w:t>
            </w:r>
          </w:p>
        </w:tc>
        <w:tc>
          <w:tcPr>
            <w:tcW w:w="20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1,037,620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top w:val="single" w:sz="8" w:color="auto"/>
              <w:bottom w:val="single" w:sz="8" w:color="EEEEEE"/>
            </w:tcBorders>
          </w:tcPr>
          <w:p>
            <w:pPr>
              <w:spacing w:after="0"/>
              <w:rPr>
                <w:sz w:val="19"/>
                <w:szCs w:val="19"/>
                <w:color w:val="auto"/>
              </w:rPr>
            </w:pPr>
          </w:p>
        </w:tc>
        <w:tc>
          <w:tcPr>
            <w:tcW w:w="18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231,330</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175,314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3,093</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10,405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9,589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10,947</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255,775</w:t>
            </w:r>
          </w:p>
        </w:tc>
        <w:tc>
          <w:tcPr>
            <w:tcW w:w="18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187,208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Employee costs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42,960</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16,345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58,179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76,869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7,841</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13,363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2,608</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218,602</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178,021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16,168</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(60,221)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21,005</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69,408</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0.98</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0.67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21,538</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19,473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31,574</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25,478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1" w:name="page62"/>
    <w:bookmarkEnd w:id="61"/>
    <w:p>
      <w:pPr>
        <w:jc w:val="center"/>
        <w:ind w:left="520" w:right="519"/>
        <w:spacing w:after="0" w:line="266" w:lineRule="auto"/>
        <w:rPr>
          <w:sz w:val="20"/>
          <w:szCs w:val="20"/>
          <w:color w:val="auto"/>
        </w:rPr>
      </w:pPr>
      <w:r>
        <w:rPr>
          <w:rFonts w:ascii="Arial" w:cs="Arial" w:eastAsia="Arial" w:hAnsi="Arial"/>
          <w:sz w:val="18"/>
          <w:szCs w:val="18"/>
          <w:b w:val="1"/>
          <w:bCs w:val="1"/>
          <w:color w:val="auto"/>
        </w:rPr>
        <w:t>CONSUMER PORTFOLIO SERVICES, INC. AND SUBSIDIARIES CONSOLIDATED STATEMENTS OF COMPREHENSIVE INCOME (In thousands)</w:t>
      </w:r>
    </w:p>
    <w:p>
      <w:pPr>
        <w:spacing w:after="0" w:line="19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040" w:type="dxa"/>
            <w:vAlign w:val="bottom"/>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8"/>
              </w:rPr>
              <w:t>21,005</w:t>
            </w:r>
          </w:p>
        </w:tc>
        <w:tc>
          <w:tcPr>
            <w:tcW w:w="1240" w:type="dxa"/>
            <w:vAlign w:val="bottom"/>
            <w:gridSpan w:val="2"/>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69,408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w w:val="94"/>
              </w:rPr>
              <w:t>Other comprehensive income; change in funded status of</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w w:val="97"/>
              </w:rPr>
              <w:t>pension plan, net of $3,044 and ($150) in tax for 2013</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and 2012, respectively</w:t>
            </w:r>
          </w:p>
        </w:tc>
        <w:tc>
          <w:tcPr>
            <w:tcW w:w="104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4,542</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1040" w:type="dxa"/>
            <w:vAlign w:val="bottom"/>
            <w:tcBorders>
              <w:top w:val="single" w:sz="8" w:color="auto"/>
              <w:bottom w:val="single" w:sz="8" w:color="auto"/>
            </w:tcBorders>
            <w:shd w:val="clear" w:color="auto" w:fill="EEEEEE"/>
          </w:tcPr>
          <w:p>
            <w:pPr>
              <w:jc w:val="right"/>
              <w:ind w:right="87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25,547</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80" w:type="dxa"/>
            <w:vAlign w:val="bottom"/>
            <w:tcBorders>
              <w:top w:val="single" w:sz="8" w:color="auto"/>
              <w:bottom w:val="single" w:sz="8" w:color="auto"/>
            </w:tcBorders>
            <w:shd w:val="clear" w:color="auto" w:fill="EEEEEE"/>
          </w:tcPr>
          <w:p>
            <w:pPr>
              <w:jc w:val="right"/>
              <w:ind w:right="8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72,306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878"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Earnings/</w:t>
            </w:r>
          </w:p>
        </w:tc>
        <w:tc>
          <w:tcPr>
            <w:tcW w:w="100" w:type="dxa"/>
            <w:vAlign w:val="bottom"/>
          </w:tcPr>
          <w:p>
            <w:pPr>
              <w:spacing w:after="0"/>
              <w:rPr>
                <w:sz w:val="18"/>
                <w:szCs w:val="18"/>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Other</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Common Stock</w:t>
            </w: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9"/>
                <w:szCs w:val="19"/>
                <w:color w:val="auto"/>
              </w:rPr>
            </w:pPr>
          </w:p>
        </w:tc>
        <w:tc>
          <w:tcPr>
            <w:tcW w:w="158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Comprehensive</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20"/>
                <w:szCs w:val="20"/>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w w:val="93"/>
              </w:rPr>
              <w:t>Amount</w:t>
            </w:r>
          </w:p>
        </w:tc>
        <w:tc>
          <w:tcPr>
            <w:tcW w:w="140" w:type="dxa"/>
            <w:vAlign w:val="bottom"/>
          </w:tcPr>
          <w:p>
            <w:pPr>
              <w:spacing w:after="0"/>
              <w:rPr>
                <w:sz w:val="20"/>
                <w:szCs w:val="20"/>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Deficit)</w:t>
            </w:r>
          </w:p>
        </w:tc>
        <w:tc>
          <w:tcPr>
            <w:tcW w:w="1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Loss</w:t>
            </w:r>
          </w:p>
        </w:tc>
        <w:tc>
          <w:tcPr>
            <w:tcW w:w="30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January 1, 2012</w:t>
            </w:r>
          </w:p>
        </w:tc>
        <w:tc>
          <w:tcPr>
            <w:tcW w:w="22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19,527</w:t>
            </w:r>
          </w:p>
        </w:tc>
        <w:tc>
          <w:tcPr>
            <w:tcW w:w="340" w:type="dxa"/>
            <w:vAlign w:val="bottom"/>
            <w:tcBorders>
              <w:top w:val="single" w:sz="8" w:color="EEEEEE"/>
            </w:tcBorders>
            <w:shd w:val="clear" w:color="auto" w:fill="EEEEEE"/>
          </w:tcPr>
          <w:p>
            <w:pPr>
              <w:spacing w:after="0"/>
              <w:rPr>
                <w:sz w:val="18"/>
                <w:szCs w:val="18"/>
                <w:color w:val="auto"/>
              </w:rPr>
            </w:pPr>
          </w:p>
        </w:tc>
        <w:tc>
          <w:tcPr>
            <w:tcW w:w="400" w:type="dxa"/>
            <w:vAlign w:val="bottom"/>
            <w:tcBorders>
              <w:top w:val="single" w:sz="8" w:color="auto"/>
            </w:tcBorders>
            <w:shd w:val="clear" w:color="auto" w:fill="EEEEEE"/>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62,466</w:t>
            </w:r>
          </w:p>
        </w:tc>
        <w:tc>
          <w:tcPr>
            <w:tcW w:w="3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(68,138)</w:t>
            </w:r>
          </w:p>
        </w:tc>
        <w:tc>
          <w:tcPr>
            <w:tcW w:w="3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(8,535)</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(14,207)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0"/>
              </w:rPr>
              <w:t>Common stock issued upon exercise of</w:t>
            </w:r>
          </w:p>
        </w:tc>
        <w:tc>
          <w:tcPr>
            <w:tcW w:w="22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options and warrants</w:t>
            </w:r>
          </w:p>
        </w:tc>
        <w:tc>
          <w:tcPr>
            <w:tcW w:w="194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632</w:t>
            </w:r>
          </w:p>
        </w:tc>
        <w:tc>
          <w:tcPr>
            <w:tcW w:w="40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Purchase of common stock</w:t>
            </w:r>
          </w:p>
        </w:tc>
        <w:tc>
          <w:tcPr>
            <w:tcW w:w="194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(320)</w:t>
            </w:r>
          </w:p>
        </w:tc>
        <w:tc>
          <w:tcPr>
            <w:tcW w:w="4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2,898</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1,134</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Reclassification of warrants from debt</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1,307</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69,408</w:t>
            </w:r>
          </w:p>
        </w:tc>
        <w:tc>
          <w:tcPr>
            <w:tcW w:w="1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69,408</w:t>
            </w:r>
          </w:p>
        </w:tc>
        <w:tc>
          <w:tcPr>
            <w:tcW w:w="0" w:type="dxa"/>
            <w:vAlign w:val="bottom"/>
          </w:tcPr>
          <w:p>
            <w:pPr>
              <w:spacing w:after="0"/>
              <w:rPr>
                <w:sz w:val="1"/>
                <w:szCs w:val="1"/>
                <w:color w:val="auto"/>
              </w:rPr>
            </w:pPr>
          </w:p>
        </w:tc>
      </w:tr>
      <w:tr>
        <w:trPr>
          <w:trHeight w:val="263"/>
        </w:trPr>
        <w:tc>
          <w:tcPr>
            <w:tcW w:w="2880" w:type="dxa"/>
            <w:vAlign w:val="bottom"/>
            <w:gridSpan w:val="2"/>
          </w:tcPr>
          <w:p>
            <w:pPr>
              <w:spacing w:after="0"/>
              <w:rPr>
                <w:sz w:val="20"/>
                <w:szCs w:val="20"/>
                <w:color w:val="auto"/>
              </w:rPr>
            </w:pPr>
            <w:r>
              <w:rPr>
                <w:rFonts w:ascii="Arial" w:cs="Arial" w:eastAsia="Arial" w:hAnsi="Arial"/>
                <w:sz w:val="18"/>
                <w:szCs w:val="18"/>
                <w:color w:val="auto"/>
              </w:rPr>
              <w:t>Balance at December 31, 2012</w:t>
            </w:r>
          </w:p>
        </w:tc>
        <w:tc>
          <w:tcPr>
            <w:tcW w:w="2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19,839</w:t>
            </w:r>
          </w:p>
        </w:tc>
        <w:tc>
          <w:tcPr>
            <w:tcW w:w="3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65,678</w:t>
            </w:r>
          </w:p>
        </w:tc>
        <w:tc>
          <w:tcPr>
            <w:tcW w:w="3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3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6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138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400" w:type="dxa"/>
            <w:vAlign w:val="bottom"/>
            <w:tcBorders>
              <w:top w:val="single" w:sz="8" w:color="auto"/>
            </w:tcBorders>
            <w:shd w:val="clear" w:color="auto" w:fill="EEEEEE"/>
          </w:tcPr>
          <w:p>
            <w:pPr>
              <w:spacing w:after="0"/>
              <w:rPr>
                <w:sz w:val="17"/>
                <w:szCs w:val="17"/>
                <w:color w:val="auto"/>
              </w:rPr>
            </w:pPr>
          </w:p>
        </w:tc>
        <w:tc>
          <w:tcPr>
            <w:tcW w:w="980" w:type="dxa"/>
            <w:vAlign w:val="bottom"/>
            <w:tcBorders>
              <w:top w:val="single" w:sz="8" w:color="auto"/>
            </w:tcBorders>
            <w:shd w:val="clear" w:color="auto" w:fill="EEEEEE"/>
          </w:tcPr>
          <w:p>
            <w:pPr>
              <w:spacing w:after="0"/>
              <w:rPr>
                <w:sz w:val="17"/>
                <w:szCs w:val="17"/>
                <w:color w:val="auto"/>
              </w:rPr>
            </w:pPr>
          </w:p>
        </w:tc>
        <w:tc>
          <w:tcPr>
            <w:tcW w:w="36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auto"/>
            </w:tcBorders>
            <w:shd w:val="clear" w:color="auto" w:fill="EEEEEE"/>
          </w:tcPr>
          <w:p>
            <w:pPr>
              <w:spacing w:after="0"/>
              <w:rPr>
                <w:sz w:val="17"/>
                <w:szCs w:val="17"/>
                <w:color w:val="auto"/>
              </w:rPr>
            </w:pPr>
          </w:p>
        </w:tc>
        <w:tc>
          <w:tcPr>
            <w:tcW w:w="1240" w:type="dxa"/>
            <w:vAlign w:val="bottom"/>
            <w:tcBorders>
              <w:top w:val="single" w:sz="8" w:color="auto"/>
            </w:tcBorders>
            <w:shd w:val="clear" w:color="auto" w:fill="EEEEEE"/>
          </w:tcPr>
          <w:p>
            <w:pPr>
              <w:spacing w:after="0"/>
              <w:rPr>
                <w:sz w:val="17"/>
                <w:szCs w:val="17"/>
                <w:color w:val="auto"/>
              </w:rPr>
            </w:pPr>
          </w:p>
        </w:tc>
        <w:tc>
          <w:tcPr>
            <w:tcW w:w="34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auto"/>
            </w:tcBorders>
            <w:shd w:val="clear" w:color="auto" w:fill="EEEEEE"/>
          </w:tcPr>
          <w:p>
            <w:pPr>
              <w:spacing w:after="0"/>
              <w:rPr>
                <w:sz w:val="17"/>
                <w:szCs w:val="17"/>
                <w:color w:val="auto"/>
              </w:rPr>
            </w:pPr>
          </w:p>
        </w:tc>
        <w:tc>
          <w:tcPr>
            <w:tcW w:w="12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w w:val="90"/>
              </w:rPr>
              <w:t>Common stock issued upon exercise of</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tcPr>
          <w:p>
            <w:pPr>
              <w:ind w:left="180"/>
              <w:spacing w:after="0"/>
              <w:rPr>
                <w:sz w:val="20"/>
                <w:szCs w:val="20"/>
                <w:color w:val="auto"/>
              </w:rPr>
            </w:pPr>
            <w:r>
              <w:rPr>
                <w:rFonts w:ascii="Arial" w:cs="Arial" w:eastAsia="Arial" w:hAnsi="Arial"/>
                <w:sz w:val="18"/>
                <w:szCs w:val="18"/>
                <w:color w:val="auto"/>
              </w:rPr>
              <w:t>options and warrants</w:t>
            </w:r>
          </w:p>
        </w:tc>
        <w:tc>
          <w:tcPr>
            <w:tcW w:w="1940" w:type="dxa"/>
            <w:vAlign w:val="bottom"/>
            <w:gridSpan w:val="3"/>
          </w:tcPr>
          <w:p>
            <w:pPr>
              <w:jc w:val="right"/>
              <w:ind w:right="340"/>
              <w:spacing w:after="0"/>
              <w:rPr>
                <w:sz w:val="20"/>
                <w:szCs w:val="20"/>
                <w:color w:val="auto"/>
              </w:rPr>
            </w:pPr>
            <w:r>
              <w:rPr>
                <w:rFonts w:ascii="Arial" w:cs="Arial" w:eastAsia="Arial" w:hAnsi="Arial"/>
                <w:sz w:val="18"/>
                <w:szCs w:val="18"/>
                <w:color w:val="auto"/>
              </w:rPr>
              <w:t>4,177</w:t>
            </w:r>
          </w:p>
        </w:tc>
        <w:tc>
          <w:tcPr>
            <w:tcW w:w="40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3,297</w:t>
            </w:r>
          </w:p>
        </w:tc>
        <w:tc>
          <w:tcPr>
            <w:tcW w:w="14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2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4,542</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3,864</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8"/>
                <w:szCs w:val="18"/>
                <w:color w:val="auto"/>
                <w:w w:val="94"/>
              </w:rPr>
              <w:t>Reclassification of warrants from debt</w:t>
            </w:r>
          </w:p>
        </w:tc>
        <w:tc>
          <w:tcPr>
            <w:tcW w:w="22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21,005</w:t>
            </w:r>
          </w:p>
        </w:tc>
        <w:tc>
          <w:tcPr>
            <w:tcW w:w="1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December 31, 2013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24,016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400" w:type="dxa"/>
            <w:vAlign w:val="bottom"/>
            <w:tcBorders>
              <w:top w:val="single" w:sz="8" w:color="auto"/>
              <w:bottom w:val="single" w:sz="8" w:color="auto"/>
            </w:tcBorders>
            <w:shd w:val="clear" w:color="auto" w:fill="EEEEEE"/>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73,422</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22,275</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(1,095</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94,602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21,005</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69,408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(20,565)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Accretion of purchase discount on receivables measured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Amortization of discount on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Accretion of premium on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2,726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Mark to fair value on debt secured by receivables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(747)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Mark to fair value of receivables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6,803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76,869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Provision for contingent liabilities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7,841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3,864</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Gain on cancellation of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(10,947)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Change in fair value of warrants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58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(8,259)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580"/>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(2,183)</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5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16,425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58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4,337</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78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99,372</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34,989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(764,087)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(551,742)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337,095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295,734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receivables portfolio at fair value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46,018</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received on residual interest in securitizations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3,970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(4,246)</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Decreases (increases) in restricted cash and cash equivalents, net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(27,839)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54,783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7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(409,566</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(91,493</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778,000</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1,276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5,284</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(5,415)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(12,279)</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Net proceeds from (repayments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5,323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(382,591)</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(350,981)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(45,969)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Repayment of senior secured debt, related party</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(18,852)</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Payment of financing costs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(8,734)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common stock</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3,297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319,340</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59,376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9,146</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12,966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10,094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year</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22,112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12,966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(continued)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98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Interest</w:t>
            </w:r>
          </w:p>
        </w:tc>
        <w:tc>
          <w:tcPr>
            <w:tcW w:w="1040" w:type="dxa"/>
            <w:vAlign w:val="bottom"/>
            <w:shd w:val="clear" w:color="auto" w:fill="EEEEEE"/>
          </w:tcPr>
          <w:p>
            <w:pPr>
              <w:jc w:val="right"/>
              <w:ind w:right="87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w w:val="98"/>
              </w:rPr>
              <w:t>50,663</w:t>
            </w:r>
          </w:p>
        </w:tc>
        <w:tc>
          <w:tcPr>
            <w:tcW w:w="1180" w:type="dxa"/>
            <w:vAlign w:val="bottom"/>
            <w:gridSpan w:val="2"/>
            <w:shd w:val="clear" w:color="auto" w:fill="EEEEEE"/>
          </w:tcPr>
          <w:p>
            <w:pPr>
              <w:jc w:val="right"/>
              <w:ind w:right="9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8"/>
              </w:rPr>
              <w:t>75,654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0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2,277</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Pension benefit obligation, net</w:t>
            </w:r>
          </w:p>
        </w:tc>
        <w:tc>
          <w:tcPr>
            <w:tcW w:w="1040" w:type="dxa"/>
            <w:vAlign w:val="bottom"/>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(4,542)</w:t>
            </w:r>
          </w:p>
        </w:tc>
        <w:tc>
          <w:tcPr>
            <w:tcW w:w="1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80"/>
              <w:spacing w:after="0"/>
              <w:rPr>
                <w:sz w:val="20"/>
                <w:szCs w:val="20"/>
                <w:color w:val="auto"/>
              </w:rPr>
            </w:pPr>
            <w:r>
              <w:rPr>
                <w:rFonts w:ascii="Arial" w:cs="Arial" w:eastAsia="Arial" w:hAnsi="Arial"/>
                <w:sz w:val="18"/>
                <w:szCs w:val="18"/>
                <w:color w:val="auto"/>
              </w:rPr>
              <w:t>Derivative warrants reclassified from liabilities to common stock upon amendment</w:t>
            </w:r>
          </w:p>
        </w:tc>
        <w:tc>
          <w:tcPr>
            <w:tcW w:w="10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2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Consumer Portfolio Services, Inc. ("CPS") was incorporated in California on March 8, 1991. CPS and its subsidiaries (collectively, the "Company") specialize in purchasing and servicing retail automobile installment sale contracts ("contracts") originated by licensed motor vehicle dealers ("Dealers") located throughout the United States. Dealers located in California, Texas, Pennsylvania, Illinois, Georgia and New Jersey represented 10.6%, 10.0%, 6.0%, 5.2%, 5.1% and 5.1%, respectively, of contracts purchased during 2013 compared with 13.5%, 9.5%, 9.2%, 4.3%, 5.0% and 4.1%, respectively in 2012. No other state had a concentration in excess of 5.0% in 2013. We specialize in contracts with borrowers who generally would not be expected to qualify for traditional financing provided by commercial banks or automobile manufacturers’ captive finance companies.</w:t>
      </w:r>
    </w:p>
    <w:p>
      <w:pPr>
        <w:spacing w:after="0" w:line="16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various regulations and laws as they relate to the extension of credit in consumer credit transactions. Failure to comply with such laws and regulations could have a material adverse effect on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Consolidated Financial Statements include the accounts of Consumer Portfolio Services, Inc. and its wholly-owned subsidiaries, certain of which are special purpose subsidiaries ("SPS"), formed to accommodate the structures under which we purchase and securitize our contracts. The Consolidated Financial Statements also include the accounts of CPS Leasing, Inc., an 80% owned subsidiary. All significant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For purposes of the statements of cash flows, we consider all highly liquid debt instruments with original maturities of three months or less to be cash equivalents. Cash equivalents consist of cash on hand and due from banks and money market accounts. Substantially all of our cash is deposited at three financial institutions. We maintain cash due from banks in excess of the banks' insured deposit limits. We do not believe we are exposed to any significant credit risk on these deposits. As part of certain financial covenants related to debt facilities, we are required to maintain a minimum unrestricted cash balance. As of December 31, 2013, our unrestricted cash balance was $22.1 million, which exceeded the minimum amounts required by our financial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2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Finance receivables, which we have the intent and ability to hold for the foreseeable future or until maturity or payoff, are presented at cost. All finance receivable contracts are held for investment. Interest income is accrued on the unpaid principal balance. Origination fees, net of certain direct origination costs, are deferred and recognized in interest income using the interest method without anticipating prepayments. Generally, payments received on finance receivables are restricted to certain securitized pools, and the related contracts cannot be resold. Finance receivables are charged off pursuant to the controlling documents of certain securitized pools, generally as described below under Charge Off Policy. Management may authorize an extension of payment terms if collection appears likely during the next calendar month.</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portfolio of finance receivables consists of small-balance homogeneous contracts that are collectively evaluated for impairment on a portfolio basis.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Finance Credit Losses</w:t>
      </w:r>
    </w:p>
    <w:p>
      <w:pPr>
        <w:spacing w:after="0" w:line="225"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order to estimate an appropriate allowance for losses likely incurred on finance receivables, we use a loss allowance methodology commonly referred to as "static pooling," which stratifies the finance receivable portfolio into separately identified pools based on their period of origination, then uses historical performance of seasoned pools to estimate future losses on current pools. Historical loss experience is adjusted as necessary for current economic conditions. We consider our portfolio of finance receivables to be relatively homogenous and consequently we analyze credit performance primarily in the aggregate rather than stratification by any particular credit quality indicator. Using analytical and formula driven techniques, we estimate an allowance for finance credit losses, which we believe is adequate for probable incurred credit losses that can be reasonably estimated in our portfolio of finance receivable contracts. For each monthly pool of contracts that we purchase, we begin establishing the allowance in the month of acquisition and increase it over the subsequent 11 months, through a provision for credit losses charged to our consolidated statement of operations. Net losses incurred on finance receivables are charged to the allowance. We evaluate the adequacy of the allowance by examining current delinquencies, the characteristics of the portfolio, the value of the underlying collateral and historical loss trends. As conditions change, our level of provisioning and/or allowance may change.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and Related Debt Measured at Fair Value</w:t>
      </w:r>
    </w:p>
    <w:p>
      <w:pPr>
        <w:spacing w:after="0" w:line="22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September 2011, we acquired $217.8 million of finance receivables from Fireside Bank for a purchase price of $201.3 million. The receivables were acquired by our wholly-owned special purpose subsidiary, CPS Fender Receivables, LLC, which issued a note for $197.3 million, with a fair value of $196.5 million.</w:t>
      </w:r>
    </w:p>
    <w:p>
      <w:pPr>
        <w:spacing w:after="0" w:line="18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The receivables we acquired are pledged as collateral for debt that was structured specifically for the acquisition of this portfolio. Since the Fireside receivables were originated by another entity with its own underwriting guidelines and procedures, we elected to account for the Fireside receivables and the related debt secured by those receivables at their estimated fair values so that changes in fair value will be reflected in our results of operations as they occur. We use our own assumptions about the factors that we believe market participants would use in pricing similar receivables and debt, and are based on the best information available in the circumstances. The valuation method used to estimate fair value may produce a fair value measurement that may not be indicative of ultimate realizable value. Furthermore, while we believe our valuation methods are appropriate and consistent with those used by other market participants, the use of different methods or assumptions to estimate the fair value of certain financial instruments could result in different estimates of fair value. Those estimated values may differ significantly from the values that would have been used had a readily available market for such receivables or debt existed, or had such receivables or debt been liquidated, and those differences could be material to the financial statements. Interest income from the receivables and interest expense on the debt are included in interest income and interest expense, respectively. Changes to the fair value of the receivables and debt are also to be included in interest income and interest expense,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Charge Off Policy</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Delinquent contracts for which the related financed vehicle has been repossessed are generally charged off at the earliest of (1) the month in which the proceeds from the sale of the financed vehicle are received, (2) the month in which 90 days have passed from the date of repossession or (3) the month in which the Contract becomes seven scheduled payments past due (see Repossessed and Other Assets below). The amount charged off is the remaining principal balance of the Contract, after the application of the net proceeds from the liquidation of the financed vehicle. With respect to delinquent contracts for which the related financed vehicle has not been repossessed, the remaining principal balance is generally charged off no later than the end of the month that the Contract becomes five scheduled payments past due.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Fees and Origination Costs</w:t>
      </w:r>
    </w:p>
    <w:p>
      <w:pPr>
        <w:spacing w:after="0" w:line="225"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Upon purchase of a Contract from a Dealer, we generally either charge or advance the Dealer an acquisition fee. Dealer acquisition fees and deferred origination costs are applied to the carrying value of finance receivables and are accreted into earnings as an adjustment to the yield over the estimated life of the Contract using the interest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Repossessed and Other Assets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If a Contract obligor fails to make or keep promises for payments, or if the obligor is uncooperative or attempts to evade contact or hide the vehicle, a supervisor will review the collection activity relating to the account to determine if repossession of the vehicle is warranted. Generally, such a decision is made between the 60th and 90th day past the obligor’s payment due date, but could occur sooner or later, depending on the specific circumstances. At the time the vehicle is repossessed we stop accruing interest on the Contract, and reclassify the remaining Contract balance to the line item "Other assets" on our Consolidated Balance Sheet at its estimated fair value less costs to sell. Included in other assets in the accompanying balance sheets are repossessed vehicles pending sale of $10.0 million and $5.7 million at December 31, 2013 and 2012, respectively.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Treatment of Securitizations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term securitization structure has generally been as follows: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sell contracts we acquire to a wholly-owned special purpose subsidiary ("SPS"), which has been established for the limited purpose of buying and reselling our contracts. The SPS then transfers the same contracts to another entity, typically a statutory trust ("Trust"). The Trust issues interest-bearing asset-backed securities ("Notes"), in a principal amount equal to or less than the aggregate principal balance of the contracts. We typically sell these contracts to the Trust at face value and without recourse, except representations and warranties that we make to the Trust that are similar to those provided to us by the Dealer. One or more investors purchase the Notes issued by the Trust (the "Noteholders"); the proceeds from the sale of the Notes are then used to purchase the contracts from us. We may retain or sell subordinated Notes issued by the Trust. In addition, we have provided "Credit Enhancement" for the benefit of the Noteholders in three forms: (1) an initial cash deposit to a bank account (a "Spread Account") held by the Trust, (2) overcollateralization of the Notes, where the principal balance of the Notes issued is less than the principal balance of the contracts, and (3) in the form of subordinated Notes. The agreements governing the securitization transactions (collectively referred to as the "Securitization Agreements") require that the initial level of Credit Enhancement be supplemented by a portion of collections from the contracts until the level of Credit Enhancement reaches specified levels, which are then maintained. The specified levels are generally computed as a percentage of the principal amount remaining unpaid under the related contracts. The specified levels at which the Credit Enhancement is to be maintained will vary depending on the performance of the portfolios of contracts held by the Trusts and on other conditions. Such levels have increased and decreased from time to time based on performance of the various portfolios, and have also varied by from one Trust to another.</w:t>
      </w:r>
    </w:p>
    <w:p>
      <w:pPr>
        <w:spacing w:after="0" w:line="18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Our warehouse securitization structures are similar to the above, except that (i) the SPS that purchases the contracts pledges the contracts to secure promissory notes or loans that it issues, and (ii) no increase in the required amount of Credit Enhancement is contemplated. Upon each sale of contracts in a securitization structured as a secured financing, we retain as assets on our Consolidated Balance Sheet the securitized contracts and record as indebtedness the Notes issued in the transaction.</w:t>
      </w:r>
    </w:p>
    <w:p>
      <w:pPr>
        <w:spacing w:after="0" w:line="187" w:lineRule="exact"/>
        <w:rPr>
          <w:sz w:val="20"/>
          <w:szCs w:val="20"/>
          <w:color w:val="auto"/>
        </w:rPr>
      </w:pPr>
    </w:p>
    <w:p>
      <w:pPr>
        <w:jc w:val="both"/>
        <w:ind w:right="140" w:firstLine="324"/>
        <w:spacing w:after="0" w:line="302" w:lineRule="auto"/>
        <w:rPr>
          <w:sz w:val="20"/>
          <w:szCs w:val="20"/>
          <w:color w:val="auto"/>
        </w:rPr>
      </w:pPr>
      <w:r>
        <w:rPr>
          <w:rFonts w:ascii="Arial" w:cs="Arial" w:eastAsia="Arial" w:hAnsi="Arial"/>
          <w:sz w:val="16"/>
          <w:szCs w:val="16"/>
          <w:color w:val="auto"/>
        </w:rPr>
        <w:t>For all of the securitizations that we have completed since July 2003 (other than the September 2008 and September 2010 securitizations), we have the power to direct the most significant activities of the SPS. In addition, we have the obligation to absorb losses and the rights to receive benefits from the SPS, both of which could be potentially significant to the SPS. These types of securitization structures are treated as secured financings, in which the receivables remain on our consolidated balance sheet, and the debt issued by the SPS is shown as a securitization trust debt on our consolidated balance sheet</w:t>
      </w:r>
    </w:p>
    <w:p>
      <w:pPr>
        <w:spacing w:after="0" w:line="15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September 2008 and September 2010 securitizations and other term securitizations completed prior to July 2003 (which were structured as sales for financial accounting purposes), we removed from our Consolidated Balance Sheet the contracts sold and added to our Consolidated Balance Sheet (i) the cash received, if any, and (ii) the estimated fair value of the ownership interest that we retained in contracts sold in the securitization. That retained or residual interest (the "Residual") consists of (a) the cash held in the Spread Account, if any, (b) overcollateralization, if any, (c) Notes retained, if any, and (d) receivables from the Trust, which include the net interest receivables ("NIRs"). NIRs represent the estimated discounted cash flows to be received from the Trust in the future, net of principal and interest payable with respect to the Notes, any premiums paid to the senior Note insurer (a “Note Insurer”), if any, and certain other expenses.</w:t>
      </w:r>
    </w:p>
    <w:p>
      <w:pPr>
        <w:spacing w:after="0" w:line="18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We recognize gains or losses attributable to any changes in the estimated fair value of the Residuals. Gains in fair value are recognized as Other Income and losses are recorded as an impairment loss in the Consolidated Statement of Operations. We are not aware of an active market for the purchase or sale of interests such as the Residuals; accordingly, we determine the estimated fair value of the Residuals by discounting the amount of anticipated cash flows that we estimate will be released to us in the future (the cash out method), using a discount rate that we believe is appropriate for the risks involved. The anticipated cash flows may include collections from both current and charged off receivables. We have used an effective pre-tax discount rate of 20% per annum.</w:t>
      </w:r>
    </w:p>
    <w:p>
      <w:pPr>
        <w:spacing w:after="0" w:line="19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receive periodic base servicing fees for the servicing and collection of the contracts. In addition, we are entitled to the cash flows from the Trusts that represent collections on the contracts in excess of the amounts required to pay principal and interest on the Notes, the base servicing fees, and the premium paid to the Note Insurer, if any, and certain other fees (such as trustee and custodial fees). Required principal payments on the Notes are generally defined as the payments sufficient to keep the principal balance of the Notes equal to the aggregate principal balance of the related contracts (excluding those contracts that have been charged off), or a pre-determined percentage of such balance. Where that percentage is less than 100%, the related Securitization Agreements require accelerated payment of principal until the principal balance of the Notes is reduced to the specified percentage. Such accelerated principal payment is said to create "overcollateralization" of the Notes.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If the amount of cash required for payment of fees, interest and principal on the senior Notes exceeds the amount collected during the collection period, the shortfall is generally withdrawn from the Spread Account, if any. If the cash collected during the period exceeds the amount necessary for the above allocations plus required principal payments on the subordinated Notes, if any, and there is no shortfall in the related Spread Account or other form of Credit Enhancement, the excess is released to us. If the total Credit Enhancement amount is not at the required level, then the excess cash collected is retained in the Trust until the specified level is achieved. Cash in the Spread Accounts is restricted from our use. Cash held in the various Spread Accounts is invested in high quality, liquid investment securities, as specified in the Securitization Agreements. In determining the value of the Residuals, we have estimated the future rates of prepayments, delinquencies, defaults, default loss severity, and recovery rates, as all of these factors affect the amount and timing of the estimated cash flows. Our estimates are based on historical performance of comparable contracts.</w:t>
      </w:r>
    </w:p>
    <w:p>
      <w:pPr>
        <w:spacing w:after="0" w:line="17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Following a securitization that is structured as a sale for financial accounting purposes, we recognize interest income on the balance of the Residuals. In addition, we will recognize additional revenue in other income if the actual performance of the contracts related to the Residuals is better than our estimate of the value of the Residual. If the actual performance of the contracts is worse than our estimate, then a reduction to the carrying value of the Residuals and a related impairment charge would be required. In a securitization structured as a secured financing for financial accounting purposes, interest income is recognized when accrued under the terms of the related contracts and, therefore, presents less potential for fluctuations in performance when compared to the approach used in a transaction structured as a sale for financial accounting purposes.</w:t>
      </w:r>
    </w:p>
    <w:p>
      <w:pPr>
        <w:spacing w:after="0" w:line="17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all of our term securitizations, whether treated as secured financings or as sales, we have transferred the receivables (through a subsidiary) to the securitization Trust. The difference between the two structures is that in securitizations that are treated as secured financings we report the assets and liabilities of the securitization Trust on our Consolidated Balance Sheet. Under both structures the Noteholders’ and the related securitization Trusts’ recourse against us for failure of the contract obligors to make payments on a timely basis is limited, in general, to our Finance receivables, Spread Accounts and Residuals.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consider the contractual servicing fee received on our managed portfolio held by non-consolidated subsidiaries to be equal to adequate compensation. Additionally, we consider that these fees would fairly compensate a substitute servicer, should one be required. As a result, no servicing asset or liability has been recognized. Servicing fees received on the managed portfolio held by non-consolidated subsidiaries are reported as income when earned. Servicing fees received on the managed portfolio held by consolidated subsidiaries are included in interest income when earned. Servicing costs are charged to expense as incurred. Servicing fees receivable, which are included in Other Assets in the accompanying Consolidated Balance Sheets, represent fees earned but not yet remitted to us by the trustee.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Furniture and Equipment</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Furniture and equipment are stated at cost net of accumulated depreciation. We calculate depreciation using the straight-line method over the estimated useful lives of the assets, which range from three to five years. Assets held under capital leases and leasehold improvements are amortized over the lesser of the estimated useful lives of the assets or the related lease terms. Amortization expense on assets acquired under capital lease is included with depreciation expense on owned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 and Long-Lived Assets to Be Disposed Of</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Long-lived assets and certain identifiable intangibles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such assets are considered to be impaired, the impairment to be recognized is measured by the amount by which the carrying amount of the assets exceeds the fair value of the assets. Assets to be disposed of are reported at the lower of carrying amount or fair value less costs to sell.</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i w:val="1"/>
                <w:iCs w:val="1"/>
                <w:color w:val="auto"/>
              </w:rPr>
              <w:t>Other Income</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The following table presents the primary components of Other Income: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90"/>
              </w:rPr>
              <w:t>(In thousands)</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126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7,004</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5,949</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Convenience fees charged to obligors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2,965</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177</w:t>
            </w:r>
          </w:p>
        </w:tc>
        <w:tc>
          <w:tcPr>
            <w:tcW w:w="90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Sales tax refunds</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197</w:t>
            </w:r>
          </w:p>
        </w:tc>
        <w:tc>
          <w:tcPr>
            <w:tcW w:w="9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62</w:t>
            </w:r>
          </w:p>
        </w:tc>
        <w:tc>
          <w:tcPr>
            <w:tcW w:w="900" w:type="dxa"/>
            <w:vAlign w:val="bottom"/>
            <w:shd w:val="clear" w:color="auto" w:fill="EEEEEE"/>
          </w:tcPr>
          <w:p>
            <w:pPr>
              <w:spacing w:after="0"/>
              <w:rPr>
                <w:sz w:val="19"/>
                <w:szCs w:val="19"/>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10,405</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Earnings Per Share</w:t>
            </w: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660" w:type="dxa"/>
            <w:vAlign w:val="bottom"/>
          </w:tcPr>
          <w:p>
            <w:pPr>
              <w:spacing w:after="0"/>
              <w:rPr>
                <w:sz w:val="20"/>
                <w:szCs w:val="20"/>
                <w:color w:val="auto"/>
              </w:rPr>
            </w:pPr>
            <w:r>
              <w:rPr>
                <w:rFonts w:ascii="Arial" w:cs="Arial" w:eastAsia="Arial" w:hAnsi="Arial"/>
                <w:sz w:val="18"/>
                <w:szCs w:val="18"/>
                <w:color w:val="auto"/>
                <w:w w:val="97"/>
              </w:rPr>
              <w:t>The following table illustrates the computation of basic and diluted earnings per share:</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0"/>
              </w:rPr>
              <w:t>Year Ended December 31,</w:t>
            </w:r>
          </w:p>
        </w:tc>
        <w:tc>
          <w:tcPr>
            <w:tcW w:w="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gridSpan w:val="3"/>
          </w:tcPr>
          <w:p>
            <w:pPr>
              <w:jc w:val="center"/>
              <w:ind w:right="330"/>
              <w:spacing w:after="0" w:line="191" w:lineRule="exact"/>
              <w:rPr>
                <w:sz w:val="20"/>
                <w:szCs w:val="20"/>
                <w:color w:val="auto"/>
              </w:rPr>
            </w:pPr>
            <w:r>
              <w:rPr>
                <w:rFonts w:ascii="Arial" w:cs="Arial" w:eastAsia="Arial" w:hAnsi="Arial"/>
                <w:sz w:val="18"/>
                <w:szCs w:val="18"/>
                <w:b w:val="1"/>
                <w:bCs w:val="1"/>
                <w:color w:val="auto"/>
                <w:w w:val="89"/>
              </w:rPr>
              <w:t>(In thousands,</w:t>
            </w: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88"/>
              </w:rPr>
              <w:t>except per share data)</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40" w:type="dxa"/>
            <w:vAlign w:val="bottom"/>
          </w:tcPr>
          <w:p>
            <w:pPr>
              <w:spacing w:after="0"/>
              <w:rPr>
                <w:sz w:val="24"/>
                <w:szCs w:val="24"/>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Numerator for basic and diluted earnings per share</w:t>
            </w:r>
          </w:p>
        </w:tc>
        <w:tc>
          <w:tcPr>
            <w:tcW w:w="12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21,005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69,408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6660" w:type="dxa"/>
            <w:vAlign w:val="bottom"/>
            <w:tcBorders>
              <w:top w:val="single" w:sz="8" w:color="EEEEEE"/>
            </w:tcBorders>
            <w:shd w:val="clear" w:color="auto" w:fill="EEEEEE"/>
          </w:tcPr>
          <w:p>
            <w:pPr>
              <w:spacing w:after="0" w:line="196" w:lineRule="exact"/>
              <w:rPr>
                <w:sz w:val="20"/>
                <w:szCs w:val="20"/>
                <w:color w:val="auto"/>
              </w:rPr>
            </w:pPr>
            <w:r>
              <w:rPr>
                <w:rFonts w:ascii="Arial" w:cs="Arial" w:eastAsia="Arial" w:hAnsi="Arial"/>
                <w:sz w:val="18"/>
                <w:szCs w:val="18"/>
                <w:color w:val="auto"/>
              </w:rPr>
              <w:t>Denominator:</w:t>
            </w:r>
          </w:p>
        </w:tc>
        <w:tc>
          <w:tcPr>
            <w:tcW w:w="320" w:type="dxa"/>
            <w:vAlign w:val="bottom"/>
            <w:tcBorders>
              <w:top w:val="single" w:sz="8" w:color="EEEEEE"/>
            </w:tcBorders>
            <w:shd w:val="clear" w:color="auto" w:fill="EEEEEE"/>
          </w:tcPr>
          <w:p>
            <w:pPr>
              <w:spacing w:after="0"/>
              <w:rPr>
                <w:sz w:val="17"/>
                <w:szCs w:val="17"/>
                <w:color w:val="auto"/>
              </w:rPr>
            </w:pPr>
          </w:p>
        </w:tc>
        <w:tc>
          <w:tcPr>
            <w:tcW w:w="940" w:type="dxa"/>
            <w:vAlign w:val="bottom"/>
            <w:tcBorders>
              <w:top w:val="single" w:sz="8" w:color="auto"/>
            </w:tcBorders>
            <w:shd w:val="clear" w:color="auto" w:fill="EEEEEE"/>
          </w:tcPr>
          <w:p>
            <w:pPr>
              <w:spacing w:after="0"/>
              <w:rPr>
                <w:sz w:val="17"/>
                <w:szCs w:val="17"/>
                <w:color w:val="auto"/>
              </w:rPr>
            </w:pPr>
          </w:p>
        </w:tc>
        <w:tc>
          <w:tcPr>
            <w:tcW w:w="520" w:type="dxa"/>
            <w:vAlign w:val="bottom"/>
            <w:tcBorders>
              <w:top w:val="single" w:sz="8" w:color="auto"/>
            </w:tcBorders>
            <w:shd w:val="clear" w:color="auto" w:fill="EEEEEE"/>
          </w:tcPr>
          <w:p>
            <w:pPr>
              <w:spacing w:after="0"/>
              <w:rPr>
                <w:sz w:val="17"/>
                <w:szCs w:val="17"/>
                <w:color w:val="auto"/>
              </w:rPr>
            </w:pPr>
          </w:p>
        </w:tc>
        <w:tc>
          <w:tcPr>
            <w:tcW w:w="300" w:type="dxa"/>
            <w:vAlign w:val="bottom"/>
            <w:tcBorders>
              <w:top w:val="single" w:sz="8" w:color="EEEEEE"/>
            </w:tcBorders>
            <w:shd w:val="clear" w:color="auto" w:fill="EEEEEE"/>
          </w:tcPr>
          <w:p>
            <w:pPr>
              <w:spacing w:after="0"/>
              <w:rPr>
                <w:sz w:val="17"/>
                <w:szCs w:val="17"/>
                <w:color w:val="auto"/>
              </w:rPr>
            </w:pPr>
          </w:p>
        </w:tc>
        <w:tc>
          <w:tcPr>
            <w:tcW w:w="900" w:type="dxa"/>
            <w:vAlign w:val="bottom"/>
            <w:tcBorders>
              <w:top w:val="single" w:sz="8" w:color="auto"/>
            </w:tcBorders>
            <w:shd w:val="clear" w:color="auto" w:fill="EEEEEE"/>
          </w:tcPr>
          <w:p>
            <w:pPr>
              <w:spacing w:after="0"/>
              <w:rPr>
                <w:sz w:val="17"/>
                <w:szCs w:val="17"/>
                <w:color w:val="auto"/>
              </w:rPr>
            </w:pPr>
          </w:p>
        </w:tc>
        <w:tc>
          <w:tcPr>
            <w:tcW w:w="5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660" w:type="dxa"/>
            <w:vAlign w:val="bottom"/>
          </w:tcPr>
          <w:p>
            <w:pPr>
              <w:spacing w:after="0" w:line="201" w:lineRule="exact"/>
              <w:rPr>
                <w:sz w:val="20"/>
                <w:szCs w:val="20"/>
                <w:color w:val="auto"/>
              </w:rPr>
            </w:pPr>
            <w:r>
              <w:rPr>
                <w:rFonts w:ascii="Arial" w:cs="Arial" w:eastAsia="Arial" w:hAnsi="Arial"/>
                <w:sz w:val="18"/>
                <w:szCs w:val="18"/>
                <w:color w:val="auto"/>
                <w:w w:val="93"/>
              </w:rPr>
              <w:t>Denominator for basic earnings per share - weighted average number of common shares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outstanding during the year</w:t>
            </w:r>
          </w:p>
        </w:tc>
        <w:tc>
          <w:tcPr>
            <w:tcW w:w="12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21,538</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19,473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w w:val="94"/>
              </w:rPr>
              <w:t>Incremental common shares attributable to exercise of outstanding options and warrants</w:t>
            </w:r>
          </w:p>
        </w:tc>
        <w:tc>
          <w:tcPr>
            <w:tcW w:w="320" w:type="dxa"/>
            <w:vAlign w:val="bottom"/>
            <w:shd w:val="clear" w:color="auto" w:fill="EEEEEE"/>
          </w:tcPr>
          <w:p>
            <w:pPr>
              <w:spacing w:after="0"/>
              <w:rPr>
                <w:sz w:val="19"/>
                <w:szCs w:val="19"/>
                <w:color w:val="auto"/>
              </w:rPr>
            </w:pPr>
          </w:p>
        </w:tc>
        <w:tc>
          <w:tcPr>
            <w:tcW w:w="94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0"/>
              </w:rPr>
              <w:t>10,036</w:t>
            </w:r>
          </w:p>
        </w:tc>
        <w:tc>
          <w:tcPr>
            <w:tcW w:w="900" w:type="dxa"/>
            <w:vAlign w:val="bottom"/>
            <w:shd w:val="clear" w:color="auto" w:fill="EEEEEE"/>
          </w:tcPr>
          <w:p>
            <w:pPr>
              <w:spacing w:after="0"/>
              <w:rPr>
                <w:sz w:val="19"/>
                <w:szCs w:val="19"/>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6,005</w:t>
            </w: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66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Denominator for diluted earnings per share</w:t>
            </w:r>
          </w:p>
        </w:tc>
        <w:tc>
          <w:tcPr>
            <w:tcW w:w="320" w:type="dxa"/>
            <w:vAlign w:val="bottom"/>
            <w:tcBorders>
              <w:bottom w:val="single" w:sz="8" w:color="EEEEEE"/>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31,574</w:t>
            </w:r>
          </w:p>
        </w:tc>
        <w:tc>
          <w:tcPr>
            <w:tcW w:w="300" w:type="dxa"/>
            <w:vAlign w:val="bottom"/>
            <w:tcBorders>
              <w:bottom w:val="single" w:sz="8" w:color="EEEEEE"/>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25,478</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666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Basic earnings per share</w:t>
            </w:r>
          </w:p>
        </w:tc>
        <w:tc>
          <w:tcPr>
            <w:tcW w:w="320" w:type="dxa"/>
            <w:vAlign w:val="bottom"/>
            <w:tcBorders>
              <w:bottom w:val="single" w:sz="8" w:color="EEEEEE"/>
            </w:tcBorders>
            <w:shd w:val="clear" w:color="auto" w:fill="EEEEEE"/>
          </w:tcPr>
          <w:p>
            <w:pPr>
              <w:spacing w:after="0"/>
              <w:rPr>
                <w:sz w:val="17"/>
                <w:szCs w:val="17"/>
                <w:color w:val="auto"/>
              </w:rPr>
            </w:pPr>
          </w:p>
        </w:tc>
        <w:tc>
          <w:tcPr>
            <w:tcW w:w="940" w:type="dxa"/>
            <w:vAlign w:val="bottom"/>
            <w:tcBorders>
              <w:bottom w:val="single" w:sz="8" w:color="auto"/>
            </w:tcBorders>
            <w:shd w:val="clear" w:color="auto" w:fill="EEEEEE"/>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0.98</w:t>
            </w:r>
          </w:p>
        </w:tc>
        <w:tc>
          <w:tcPr>
            <w:tcW w:w="300" w:type="dxa"/>
            <w:vAlign w:val="bottom"/>
            <w:tcBorders>
              <w:bottom w:val="single" w:sz="8" w:color="EEEEEE"/>
            </w:tcBorders>
            <w:shd w:val="clear" w:color="auto" w:fill="EEEEEE"/>
          </w:tcPr>
          <w:p>
            <w:pPr>
              <w:spacing w:after="0"/>
              <w:rPr>
                <w:sz w:val="17"/>
                <w:szCs w:val="17"/>
                <w:color w:val="auto"/>
              </w:rPr>
            </w:pPr>
          </w:p>
        </w:tc>
        <w:tc>
          <w:tcPr>
            <w:tcW w:w="900" w:type="dxa"/>
            <w:vAlign w:val="bottom"/>
            <w:tcBorders>
              <w:bottom w:val="single" w:sz="8" w:color="auto"/>
            </w:tcBorders>
            <w:shd w:val="clear" w:color="auto" w:fill="EEEEEE"/>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3.56</w:t>
            </w: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32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666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300" w:type="dxa"/>
            <w:vAlign w:val="bottom"/>
            <w:vMerge w:val="continue"/>
          </w:tcPr>
          <w:p>
            <w:pPr>
              <w:spacing w:after="0"/>
              <w:rPr>
                <w:sz w:val="17"/>
                <w:szCs w:val="17"/>
                <w:color w:val="auto"/>
              </w:rPr>
            </w:pPr>
          </w:p>
        </w:tc>
        <w:tc>
          <w:tcPr>
            <w:tcW w:w="90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Incremental shares of 2.1 million and 979,000 related to stock options and warrants have been excluded from the diluted earnings per share calculation for the years ended December 31, 2013 and 2012, respectively, because the effect is anti-dilutive.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Deferral and Amortization of Debt Issuance Costs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Costs related to the issuance of debt are deferred and amortized using the interest method over the contractual or expected term of the related debt.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 We estimate a valuation allowance against that portion of the deferred tax asset whose utilization in future periods is not more than likely.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Company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 purchases of our own common stock at cost and treat the shares as retired.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w:t>
      </w:r>
    </w:p>
    <w:p>
      <w:pPr>
        <w:spacing w:after="0" w:line="225"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We recognize compensation costs in the financial statements for all share-based payments granted subsequent to January 1, 2006 based on the grant date fair value estimated in accordance with the provisions of ASC 718 “Stock Compensation”. Compensation cost is recognized over the required service period, generally defined as the vesting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In July 2013, the FASB issued ASU 2013-11, which requires a reporting entity to present an unrecognized tax benefit as a liability in the financial statements separate from deferred tax assets if a net operating loss carryforward, a similar tax loss, or a tax credit carryforward is not available as of the reporting date to settle taxes that would result from the disallowance of the tax position or if a reporting entity does not intend to use the deferred tax asset for such purpose. The amendments in ASU 2013-11 are effective for fiscal years, and interim periods within those years, beginning on or after December 15, 2013. We do not expect the adoption of ASU 2013-11 to have a material impact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 Specifically, a number of estimates were made in connection with determining an appropriate allowance for finance credit losses, determining appropriate reserves for contingent liabilities, valuing finance receivables measured at fair value and the related debt, accreting net acquisition fees, amortizing deferred costs, and recording deferred tax assets and reserves for uncertain tax positions. These are material estimates that could be susceptible to changes in the near term and, accordingly, actual results could differ from those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Certain amounts for the prior year have been reclassified to conform to the current year’s presentation with no effect on previously reported earnings or shareholders’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324"/>
        <w:spacing w:after="0" w:line="285" w:lineRule="auto"/>
        <w:rPr>
          <w:sz w:val="20"/>
          <w:szCs w:val="20"/>
          <w:color w:val="auto"/>
        </w:rPr>
      </w:pPr>
      <w:r>
        <w:rPr>
          <w:rFonts w:ascii="Arial" w:cs="Arial" w:eastAsia="Arial" w:hAnsi="Arial"/>
          <w:sz w:val="16"/>
          <w:szCs w:val="16"/>
          <w:color w:val="auto"/>
        </w:rPr>
        <w:t>We do not use derivative financial instruments to hedge exposures to cash flow or market risks. However, from 2008 to 2010, we issued warrants to purchase our common stock in conjunction with various debt financing transactions. At the time of issuance, five of these warrants issued contained "down round," or price reset, features that are subject to classification as liabilities for financial statement purposes. These liabilities were measured at fair value, with the changes in fair value at the end of each period reflected as current period income or loss. Accordingly, changes to the market price per share of our common stock underlying these warrants with "down round" features directly affected the fair value computations for these derivative financial instruments. The effect was that any increase in the market price per share of our common stock would also increase the related liability, which in turn would result in a current period loss. Conversely, any decrease in the market price per share of our common stock would also decrease the related liability, which in turn would result in a current period gain. We used a binomial pricing model to compute the fair value of the liabilities associated with the outstanding warrants. In computing the fair value of the warrant liabilities at the end of each period, we used significant judgments with respect to the risk free interest rate, the volatility of our stock price, and the estimated life of the warrants. The warrant liabilities were included in Accounts payable and accrued expenses on our consolidated balance sheets. On March 29, 2012 we agreed with the holders to amend three of the five warrants that contained the “down round” features, removing those specific price reset terms.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features, removing those specific price reset terms. The $250,000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December 31, 2013 all five of the warrants issued that previously contained price reset features have either been amended or exercised and are no longer subject to quarterly valuations.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Certain of our securitization transactions, our residual interest financing and our warehouse credit facilities contain various financial covenants requiring certain minimum financial ratios and results. Such covenants include maintaining minimum levels of liquidity and net worth and not exceeding maximum leverage levels. In addition, certain securitization and non-securitization related debt contain cross-default provisions that would allow certain creditors to declare a default if a default occurred under a different facility. As of December 31, 2013 we were in compliance with all such financial covenants.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Cancellation of Debt</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In April 2013, we repurchased the outstanding Class D notes from our first 2008 securitization for a cash payment of $6.1 million and a new 5% note for $5.3 million due in June 2014. The Class D notes were held by the same related party that holds our senior secured debt. On the date we repurchased the Class D notes, the Class D note holder owned 10.5% of our outstanding common stock and warrants to purchase an additional 1.9 million shares of common stock. We subsequently exercised our “clean-up call” option and repurchased the remaining collateral from the related securitization trust. The aggregate value of our consideration for the Class D notes was $10.9 million less than our carrying value of the Class D notes at the time of the repurchase. As a result of the repurchase of the Class D notes and the termination of the securitization trust, we realized a gain of $10.9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Contingent Liabilities</w:t>
      </w:r>
    </w:p>
    <w:p>
      <w:pPr>
        <w:spacing w:after="0" w:line="225"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During 2013, we recognized $7.8 million in contingent liability expenses to either record or adjust the amounts we believe we may incur related to various pending litigation. The amount was allocated in part to a long running case we refer to as the Stanwich litigation, and also to more recent matters including two California class action suits where we are the defendant, and a governmental inquiry, in which the United States Federal Trade Commission (“FTC”) has informally proposed that the we refrain from certain allegedly unfair trade practices, and make restitutionary payments into a consumer relief fund. (See Note 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Restricted Cash</w:t>
      </w:r>
    </w:p>
    <w:p>
      <w:pPr>
        <w:spacing w:after="0" w:line="225"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Restricted cash consists of cash and cash equivalent accounts relating to our outstanding securitization trusts and credit facilities. The amount of restricted cash on our consolidated balance sheets was $132.3 million and $104.4 million as of December 31, 2013 and 2012, respectively.</w:t>
      </w:r>
    </w:p>
    <w:p>
      <w:pPr>
        <w:spacing w:after="0" w:line="124"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Our securitization transactions and one of our warehouse credit facilities require that we establish cash reserves, or spread accounts, as additional credit enhancement. These cash reserves, which are included in restricted cash, were $23.3 million and $25.6 million as of December 31, 2013 and 2012,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Finance Receivables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Finance receivables, net of unearned interest:</w:t>
      </w:r>
    </w:p>
    <w:p>
      <w:pPr>
        <w:sectPr>
          <w:pgSz w:w="11900" w:h="16838" w:orient="portrait"/>
          <w:cols w:equalWidth="0" w:num="1">
            <w:col w:w="11400"/>
          </w:cols>
          <w:pgMar w:left="240" w:top="66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receivables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Automobile finance receivables, net of unearned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-116205</wp:posOffset>
            </wp:positionV>
            <wp:extent cx="651764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Less: Unearned acquisition fees and discounts</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Finance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51764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1,182,950</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795,786</w:t>
            </w:r>
          </w:p>
        </w:tc>
        <w:tc>
          <w:tcPr>
            <w:tcW w:w="6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(27,887)</w:t>
            </w:r>
          </w:p>
        </w:tc>
        <w:tc>
          <w:tcPr>
            <w:tcW w:w="4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(31,443)</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1,155,063</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764,343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4080"/>
          </w:cols>
          <w:pgMar w:left="240" w:top="661" w:right="25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type w:val="continuous"/>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December 31, 2013 and 2012:</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520" w:type="dxa"/>
            <w:vAlign w:val="bottom"/>
            <w:gridSpan w:val="2"/>
            <w:vMerge w:val="restart"/>
          </w:tcPr>
          <w:p>
            <w:pPr>
              <w:jc w:val="right"/>
              <w:ind w:right="2405"/>
              <w:spacing w:after="0"/>
              <w:rPr>
                <w:sz w:val="20"/>
                <w:szCs w:val="20"/>
                <w:color w:val="auto"/>
              </w:rPr>
            </w:pPr>
            <w:r>
              <w:rPr>
                <w:rFonts w:ascii="Arial" w:cs="Arial" w:eastAsia="Arial" w:hAnsi="Arial"/>
                <w:sz w:val="18"/>
                <w:szCs w:val="18"/>
                <w:color w:val="auto"/>
              </w:rPr>
              <w:t>Delinquency Status</w:t>
            </w: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52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4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1,125,926</w:t>
            </w:r>
          </w:p>
        </w:tc>
        <w:tc>
          <w:tcPr>
            <w:tcW w:w="840" w:type="dxa"/>
            <w:vAlign w:val="bottom"/>
            <w:gridSpan w:val="2"/>
            <w:shd w:val="clear" w:color="auto" w:fill="EEEEEE"/>
          </w:tcPr>
          <w:p>
            <w:pPr>
              <w:jc w:val="right"/>
              <w:ind w:right="365"/>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764,741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1320" w:type="dxa"/>
            <w:vAlign w:val="bottom"/>
          </w:tcPr>
          <w:p>
            <w:pPr>
              <w:ind w:left="20"/>
              <w:spacing w:after="0"/>
              <w:rPr>
                <w:sz w:val="20"/>
                <w:szCs w:val="20"/>
                <w:color w:val="auto"/>
              </w:rPr>
            </w:pPr>
            <w:r>
              <w:rPr>
                <w:rFonts w:ascii="Arial" w:cs="Arial" w:eastAsia="Arial" w:hAnsi="Arial"/>
                <w:sz w:val="18"/>
                <w:szCs w:val="18"/>
                <w:color w:val="auto"/>
              </w:rPr>
              <w:t>- 60 days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21,421</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61</w:t>
            </w:r>
          </w:p>
        </w:tc>
        <w:tc>
          <w:tcPr>
            <w:tcW w:w="13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4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4,663</w:t>
            </w: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9,019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w w:val="89"/>
              </w:rPr>
              <w:t>91</w:t>
            </w:r>
          </w:p>
        </w:tc>
        <w:tc>
          <w:tcPr>
            <w:tcW w:w="1320" w:type="dxa"/>
            <w:vAlign w:val="bottom"/>
            <w:tcBorders>
              <w:bottom w:val="single" w:sz="8" w:color="EEEEEE"/>
            </w:tcBorders>
          </w:tcPr>
          <w:p>
            <w:pPr>
              <w:ind w:left="20"/>
              <w:spacing w:after="0"/>
              <w:rPr>
                <w:sz w:val="20"/>
                <w:szCs w:val="20"/>
                <w:color w:val="auto"/>
              </w:rPr>
            </w:pPr>
            <w:r>
              <w:rPr>
                <w:rFonts w:ascii="Arial" w:cs="Arial" w:eastAsia="Arial" w:hAnsi="Arial"/>
                <w:sz w:val="18"/>
                <w:szCs w:val="18"/>
                <w:color w:val="auto"/>
              </w:rPr>
              <w:t>+ days</w:t>
            </w:r>
          </w:p>
        </w:tc>
        <w:tc>
          <w:tcPr>
            <w:tcW w:w="442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10,940</w:t>
            </w:r>
          </w:p>
        </w:tc>
        <w:tc>
          <w:tcPr>
            <w:tcW w:w="320" w:type="dxa"/>
            <w:vAlign w:val="bottom"/>
            <w:tcBorders>
              <w:bottom w:val="single" w:sz="8" w:color="EEEEEE"/>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320" w:type="dxa"/>
            <w:vAlign w:val="bottom"/>
            <w:tcBorders>
              <w:bottom w:val="single" w:sz="8" w:color="EEEEEE"/>
            </w:tcBorders>
            <w:shd w:val="clear" w:color="auto" w:fill="EEEEEE"/>
          </w:tcPr>
          <w:p>
            <w:pPr>
              <w:spacing w:after="0"/>
              <w:rPr>
                <w:sz w:val="19"/>
                <w:szCs w:val="19"/>
                <w:color w:val="auto"/>
              </w:rPr>
            </w:pPr>
          </w:p>
        </w:tc>
        <w:tc>
          <w:tcPr>
            <w:tcW w:w="44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1,182,950</w:t>
            </w:r>
          </w:p>
        </w:tc>
        <w:tc>
          <w:tcPr>
            <w:tcW w:w="32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795,786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Finance receivables totaling $10.9 million and $5.1 million at December 31, 2013 and 2012, respectively, have been placed on non-accrual status as a result of their delinquency status.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years ended December 31, 2013 and 2012:</w:t>
      </w:r>
    </w:p>
    <w:p>
      <w:pPr>
        <w:sectPr>
          <w:pgSz w:w="11900" w:h="16838" w:orient="portrait"/>
          <w:cols w:equalWidth="0" w:num="1">
            <w:col w:w="11400"/>
          </w:cols>
          <w:pgMar w:left="240" w:top="66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Balance at beginning of year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 for credit losses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Charge-offs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Recoveries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19,594</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76,869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33,495</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(69,455)</w:t>
            </w:r>
          </w:p>
        </w:tc>
        <w:tc>
          <w:tcPr>
            <w:tcW w:w="4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(37,638)</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12,618</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13,386</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39,626</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-736600</wp:posOffset>
            </wp:positionV>
            <wp:extent cx="651764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-462280</wp:posOffset>
            </wp:positionV>
            <wp:extent cx="651764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-179705</wp:posOffset>
            </wp:positionV>
            <wp:extent cx="651764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080"/>
          </w:cols>
          <w:pgMar w:left="240" w:top="661" w:right="259" w:bottom="1440" w:gutter="0" w:footer="0" w:header="0"/>
          <w:type w:val="continuous"/>
        </w:sectPr>
      </w:pPr>
    </w:p>
    <w:p>
      <w:pPr>
        <w:spacing w:after="0" w:line="2" w:lineRule="exact"/>
        <w:rPr>
          <w:sz w:val="20"/>
          <w:szCs w:val="20"/>
          <w:color w:val="auto"/>
        </w:rPr>
      </w:pPr>
    </w:p>
    <w:p>
      <w:pPr>
        <w:jc w:val="both"/>
        <w:ind w:right="260" w:firstLine="324"/>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on repossessed inventory:</w:t>
      </w:r>
    </w:p>
    <w:p>
      <w:pPr>
        <w:sectPr>
          <w:pgSz w:w="11900" w:h="16838" w:orient="portrait"/>
          <w:cols w:equalWidth="0" w:num="1">
            <w:col w:w="11400"/>
          </w:cols>
          <w:pgMar w:left="240" w:top="66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balance of repossessions in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-121920</wp:posOffset>
            </wp:positionV>
            <wp:extent cx="651764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-107315</wp:posOffset>
            </wp:positionV>
            <wp:extent cx="651764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24,743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12,102</w:t>
            </w:r>
          </w:p>
        </w:tc>
      </w:tr>
      <w:tr>
        <w:trPr>
          <w:trHeight w:val="244"/>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(14,779)</w:t>
            </w:r>
          </w:p>
        </w:tc>
        <w:tc>
          <w:tcPr>
            <w:tcW w:w="4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(6,384)</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9,964</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00" w:space="720"/>
            <w:col w:w="4080"/>
          </w:cols>
          <w:pgMar w:left="240" w:top="661" w:right="25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type w:val="continuous"/>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 Measured at Fair Value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September 2011 we purchased approximately $217.8 million of finance receivables from Fireside Bank. These receivables are recorded on our balance sheet at fair value.</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the components of Finance receivables measured at fair value and includes $120,000 and $703,000 in repossessed inventory at December 31, 2013 and December 31, 2012, respectively:</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w w:val="99"/>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vMerge w:val="restart"/>
          </w:tcPr>
          <w:p>
            <w:pPr>
              <w:spacing w:after="0"/>
              <w:rPr>
                <w:sz w:val="20"/>
                <w:szCs w:val="20"/>
                <w:color w:val="auto"/>
              </w:rPr>
            </w:pPr>
            <w:r>
              <w:rPr>
                <w:rFonts w:ascii="Arial" w:cs="Arial" w:eastAsia="Arial" w:hAnsi="Arial"/>
                <w:sz w:val="18"/>
                <w:szCs w:val="18"/>
                <w:color w:val="auto"/>
              </w:rPr>
              <w:t>Finance receivables measured at fair value</w:t>
            </w:r>
          </w:p>
        </w:tc>
        <w:tc>
          <w:tcPr>
            <w:tcW w:w="11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4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and accrued interest, net of unearned interest</w:t>
            </w:r>
          </w:p>
        </w:tc>
        <w:tc>
          <w:tcPr>
            <w:tcW w:w="2080" w:type="dxa"/>
            <w:vAlign w:val="bottom"/>
            <w:gridSpan w:val="2"/>
            <w:shd w:val="clear" w:color="auto" w:fill="EEEEEE"/>
          </w:tcPr>
          <w:p>
            <w:pPr>
              <w:jc w:val="right"/>
              <w:ind w:right="7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w w:val="90"/>
              </w:rPr>
              <w:t>14,786</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60,804</w:t>
            </w:r>
          </w:p>
        </w:tc>
        <w:tc>
          <w:tcPr>
            <w:tcW w:w="0" w:type="dxa"/>
            <w:vAlign w:val="bottom"/>
          </w:tcPr>
          <w:p>
            <w:pPr>
              <w:spacing w:after="0"/>
              <w:rPr>
                <w:sz w:val="1"/>
                <w:szCs w:val="1"/>
                <w:color w:val="auto"/>
              </w:rPr>
            </w:pPr>
          </w:p>
        </w:tc>
      </w:tr>
      <w:tr>
        <w:trPr>
          <w:trHeight w:val="230"/>
        </w:trPr>
        <w:tc>
          <w:tcPr>
            <w:tcW w:w="5840" w:type="dxa"/>
            <w:vAlign w:val="bottom"/>
          </w:tcPr>
          <w:p>
            <w:pPr>
              <w:ind w:left="200"/>
              <w:spacing w:after="0"/>
              <w:rPr>
                <w:sz w:val="20"/>
                <w:szCs w:val="20"/>
                <w:color w:val="auto"/>
              </w:rPr>
            </w:pPr>
            <w:r>
              <w:rPr>
                <w:rFonts w:ascii="Arial" w:cs="Arial" w:eastAsia="Arial" w:hAnsi="Arial"/>
                <w:sz w:val="18"/>
                <w:szCs w:val="18"/>
                <w:color w:val="auto"/>
              </w:rPr>
              <w:t>Less: Fair value adjustment</w:t>
            </w: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4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23"/>
        </w:trPr>
        <w:tc>
          <w:tcPr>
            <w:tcW w:w="584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Finance receivables measured at fair value</w:t>
            </w:r>
          </w:p>
        </w:tc>
        <w:tc>
          <w:tcPr>
            <w:tcW w:w="1140" w:type="dxa"/>
            <w:vAlign w:val="bottom"/>
            <w:tcBorders>
              <w:top w:val="single" w:sz="8" w:color="EEEEEE"/>
              <w:bottom w:val="single" w:sz="8" w:color="EEEEEE"/>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0"/>
              </w:rPr>
              <w:t>14,476</w:t>
            </w:r>
          </w:p>
        </w:tc>
        <w:tc>
          <w:tcPr>
            <w:tcW w:w="30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59,668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delinquency status of finance receivables measured at fair value as of December 31, 2013 and December 31, 2012:</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80" w:type="dxa"/>
            <w:vAlign w:val="bottom"/>
            <w:gridSpan w:val="3"/>
            <w:vMerge w:val="restart"/>
          </w:tcPr>
          <w:p>
            <w:pPr>
              <w:spacing w:after="0"/>
              <w:rPr>
                <w:sz w:val="20"/>
                <w:szCs w:val="20"/>
                <w:color w:val="auto"/>
              </w:rPr>
            </w:pPr>
            <w:r>
              <w:rPr>
                <w:rFonts w:ascii="Arial" w:cs="Arial" w:eastAsia="Arial" w:hAnsi="Arial"/>
                <w:sz w:val="18"/>
                <w:szCs w:val="18"/>
                <w:color w:val="auto"/>
              </w:rPr>
              <w:t>Delinquency Status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680" w:type="dxa"/>
            <w:vAlign w:val="bottom"/>
            <w:gridSpan w:val="3"/>
            <w:vMerge w:val="continue"/>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Current</w:t>
            </w:r>
          </w:p>
        </w:tc>
        <w:tc>
          <w:tcPr>
            <w:tcW w:w="2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13,421</w:t>
            </w:r>
          </w:p>
        </w:tc>
        <w:tc>
          <w:tcPr>
            <w:tcW w:w="840" w:type="dxa"/>
            <w:vAlign w:val="bottom"/>
            <w:gridSpan w:val="2"/>
            <w:shd w:val="clear" w:color="auto" w:fill="EEEEEE"/>
          </w:tcPr>
          <w:p>
            <w:pPr>
              <w:jc w:val="right"/>
              <w:ind w:right="365"/>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57,556</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89"/>
              </w:rPr>
              <w:t>31</w:t>
            </w:r>
          </w:p>
        </w:tc>
        <w:tc>
          <w:tcPr>
            <w:tcW w:w="3460" w:type="dxa"/>
            <w:vAlign w:val="bottom"/>
          </w:tcPr>
          <w:p>
            <w:pPr>
              <w:ind w:left="20"/>
              <w:spacing w:after="0"/>
              <w:rPr>
                <w:sz w:val="20"/>
                <w:szCs w:val="20"/>
                <w:color w:val="auto"/>
              </w:rPr>
            </w:pPr>
            <w:r>
              <w:rPr>
                <w:rFonts w:ascii="Arial" w:cs="Arial" w:eastAsia="Arial" w:hAnsi="Arial"/>
                <w:sz w:val="18"/>
                <w:szCs w:val="18"/>
                <w:color w:val="auto"/>
              </w:rPr>
              <w:t>- 60 days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878</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EEEEEE"/>
          </w:tcPr>
          <w:p>
            <w:pPr>
              <w:spacing w:after="0"/>
              <w:rPr>
                <w:sz w:val="20"/>
                <w:szCs w:val="20"/>
                <w:color w:val="auto"/>
              </w:rPr>
            </w:pPr>
            <w:r>
              <w:rPr>
                <w:rFonts w:ascii="Arial" w:cs="Arial" w:eastAsia="Arial" w:hAnsi="Arial"/>
                <w:sz w:val="18"/>
                <w:szCs w:val="18"/>
                <w:color w:val="auto"/>
                <w:w w:val="89"/>
              </w:rPr>
              <w:t>61</w:t>
            </w:r>
          </w:p>
        </w:tc>
        <w:tc>
          <w:tcPr>
            <w:tcW w:w="34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- 90 days</w:t>
            </w:r>
          </w:p>
        </w:tc>
        <w:tc>
          <w:tcPr>
            <w:tcW w:w="2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w w:val="89"/>
              </w:rPr>
              <w:t>91</w:t>
            </w:r>
          </w:p>
        </w:tc>
        <w:tc>
          <w:tcPr>
            <w:tcW w:w="3460" w:type="dxa"/>
            <w:vAlign w:val="bottom"/>
            <w:tcBorders>
              <w:bottom w:val="single" w:sz="8" w:color="EEEEEE"/>
            </w:tcBorders>
          </w:tcPr>
          <w:p>
            <w:pPr>
              <w:ind w:left="20"/>
              <w:spacing w:after="0"/>
              <w:rPr>
                <w:sz w:val="20"/>
                <w:szCs w:val="20"/>
                <w:color w:val="auto"/>
              </w:rPr>
            </w:pPr>
            <w:r>
              <w:rPr>
                <w:rFonts w:ascii="Arial" w:cs="Arial" w:eastAsia="Arial" w:hAnsi="Arial"/>
                <w:sz w:val="18"/>
                <w:szCs w:val="18"/>
                <w:color w:val="auto"/>
              </w:rPr>
              <w:t>+ days</w:t>
            </w:r>
          </w:p>
        </w:tc>
        <w:tc>
          <w:tcPr>
            <w:tcW w:w="2280" w:type="dxa"/>
            <w:vAlign w:val="bottom"/>
            <w:tcBorders>
              <w:bottom w:val="single" w:sz="8" w:color="EEEEE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320" w:type="dxa"/>
            <w:vAlign w:val="bottom"/>
            <w:tcBorders>
              <w:bottom w:val="single" w:sz="8" w:color="EEEEEE"/>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3460" w:type="dxa"/>
            <w:vAlign w:val="bottom"/>
            <w:tcBorders>
              <w:bottom w:val="single" w:sz="8" w:color="EEEEEE"/>
            </w:tcBorders>
            <w:shd w:val="clear" w:color="auto" w:fill="EEEEEE"/>
          </w:tcPr>
          <w:p>
            <w:pPr>
              <w:spacing w:after="0"/>
              <w:rPr>
                <w:sz w:val="19"/>
                <w:szCs w:val="19"/>
                <w:color w:val="auto"/>
              </w:rPr>
            </w:pPr>
          </w:p>
        </w:tc>
        <w:tc>
          <w:tcPr>
            <w:tcW w:w="228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14,786</w:t>
            </w:r>
          </w:p>
        </w:tc>
        <w:tc>
          <w:tcPr>
            <w:tcW w:w="320" w:type="dxa"/>
            <w:vAlign w:val="bottom"/>
            <w:tcBorders>
              <w:bottom w:val="single" w:sz="8" w:color="EEEEEE"/>
            </w:tcBorders>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jc w:val="right"/>
              <w:ind w:right="3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60,804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Residual Interest in Securitizations</w:t>
      </w:r>
    </w:p>
    <w:p>
      <w:pPr>
        <w:spacing w:after="0" w:line="22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In September 2008 we completed a structured loan sale in which we retained a residual interest. The remaining receivables from such transaction were re-securitized in September 2010. The residual interest from this transaction was $854,000 and $4.8 million as of December 31, 2013 and 2012, respectively, and was determined using a discounted cash flow model that included estimates for prepayments and losses. The discount rate utilized was 20%. The assumptions utilized were based on our historical performance adjusted for current market conditions.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(6) Furniture and Equipment</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The following table presents the components of furniture and equipment:</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gridSpan w:val="2"/>
            <w:shd w:val="clear" w:color="auto" w:fill="EEEEEE"/>
          </w:tcPr>
          <w:p>
            <w:pPr>
              <w:jc w:val="right"/>
              <w:ind w:right="13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1,141</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1,139</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Computer and telephone equipment</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4,094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Leasehold improvements</w:t>
            </w:r>
          </w:p>
        </w:tc>
        <w:tc>
          <w:tcPr>
            <w:tcW w:w="8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633</w:t>
            </w: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633</w:t>
            </w:r>
          </w:p>
        </w:tc>
        <w:tc>
          <w:tcPr>
            <w:tcW w:w="80" w:type="dxa"/>
            <w:vAlign w:val="bottom"/>
            <w:shd w:val="clear" w:color="auto" w:fill="EEEEEE"/>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5,868</w:t>
            </w:r>
          </w:p>
        </w:tc>
        <w:tc>
          <w:tcPr>
            <w:tcW w:w="3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61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(5,102)</w:t>
            </w:r>
          </w:p>
        </w:tc>
        <w:tc>
          <w:tcPr>
            <w:tcW w:w="46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(4,665)</w:t>
            </w:r>
          </w:p>
        </w:tc>
      </w:tr>
      <w:tr>
        <w:trPr>
          <w:trHeight w:val="223"/>
        </w:trPr>
        <w:tc>
          <w:tcPr>
            <w:tcW w:w="3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totaled $437,000 and $543,000 for the years ended December 31, 2013 and 2012,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Securitization Trust Debt</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have completed numerous term securitization transactions that are structured as secured borrowings for financial accounting purposes. The debt issued in these transactions is shown on our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Receivables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Outstanding</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Final Scheduled</w:t>
            </w:r>
          </w:p>
        </w:tc>
        <w:tc>
          <w:tcPr>
            <w:tcW w:w="10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Pledged at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Principal 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Principal at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Interest Rate at</w:t>
            </w:r>
          </w:p>
        </w:tc>
      </w:tr>
      <w:tr>
        <w:trPr>
          <w:trHeight w:val="230"/>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Payment</w:t>
            </w:r>
          </w:p>
        </w:tc>
        <w:tc>
          <w:tcPr>
            <w:tcW w:w="10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19"/>
                <w:szCs w:val="19"/>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960" w:type="dxa"/>
            <w:vAlign w:val="bottom"/>
            <w:gridSpan w:val="2"/>
          </w:tcPr>
          <w:p>
            <w:pPr>
              <w:ind w:left="640"/>
              <w:spacing w:after="0"/>
              <w:rPr>
                <w:sz w:val="20"/>
                <w:szCs w:val="20"/>
                <w:color w:val="auto"/>
              </w:rPr>
            </w:pPr>
            <w:r>
              <w:rPr>
                <w:rFonts w:ascii="Arial" w:cs="Arial" w:eastAsia="Arial" w:hAnsi="Arial"/>
                <w:sz w:val="18"/>
                <w:szCs w:val="18"/>
                <w:b w:val="1"/>
                <w:bCs w:val="1"/>
                <w:color w:val="auto"/>
              </w:rPr>
              <w:t>Series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Date (1)</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2013 (2)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2012</w:t>
            </w:r>
          </w:p>
        </w:tc>
        <w:tc>
          <w:tcPr>
            <w:tcW w:w="3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r>
      <w:tr>
        <w:trPr>
          <w:trHeight w:val="210"/>
        </w:trPr>
        <w:tc>
          <w:tcPr>
            <w:tcW w:w="1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6"/>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2008-A</w:t>
            </w: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October 2014</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310,359</w:t>
            </w:r>
          </w:p>
        </w:tc>
        <w:tc>
          <w:tcPr>
            <w:tcW w:w="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40,713</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Page Five Funding</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January 2018</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46,058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21,251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9.37%</w:t>
            </w:r>
          </w:p>
        </w:tc>
      </w:tr>
      <w:tr>
        <w:trPr>
          <w:trHeight w:val="216"/>
        </w:trPr>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2011-A</w:t>
            </w: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April 2018</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28,278</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100,364</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24,526</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48,368</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CPS 2011-B</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September 2018</w:t>
            </w: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44,704</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109,936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44,433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70,863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r>
      <w:tr>
        <w:trPr>
          <w:trHeight w:val="216"/>
        </w:trPr>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2011-C</w:t>
            </w: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March 2019</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56,232</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119,400</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56,271</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88,269</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CPS 2012-A</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June 2019</w:t>
            </w: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65,557</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65,051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105,485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2012-B</w:t>
            </w: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September 2019</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86,555</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141,500</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86,254</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122,329</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3.24%</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CPS 2012-C</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December 2019</w:t>
            </w: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93,098</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147,000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93,006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135,219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r>
      <w:tr>
        <w:trPr>
          <w:trHeight w:val="216"/>
        </w:trPr>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2012-D</w:t>
            </w: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March 2020</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111,633</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160,000</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108,815</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160,000</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CPS 2013-A</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June 2020</w:t>
            </w: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152,575</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142,842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2013-B</w:t>
            </w: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September 2020</w:t>
            </w:r>
          </w:p>
        </w:tc>
        <w:tc>
          <w:tcPr>
            <w:tcW w:w="10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179,952</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205,000</w:t>
            </w:r>
          </w:p>
        </w:tc>
        <w:tc>
          <w:tcPr>
            <w:tcW w:w="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172,499</w:t>
            </w: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CPS 2013-C</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December 2020</w:t>
            </w:r>
          </w:p>
        </w:tc>
        <w:tc>
          <w:tcPr>
            <w:tcW w:w="1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194,810</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205,000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191,504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30"/>
        </w:trPr>
        <w:tc>
          <w:tcPr>
            <w:tcW w:w="1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2013-D (3)</w:t>
            </w: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March 2021</w:t>
            </w:r>
          </w:p>
        </w:tc>
        <w:tc>
          <w:tcPr>
            <w:tcW w:w="10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117,804</w:t>
            </w:r>
          </w:p>
        </w:tc>
        <w:tc>
          <w:tcPr>
            <w:tcW w:w="2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183,000</w:t>
            </w:r>
          </w:p>
        </w:tc>
        <w:tc>
          <w:tcPr>
            <w:tcW w:w="1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183,000</w:t>
            </w:r>
          </w:p>
        </w:tc>
        <w:tc>
          <w:tcPr>
            <w:tcW w:w="16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2.19%</w:t>
            </w:r>
          </w:p>
        </w:tc>
      </w:tr>
      <w:tr>
        <w:trPr>
          <w:trHeight w:val="224"/>
        </w:trPr>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1,142,236</w:t>
            </w: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2,067,617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1,177,559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792,497</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0</wp:posOffset>
            </wp:positionV>
            <wp:extent cx="3858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-130175</wp:posOffset>
            </wp:positionV>
            <wp:extent cx="3858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58895" cy="8890"/>
                    </a:xfrm>
                    <a:prstGeom prst="rect">
                      <a:avLst/>
                    </a:prstGeom>
                    <a:noFill/>
                  </pic:spPr>
                </pic:pic>
              </a:graphicData>
            </a:graphic>
          </wp:anchor>
        </w:drawing>
      </w:r>
    </w:p>
    <w:p>
      <w:pPr>
        <w:spacing w:after="0" w:line="43" w:lineRule="exact"/>
        <w:rPr>
          <w:sz w:val="20"/>
          <w:szCs w:val="20"/>
          <w:color w:val="auto"/>
        </w:rPr>
      </w:pPr>
    </w:p>
    <w:p>
      <w:pPr>
        <w:ind w:left="580" w:right="120" w:hanging="248"/>
        <w:spacing w:after="0" w:line="254" w:lineRule="auto"/>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$445.7 million in 2014, $345.1 million in 2015, $216.6 million in 2016, $117.0 million in 2017, $40.3 million in 2018, and $12.9 million in 2019.</w:t>
      </w:r>
    </w:p>
    <w:p>
      <w:pPr>
        <w:spacing w:after="0" w:line="2" w:lineRule="exact"/>
        <w:rPr>
          <w:rFonts w:ascii="Arial" w:cs="Arial" w:eastAsia="Arial" w:hAnsi="Arial"/>
          <w:sz w:val="18"/>
          <w:szCs w:val="18"/>
          <w:i w:val="1"/>
          <w:iCs w:val="1"/>
          <w:color w:val="auto"/>
        </w:rPr>
      </w:pPr>
    </w:p>
    <w:p>
      <w:pPr>
        <w:ind w:left="580" w:hanging="248"/>
        <w:spacing w:after="0"/>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Consolidated Balance Sheet.</w:t>
      </w:r>
    </w:p>
    <w:p>
      <w:pPr>
        <w:spacing w:after="0" w:line="9" w:lineRule="exact"/>
        <w:rPr>
          <w:rFonts w:ascii="Arial" w:cs="Arial" w:eastAsia="Arial" w:hAnsi="Arial"/>
          <w:sz w:val="18"/>
          <w:szCs w:val="18"/>
          <w:i w:val="1"/>
          <w:iCs w:val="1"/>
          <w:color w:val="auto"/>
        </w:rPr>
      </w:pPr>
    </w:p>
    <w:p>
      <w:pPr>
        <w:ind w:left="580" w:hanging="248"/>
        <w:spacing w:after="0"/>
        <w:tabs>
          <w:tab w:leader="none" w:pos="58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An additional $63.4 million of receivables were pledged to CPS 2013-D in January 2014.</w:t>
      </w:r>
    </w:p>
    <w:p>
      <w:pPr>
        <w:spacing w:after="0" w:line="21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All of the securitization trust debt was issued in private placement transactions to qualified institutional investors. The debt was issued by our wholly-owned, bankruptcy remote subsidiaries and is secured by the assets of such subsidiaries, but not by any of our other assets.</w:t>
      </w:r>
    </w:p>
    <w:p>
      <w:pPr>
        <w:spacing w:after="0" w:line="170"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terms of the various securitization agreements related to the issuance of the securitization trust debt require that certain delinquency and credit loss criteria be met with respect to the collateral pool, and require that we maintain minimum levels of liquidity and net worth and not exceed maximum leverage levels. We were in compliance with all such covenants as of December 31, 2013.</w:t>
      </w:r>
    </w:p>
    <w:p>
      <w:pPr>
        <w:spacing w:after="0" w:line="181"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responsible for the administration and collection of the contracts. The securitization agreements also require certain funds be held in restricted cash accounts to provide additional credit enhancement for the Notes or to be applied to make payments on the securitization trust debt. As of December 31, 2013, restricted cash under the various agreements totaled approximately $132.3 million. This amount includes $63.4 million in pre-funding proceeds related to CPS 2013-D. Interest expense on the securitization trust debt is composed of the stated rate of interest plus amortization of additional costs of borrowing. Additional costs of borrowing include facility fees, insurance premiums, amortization of transaction costs, and amortization of discounts required on the notes at the time of issuance. Deferred financing costs related to the securitization trust debt are amortized using the interest method. Accordingly, the effective cost of borrowing of the securitization trust debt is greater than the stated rate of interest.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60" w:firstLine="324"/>
        <w:spacing w:after="0" w:line="297" w:lineRule="auto"/>
        <w:rPr>
          <w:sz w:val="20"/>
          <w:szCs w:val="20"/>
          <w:color w:val="auto"/>
        </w:rPr>
      </w:pPr>
      <w:r>
        <w:rPr>
          <w:rFonts w:ascii="Arial" w:cs="Arial" w:eastAsia="Arial" w:hAnsi="Arial"/>
          <w:sz w:val="16"/>
          <w:szCs w:val="16"/>
          <w:color w:val="auto"/>
        </w:rPr>
        <w:t>Our wholly-owned, bankruptcy remote subsidiaries were formed to facilitate the above asset-backed financing transactions. Similar bankruptcy remote subsidiaries issue the debt outstanding under our warehouse line of credit.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any of our other creditors.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terms of our debt outstanding at December 31, 2013 and 2012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40" w:type="dxa"/>
            <w:vAlign w:val="bottom"/>
            <w:gridSpan w:val="6"/>
          </w:tcPr>
          <w:p>
            <w:pPr>
              <w:ind w:left="92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40" w:type="dxa"/>
            <w:vAlign w:val="bottom"/>
            <w:gridSpan w:val="2"/>
          </w:tcPr>
          <w:p>
            <w:pPr>
              <w:ind w:left="18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00" w:type="dxa"/>
            <w:vAlign w:val="bottom"/>
            <w:gridSpan w:val="2"/>
            <w:vMerge w:val="restart"/>
          </w:tcPr>
          <w:p>
            <w:pPr>
              <w:ind w:left="660"/>
              <w:spacing w:after="0"/>
              <w:rPr>
                <w:sz w:val="20"/>
                <w:szCs w:val="20"/>
                <w:color w:val="auto"/>
              </w:rPr>
            </w:pPr>
            <w:r>
              <w:rPr>
                <w:rFonts w:ascii="Arial" w:cs="Arial" w:eastAsia="Arial" w:hAnsi="Arial"/>
                <w:sz w:val="18"/>
                <w:szCs w:val="18"/>
                <w:color w:val="auto"/>
              </w:rPr>
              <w:t>Description</w:t>
            </w:r>
          </w:p>
        </w:tc>
        <w:tc>
          <w:tcPr>
            <w:tcW w:w="2400" w:type="dxa"/>
            <w:vAlign w:val="bottom"/>
            <w:gridSpan w:val="2"/>
            <w:vMerge w:val="restart"/>
          </w:tcPr>
          <w:p>
            <w:pPr>
              <w:ind w:left="620"/>
              <w:spacing w:after="0"/>
              <w:rPr>
                <w:sz w:val="20"/>
                <w:szCs w:val="20"/>
                <w:color w:val="auto"/>
              </w:rPr>
            </w:pPr>
            <w:r>
              <w:rPr>
                <w:rFonts w:ascii="Arial" w:cs="Arial" w:eastAsia="Arial" w:hAnsi="Arial"/>
                <w:sz w:val="18"/>
                <w:szCs w:val="18"/>
                <w:color w:val="auto"/>
              </w:rPr>
              <w:t>Interest Rate</w:t>
            </w:r>
          </w:p>
        </w:tc>
        <w:tc>
          <w:tcPr>
            <w:tcW w:w="2560" w:type="dxa"/>
            <w:vAlign w:val="bottom"/>
            <w:gridSpan w:val="3"/>
            <w:vMerge w:val="restart"/>
          </w:tcPr>
          <w:p>
            <w:pPr>
              <w:jc w:val="right"/>
              <w:ind w:right="1145"/>
              <w:spacing w:after="0"/>
              <w:rPr>
                <w:sz w:val="20"/>
                <w:szCs w:val="20"/>
                <w:color w:val="auto"/>
              </w:rPr>
            </w:pPr>
            <w:r>
              <w:rPr>
                <w:rFonts w:ascii="Arial" w:cs="Arial" w:eastAsia="Arial" w:hAnsi="Arial"/>
                <w:sz w:val="18"/>
                <w:szCs w:val="18"/>
                <w:color w:val="auto"/>
              </w:rPr>
              <w:t>Maturity</w:t>
            </w:r>
          </w:p>
        </w:tc>
        <w:tc>
          <w:tcPr>
            <w:tcW w:w="242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400" w:type="dxa"/>
            <w:vAlign w:val="bottom"/>
            <w:gridSpan w:val="2"/>
            <w:vMerge w:val="continue"/>
          </w:tcPr>
          <w:p>
            <w:pPr>
              <w:spacing w:after="0"/>
              <w:rPr>
                <w:sz w:val="18"/>
                <w:szCs w:val="18"/>
                <w:color w:val="auto"/>
              </w:rPr>
            </w:pPr>
          </w:p>
        </w:tc>
        <w:tc>
          <w:tcPr>
            <w:tcW w:w="256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Warehouse lines of credit</w:t>
            </w: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90"/>
              </w:rPr>
              <w:t>5.73% over one month</w:t>
            </w:r>
          </w:p>
        </w:tc>
        <w:tc>
          <w:tcPr>
            <w:tcW w:w="256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92"/>
              </w:rPr>
              <w:t>March 2017</w:t>
            </w: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5"/>
              </w:rPr>
              <w:t>Libor (Minimum 6.73%)</w:t>
            </w:r>
          </w:p>
        </w:tc>
        <w:tc>
          <w:tcPr>
            <w:tcW w:w="2560" w:type="dxa"/>
            <w:vAlign w:val="bottom"/>
            <w:gridSpan w:val="3"/>
            <w:shd w:val="clear" w:color="auto" w:fill="EEEEEE"/>
          </w:tcPr>
          <w:p>
            <w:pPr>
              <w:jc w:val="right"/>
              <w:ind w:right="105"/>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9,452</w:t>
            </w:r>
          </w:p>
        </w:tc>
        <w:tc>
          <w:tcPr>
            <w:tcW w:w="58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90"/>
              </w:rPr>
              <w:t>6.00% over one month</w:t>
            </w:r>
          </w:p>
        </w:tc>
        <w:tc>
          <w:tcPr>
            <w:tcW w:w="256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85"/>
              </w:rPr>
              <w:t>June 2016</w:t>
            </w: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5"/>
              </w:rPr>
              <w:t>Libor (Minimum 6.75%)</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Residual interest financing</w:t>
            </w:r>
          </w:p>
        </w:tc>
        <w:tc>
          <w:tcPr>
            <w:tcW w:w="240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0"/>
              </w:rPr>
              <w:t>12.875% over one month</w:t>
            </w:r>
          </w:p>
        </w:tc>
        <w:tc>
          <w:tcPr>
            <w:tcW w:w="256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87"/>
              </w:rPr>
              <w:t>September 2013</w:t>
            </w: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9"/>
              </w:rPr>
              <w:t>Libor</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89"/>
              </w:rPr>
              <w:t>11.75% over one month</w:t>
            </w:r>
          </w:p>
        </w:tc>
        <w:tc>
          <w:tcPr>
            <w:tcW w:w="256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98"/>
              </w:rPr>
              <w:t>April 2018</w:t>
            </w: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9"/>
              </w:rPr>
              <w:t>Libor</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19,096</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240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7"/>
              </w:rPr>
              <w:t>n/a</w:t>
            </w:r>
          </w:p>
        </w:tc>
        <w:tc>
          <w:tcPr>
            <w:tcW w:w="256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88"/>
              </w:rPr>
              <w:t>Repayment is based on</w:t>
            </w: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92"/>
              </w:rPr>
              <w:t>payments from underlying</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94"/>
              </w:rPr>
              <w:t>receivables. Final</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91"/>
              </w:rPr>
              <w:t>payment of the 8.00% loan</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88"/>
              </w:rPr>
              <w:t>was made in September</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93"/>
              </w:rPr>
              <w:t>2013, with residual</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89"/>
              </w:rPr>
              <w:t>payments extending</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90"/>
              </w:rPr>
              <w:t>through 2016</w:t>
            </w: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13,117</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Senior secured debt, related</w:t>
            </w:r>
          </w:p>
        </w:tc>
        <w:tc>
          <w:tcPr>
            <w:tcW w:w="240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0"/>
              </w:rPr>
              <w:t>13.0% and 16.0% at</w:t>
            </w:r>
          </w:p>
        </w:tc>
        <w:tc>
          <w:tcPr>
            <w:tcW w:w="2560" w:type="dxa"/>
            <w:vAlign w:val="bottom"/>
            <w:gridSpan w:val="3"/>
            <w:shd w:val="clear" w:color="auto" w:fill="EEEEEE"/>
          </w:tcPr>
          <w:p>
            <w:pPr>
              <w:jc w:val="center"/>
              <w:ind w:right="325"/>
              <w:spacing w:after="0" w:line="201" w:lineRule="exact"/>
              <w:rPr>
                <w:sz w:val="20"/>
                <w:szCs w:val="20"/>
                <w:color w:val="auto"/>
              </w:rPr>
            </w:pPr>
            <w:r>
              <w:rPr>
                <w:rFonts w:ascii="Arial" w:cs="Arial" w:eastAsia="Arial" w:hAnsi="Arial"/>
                <w:sz w:val="18"/>
                <w:szCs w:val="18"/>
                <w:color w:val="auto"/>
                <w:w w:val="85"/>
              </w:rPr>
              <w:t>June 2014</w:t>
            </w: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party</w:t>
            </w:r>
          </w:p>
        </w:tc>
        <w:tc>
          <w:tcPr>
            <w:tcW w:w="240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89"/>
              </w:rPr>
              <w:t>December 31, 2013 and</w:t>
            </w:r>
          </w:p>
        </w:tc>
        <w:tc>
          <w:tcPr>
            <w:tcW w:w="2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0"/>
              </w:rPr>
              <w:t>2012, respectively</w:t>
            </w:r>
          </w:p>
        </w:tc>
        <w:tc>
          <w:tcPr>
            <w:tcW w:w="20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37,128</w:t>
            </w:r>
          </w:p>
        </w:tc>
        <w:tc>
          <w:tcPr>
            <w:tcW w:w="160" w:type="dxa"/>
            <w:vAlign w:val="bottom"/>
            <w:shd w:val="clear" w:color="auto" w:fill="EEEEEE"/>
          </w:tcPr>
          <w:p>
            <w:pPr>
              <w:spacing w:after="0"/>
              <w:rPr>
                <w:sz w:val="20"/>
                <w:szCs w:val="20"/>
                <w:color w:val="auto"/>
              </w:rPr>
            </w:pPr>
          </w:p>
        </w:tc>
        <w:tc>
          <w:tcPr>
            <w:tcW w:w="420" w:type="dxa"/>
            <w:vAlign w:val="bottom"/>
            <w:shd w:val="clear" w:color="auto" w:fill="EEEEEE"/>
          </w:tcPr>
          <w:p>
            <w:pPr>
              <w:spacing w:after="0"/>
              <w:rPr>
                <w:sz w:val="20"/>
                <w:szCs w:val="20"/>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160" w:type="dxa"/>
            <w:vAlign w:val="bottom"/>
            <w:shd w:val="clear" w:color="auto" w:fill="EEEEEE"/>
          </w:tcPr>
          <w:p>
            <w:pPr>
              <w:jc w:val="center"/>
              <w:ind w:left="10"/>
              <w:spacing w:after="0"/>
              <w:rPr>
                <w:sz w:val="20"/>
                <w:szCs w:val="20"/>
                <w:color w:val="auto"/>
              </w:rPr>
            </w:pPr>
            <w:r>
              <w:rPr>
                <w:rFonts w:ascii="Arial" w:cs="Arial" w:eastAsia="Arial" w:hAnsi="Arial"/>
                <w:sz w:val="18"/>
                <w:szCs w:val="18"/>
                <w:color w:val="auto"/>
                <w:w w:val="90"/>
              </w:rPr>
              <w:t>5.00%</w:t>
            </w:r>
          </w:p>
        </w:tc>
        <w:tc>
          <w:tcPr>
            <w:tcW w:w="240" w:type="dxa"/>
            <w:vAlign w:val="bottom"/>
            <w:shd w:val="clear" w:color="auto" w:fill="EEEEEE"/>
          </w:tcPr>
          <w:p>
            <w:pPr>
              <w:spacing w:after="0"/>
              <w:rPr>
                <w:sz w:val="18"/>
                <w:szCs w:val="18"/>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85"/>
              </w:rPr>
              <w:t>June 2014</w:t>
            </w: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1,431</w:t>
            </w: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7"/>
              </w:rPr>
              <w:t>Subordinated renewable notes</w:t>
            </w:r>
          </w:p>
        </w:tc>
        <w:tc>
          <w:tcPr>
            <w:tcW w:w="2400" w:type="dxa"/>
            <w:vAlign w:val="bottom"/>
            <w:gridSpan w:val="2"/>
            <w:shd w:val="clear" w:color="auto" w:fill="EEEEEE"/>
          </w:tcPr>
          <w:p>
            <w:pPr>
              <w:jc w:val="center"/>
              <w:ind w:right="160"/>
              <w:spacing w:after="0" w:line="201" w:lineRule="exact"/>
              <w:rPr>
                <w:sz w:val="20"/>
                <w:szCs w:val="20"/>
                <w:color w:val="auto"/>
              </w:rPr>
            </w:pPr>
            <w:r>
              <w:rPr>
                <w:rFonts w:ascii="Arial" w:cs="Arial" w:eastAsia="Arial" w:hAnsi="Arial"/>
                <w:sz w:val="18"/>
                <w:szCs w:val="18"/>
                <w:color w:val="auto"/>
                <w:w w:val="89"/>
              </w:rPr>
              <w:t>Weighted average rate of</w:t>
            </w:r>
          </w:p>
        </w:tc>
        <w:tc>
          <w:tcPr>
            <w:tcW w:w="2560" w:type="dxa"/>
            <w:vAlign w:val="bottom"/>
            <w:gridSpan w:val="3"/>
            <w:shd w:val="clear" w:color="auto" w:fill="EEEEEE"/>
          </w:tcPr>
          <w:p>
            <w:pPr>
              <w:jc w:val="center"/>
              <w:ind w:right="345"/>
              <w:spacing w:after="0" w:line="201" w:lineRule="exact"/>
              <w:rPr>
                <w:sz w:val="20"/>
                <w:szCs w:val="20"/>
                <w:color w:val="auto"/>
              </w:rPr>
            </w:pPr>
            <w:r>
              <w:rPr>
                <w:rFonts w:ascii="Arial" w:cs="Arial" w:eastAsia="Arial" w:hAnsi="Arial"/>
                <w:sz w:val="18"/>
                <w:szCs w:val="18"/>
                <w:color w:val="auto"/>
                <w:w w:val="90"/>
              </w:rPr>
              <w:t>Weighted average maturity</w:t>
            </w:r>
          </w:p>
        </w:tc>
        <w:tc>
          <w:tcPr>
            <w:tcW w:w="16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5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140"/>
              <w:spacing w:after="0"/>
              <w:rPr>
                <w:sz w:val="20"/>
                <w:szCs w:val="20"/>
                <w:color w:val="auto"/>
              </w:rPr>
            </w:pPr>
            <w:r>
              <w:rPr>
                <w:rFonts w:ascii="Arial" w:cs="Arial" w:eastAsia="Arial" w:hAnsi="Arial"/>
                <w:sz w:val="18"/>
                <w:szCs w:val="18"/>
                <w:color w:val="auto"/>
                <w:w w:val="90"/>
              </w:rPr>
              <w:t>12.5% and 14.4% at</w:t>
            </w:r>
          </w:p>
        </w:tc>
        <w:tc>
          <w:tcPr>
            <w:tcW w:w="2560" w:type="dxa"/>
            <w:vAlign w:val="bottom"/>
            <w:gridSpan w:val="3"/>
            <w:shd w:val="clear" w:color="auto" w:fill="EEEEEE"/>
          </w:tcPr>
          <w:p>
            <w:pPr>
              <w:jc w:val="center"/>
              <w:ind w:right="345"/>
              <w:spacing w:after="0"/>
              <w:rPr>
                <w:sz w:val="20"/>
                <w:szCs w:val="20"/>
                <w:color w:val="auto"/>
              </w:rPr>
            </w:pPr>
            <w:r>
              <w:rPr>
                <w:rFonts w:ascii="Arial" w:cs="Arial" w:eastAsia="Arial" w:hAnsi="Arial"/>
                <w:sz w:val="18"/>
                <w:szCs w:val="18"/>
                <w:color w:val="auto"/>
                <w:w w:val="89"/>
              </w:rPr>
              <w:t>of July 2015 and June</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89"/>
              </w:rPr>
              <w:t>December 31, 2013 and</w:t>
            </w: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89"/>
              </w:rPr>
              <w:t>2015 at December 31,</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0"/>
              </w:rPr>
              <w:t>2012, respectively</w:t>
            </w: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89"/>
              </w:rPr>
              <w:t>2013 and 2012,</w:t>
            </w:r>
          </w:p>
        </w:tc>
        <w:tc>
          <w:tcPr>
            <w:tcW w:w="16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2160" w:type="dxa"/>
            <w:vAlign w:val="bottom"/>
            <w:shd w:val="clear" w:color="auto" w:fill="EEEEEE"/>
          </w:tcPr>
          <w:p>
            <w:pPr>
              <w:spacing w:after="0"/>
              <w:rPr>
                <w:sz w:val="21"/>
                <w:szCs w:val="21"/>
                <w:color w:val="auto"/>
              </w:rPr>
            </w:pPr>
          </w:p>
        </w:tc>
        <w:tc>
          <w:tcPr>
            <w:tcW w:w="240" w:type="dxa"/>
            <w:vAlign w:val="bottom"/>
            <w:shd w:val="clear" w:color="auto" w:fill="EEEEEE"/>
          </w:tcPr>
          <w:p>
            <w:pPr>
              <w:spacing w:after="0"/>
              <w:rPr>
                <w:sz w:val="21"/>
                <w:szCs w:val="21"/>
                <w:color w:val="auto"/>
              </w:rPr>
            </w:pPr>
          </w:p>
        </w:tc>
        <w:tc>
          <w:tcPr>
            <w:tcW w:w="2560" w:type="dxa"/>
            <w:vAlign w:val="bottom"/>
            <w:gridSpan w:val="3"/>
            <w:shd w:val="clear" w:color="auto" w:fill="EEEEEE"/>
          </w:tcPr>
          <w:p>
            <w:pPr>
              <w:jc w:val="center"/>
              <w:ind w:right="325"/>
              <w:spacing w:after="0"/>
              <w:rPr>
                <w:sz w:val="20"/>
                <w:szCs w:val="20"/>
                <w:color w:val="auto"/>
              </w:rPr>
            </w:pPr>
            <w:r>
              <w:rPr>
                <w:rFonts w:ascii="Arial" w:cs="Arial" w:eastAsia="Arial" w:hAnsi="Arial"/>
                <w:sz w:val="18"/>
                <w:szCs w:val="18"/>
                <w:color w:val="auto"/>
                <w:w w:val="92"/>
              </w:rPr>
              <w:t>respectively</w:t>
            </w:r>
          </w:p>
        </w:tc>
        <w:tc>
          <w:tcPr>
            <w:tcW w:w="18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19,142</w:t>
            </w:r>
          </w:p>
        </w:tc>
        <w:tc>
          <w:tcPr>
            <w:tcW w:w="160" w:type="dxa"/>
            <w:vAlign w:val="bottom"/>
            <w:shd w:val="clear" w:color="auto" w:fill="EEEEEE"/>
          </w:tcPr>
          <w:p>
            <w:pPr>
              <w:spacing w:after="0"/>
              <w:rPr>
                <w:sz w:val="21"/>
                <w:szCs w:val="21"/>
                <w:color w:val="auto"/>
              </w:rPr>
            </w:pPr>
          </w:p>
        </w:tc>
        <w:tc>
          <w:tcPr>
            <w:tcW w:w="420" w:type="dxa"/>
            <w:vAlign w:val="bottom"/>
            <w:shd w:val="clear" w:color="auto" w:fill="EEEEEE"/>
          </w:tcPr>
          <w:p>
            <w:pPr>
              <w:spacing w:after="0"/>
              <w:rPr>
                <w:sz w:val="21"/>
                <w:szCs w:val="21"/>
                <w:color w:val="auto"/>
              </w:rPr>
            </w:pPr>
          </w:p>
        </w:tc>
        <w:tc>
          <w:tcPr>
            <w:tcW w:w="1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99,366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right"/>
              <w:ind w:right="1425"/>
              <w:spacing w:after="0"/>
              <w:rPr>
                <w:sz w:val="20"/>
                <w:szCs w:val="20"/>
                <w:color w:val="auto"/>
              </w:rPr>
            </w:pPr>
            <w:r>
              <w:rPr>
                <w:rFonts w:ascii="Arial" w:cs="Arial" w:eastAsia="Arial" w:hAnsi="Arial"/>
                <w:sz w:val="18"/>
                <w:szCs w:val="18"/>
                <w:color w:val="auto"/>
              </w:rPr>
              <w:t>F-19</w:t>
            </w: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In March 2013 we renewed our $100 million warehouse credit line with affiliates of Goldman, Sachs &amp; Co. and Fortress Investment Group. The facility is structured to allow us to fund a portion of the purchase price of automobile contracts by borrowing from a credit facility to our consolidated subsidiary Page Six Funding LLC. The facility provides for advances up to 88% of eligible finance receivables and the loans under it accrue interest at a rate of one-month LIBOR plus 5.73% per annum, with a minimum rate of 6.73% per annum. There was $9.5 million outstanding under this facility at December 31, 2013. This facility has a revolving period through March 2015 and an amortization period through March 2017 for any receivables pledged to the facility at the end of the revolving period.</w:t>
      </w:r>
    </w:p>
    <w:p>
      <w:pPr>
        <w:spacing w:after="0" w:line="19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In June 2013, we renewed our $100 million warehouse credit line with Citibank, N.A. The facility is structured to allow us to fund a portion of the purchase price of automobile contracts by borrowing from a credit facility to our consolidated subsidiary Page Eight Funding, LLC. The facility provides for effective advances up to 88.4% of eligible finance receivables. The loans under the facility accrue interest at one-month LIBOR plus 6.00% per annum, with a minimum rate of 6.75% per annum. At December 31, 2013 there was no amount outstanding under this facility, which has a revolving period through June 2015 and an amortization period through June 2016 for any receivables pledged at the end of the revolving period.</w:t>
      </w:r>
    </w:p>
    <w:p>
      <w:pPr>
        <w:spacing w:after="0" w:line="1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total outstanding debt on our warehouse lines of credit was $9.5 million as of December 31, 2013, compared to $21.7 million outstanding as of December 31, 2012.</w:t>
      </w:r>
    </w:p>
    <w:p>
      <w:pPr>
        <w:spacing w:after="0" w:line="1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costs incurred in conjunction with the above debt are recorded as deferred financing costs on the accompanying consolidated balance sheets and are more fully described in Note 1.</w:t>
      </w:r>
    </w:p>
    <w:p>
      <w:pPr>
        <w:spacing w:after="0" w:line="170" w:lineRule="exact"/>
        <w:rPr>
          <w:sz w:val="20"/>
          <w:szCs w:val="20"/>
          <w:color w:val="auto"/>
        </w:rPr>
      </w:pPr>
    </w:p>
    <w:p>
      <w:pPr>
        <w:jc w:val="both"/>
        <w:ind w:right="220" w:firstLine="324"/>
        <w:spacing w:after="0" w:line="264" w:lineRule="auto"/>
        <w:rPr>
          <w:sz w:val="20"/>
          <w:szCs w:val="20"/>
          <w:color w:val="auto"/>
        </w:rPr>
      </w:pPr>
      <w:r>
        <w:rPr>
          <w:rFonts w:ascii="Arial" w:cs="Arial" w:eastAsia="Arial" w:hAnsi="Arial"/>
          <w:sz w:val="18"/>
          <w:szCs w:val="18"/>
          <w:color w:val="auto"/>
        </w:rPr>
        <w:t>We must comply with certain affirmative and negative covenants related to debt facilities, which require, among other things, that we maintain certain financial ratios related to liquidity, net worth and capitalization. Further covenants include matters relating to investments, acquisitions, restricted payments and certain dividend restrictions. See the discussion of financial covenants in Note 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contractual and expected maturity amounts of long term debt as of December 31,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Residual</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Senior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Subordinated</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interest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secured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renewable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00" w:type="dxa"/>
            <w:vAlign w:val="bottom"/>
            <w:gridSpan w:val="2"/>
          </w:tcPr>
          <w:p>
            <w:pPr>
              <w:ind w:left="820"/>
              <w:spacing w:after="0"/>
              <w:rPr>
                <w:sz w:val="20"/>
                <w:szCs w:val="20"/>
                <w:color w:val="auto"/>
              </w:rPr>
            </w:pPr>
            <w:r>
              <w:rPr>
                <w:rFonts w:ascii="Arial" w:cs="Arial" w:eastAsia="Arial" w:hAnsi="Arial"/>
                <w:sz w:val="18"/>
                <w:szCs w:val="18"/>
                <w:b w:val="1"/>
                <w:bCs w:val="1"/>
                <w:color w:val="auto"/>
              </w:rPr>
              <w:t>Contractual maturity date</w:t>
            </w:r>
          </w:p>
        </w:tc>
        <w:tc>
          <w:tcPr>
            <w:tcW w:w="200" w:type="dxa"/>
            <w:vAlign w:val="bottom"/>
          </w:tcPr>
          <w:p>
            <w:pPr>
              <w:spacing w:after="0"/>
              <w:rPr>
                <w:sz w:val="20"/>
                <w:szCs w:val="20"/>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financing (1)</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debt (2)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notes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gridSpan w:val="6"/>
          </w:tcPr>
          <w:p>
            <w:pPr>
              <w:jc w:val="right"/>
              <w:ind w:right="140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2014</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6,333</w:t>
            </w:r>
          </w:p>
        </w:tc>
        <w:tc>
          <w:tcPr>
            <w:tcW w:w="480" w:type="dxa"/>
            <w:vAlign w:val="bottom"/>
            <w:gridSpan w:val="2"/>
            <w:shd w:val="clear" w:color="auto" w:fill="EEEEEE"/>
          </w:tcPr>
          <w:p>
            <w:pPr>
              <w:jc w:val="right"/>
              <w:ind w:right="14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38,559</w:t>
            </w:r>
          </w:p>
        </w:tc>
        <w:tc>
          <w:tcPr>
            <w:tcW w:w="36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11,400</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56,292</w:t>
            </w: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3,202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2,480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5,682</w:t>
            </w:r>
          </w:p>
        </w:tc>
      </w:tr>
      <w:tr>
        <w:trPr>
          <w:trHeight w:val="216"/>
        </w:trPr>
        <w:tc>
          <w:tcPr>
            <w:tcW w:w="36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1,159</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3,267</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4,426</w:t>
            </w:r>
          </w:p>
        </w:tc>
      </w:tr>
      <w:tr>
        <w:trPr>
          <w:trHeight w:val="216"/>
        </w:trPr>
        <w:tc>
          <w:tcPr>
            <w:tcW w:w="3660" w:type="dxa"/>
            <w:vAlign w:val="bottom"/>
          </w:tcPr>
          <w:p>
            <w:pPr>
              <w:ind w:left="10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4,300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4,512</w:t>
            </w:r>
          </w:p>
        </w:tc>
      </w:tr>
      <w:tr>
        <w:trPr>
          <w:trHeight w:val="216"/>
        </w:trPr>
        <w:tc>
          <w:tcPr>
            <w:tcW w:w="36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4,102</w:t>
            </w:r>
          </w:p>
        </w:tc>
        <w:tc>
          <w:tcPr>
            <w:tcW w:w="1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565</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4,667</w:t>
            </w:r>
          </w:p>
        </w:tc>
      </w:tr>
      <w:tr>
        <w:trPr>
          <w:trHeight w:val="230"/>
        </w:trPr>
        <w:tc>
          <w:tcPr>
            <w:tcW w:w="3900" w:type="dxa"/>
            <w:vAlign w:val="bottom"/>
            <w:gridSpan w:val="2"/>
          </w:tcPr>
          <w:p>
            <w:pPr>
              <w:ind w:left="10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1,218</w:t>
            </w:r>
          </w:p>
        </w:tc>
      </w:tr>
      <w:tr>
        <w:trPr>
          <w:trHeight w:val="223"/>
        </w:trPr>
        <w:tc>
          <w:tcPr>
            <w:tcW w:w="3900" w:type="dxa"/>
            <w:vAlign w:val="bottom"/>
            <w:tcBorders>
              <w:top w:val="single" w:sz="8" w:color="EEEEEE"/>
              <w:bottom w:val="single" w:sz="8" w:color="EEEEEE"/>
            </w:tcBorders>
            <w:gridSpan w:val="2"/>
            <w:shd w:val="clear" w:color="auto" w:fill="EEEEEE"/>
          </w:tcPr>
          <w:p>
            <w:pPr>
              <w:ind w:left="10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EEEEEE"/>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19,096</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38,559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19,142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76,797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_________________________</w:t>
      </w:r>
    </w:p>
    <w:p>
      <w:pPr>
        <w:spacing w:after="0" w:line="49" w:lineRule="exact"/>
        <w:rPr>
          <w:sz w:val="20"/>
          <w:szCs w:val="20"/>
          <w:color w:val="auto"/>
        </w:rPr>
      </w:pPr>
    </w:p>
    <w:p>
      <w:pPr>
        <w:ind w:left="580" w:right="40" w:hanging="248"/>
        <w:spacing w:after="0" w:line="258" w:lineRule="auto"/>
        <w:tabs>
          <w:tab w:leader="none" w:pos="5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residual interest financing debt has a contractual maturity date in April 2018. This debt is expected to become due and payable prior to that date, based on the decreasing valuation of the underlying collateral.</w:t>
      </w:r>
    </w:p>
    <w:p>
      <w:pPr>
        <w:spacing w:after="0" w:line="1" w:lineRule="exact"/>
        <w:rPr>
          <w:rFonts w:ascii="Arial" w:cs="Arial" w:eastAsia="Arial" w:hAnsi="Arial"/>
          <w:sz w:val="18"/>
          <w:szCs w:val="18"/>
          <w:i w:val="1"/>
          <w:iCs w:val="1"/>
          <w:color w:val="auto"/>
        </w:rPr>
      </w:pPr>
    </w:p>
    <w:p>
      <w:pPr>
        <w:ind w:left="580" w:right="80" w:hanging="248"/>
        <w:spacing w:after="0" w:line="265" w:lineRule="auto"/>
        <w:tabs>
          <w:tab w:leader="none" w:pos="580" w:val="left"/>
        </w:tabs>
        <w:numPr>
          <w:ilvl w:val="0"/>
          <w:numId w:val="29"/>
        </w:numPr>
        <w:rPr>
          <w:rFonts w:ascii="Arial" w:cs="Arial" w:eastAsia="Arial" w:hAnsi="Arial"/>
          <w:sz w:val="17"/>
          <w:szCs w:val="17"/>
          <w:i w:val="1"/>
          <w:iCs w:val="1"/>
          <w:color w:val="auto"/>
        </w:rPr>
      </w:pPr>
      <w:r>
        <w:rPr>
          <w:rFonts w:ascii="Arial" w:cs="Arial" w:eastAsia="Arial" w:hAnsi="Arial"/>
          <w:sz w:val="17"/>
          <w:szCs w:val="17"/>
          <w:i w:val="1"/>
          <w:iCs w:val="1"/>
          <w:color w:val="auto"/>
        </w:rPr>
        <w:t>The senior secured debt is shown net of unamortized debt discounts of $623,000. On a gross basis the scheduled maturity of this debt is $39.2 million in June 2014. On January 31, 2014, we prepaid $10.0 million of our senior secured debt prior to its contractual maturity in June 2014.</w:t>
      </w:r>
    </w:p>
    <w:p>
      <w:pPr>
        <w:ind w:left="580" w:right="380" w:hanging="248"/>
        <w:spacing w:after="0" w:line="261" w:lineRule="auto"/>
        <w:tabs>
          <w:tab w:leader="none" w:pos="5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Debt secured by receivables measured at fair value, in the amount of $13.1 million as of December 31, 2013, is omitted from this table because it becomes due as and when the related receivables balance is reduced by payments and charge-offs.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Holders of common stock are entitled to such dividends as our Board of Directors, in its discretion, may declare out of funds available, subject to the terms of any outstanding shares of preferred stock and other restrictions. In the event of liquidation of the Company, holders of common stock are entitled to receive, </w:t>
      </w:r>
      <w:r>
        <w:rPr>
          <w:rFonts w:ascii="Arial" w:cs="Arial" w:eastAsia="Arial" w:hAnsi="Arial"/>
          <w:sz w:val="18"/>
          <w:szCs w:val="18"/>
          <w:i w:val="1"/>
          <w:iCs w:val="1"/>
          <w:color w:val="auto"/>
        </w:rPr>
        <w:t>pro rata</w:t>
      </w:r>
      <w:r>
        <w:rPr>
          <w:rFonts w:ascii="Arial" w:cs="Arial" w:eastAsia="Arial" w:hAnsi="Arial"/>
          <w:sz w:val="18"/>
          <w:szCs w:val="18"/>
          <w:color w:val="auto"/>
        </w:rPr>
        <w:t>, all of the assets of the Company available for distribution, after payment of any liquidation preference to the holders of outstanding shares of preferred stock. Holders of the shares of common stock have no conversion or preemptive or other subscription rights and there are no redemption or sinking fund provisions applicable to the common stock.</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required to comply with various operating and financial covenants defined in the agreements governing the warehouse lines of credit, senior debt, residual interest financing and subordinated debt. The covenants for the senior debt, residual interest financing and subordinated debt restrict the payment of certain distributions, including dividends (See Note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Purchases</w:t>
      </w:r>
    </w:p>
    <w:p>
      <w:pPr>
        <w:spacing w:after="0" w:line="225" w:lineRule="exact"/>
        <w:rPr>
          <w:sz w:val="20"/>
          <w:szCs w:val="20"/>
          <w:color w:val="auto"/>
        </w:rPr>
      </w:pPr>
    </w:p>
    <w:p>
      <w:pPr>
        <w:jc w:val="both"/>
        <w:ind w:right="420" w:firstLine="324"/>
        <w:spacing w:after="0" w:line="264" w:lineRule="auto"/>
        <w:rPr>
          <w:sz w:val="20"/>
          <w:szCs w:val="20"/>
          <w:color w:val="auto"/>
        </w:rPr>
      </w:pPr>
      <w:r>
        <w:rPr>
          <w:rFonts w:ascii="Arial" w:cs="Arial" w:eastAsia="Arial" w:hAnsi="Arial"/>
          <w:sz w:val="18"/>
          <w:szCs w:val="18"/>
          <w:color w:val="auto"/>
        </w:rPr>
        <w:t>At five different times between 2000 and 2011, our Board of Directors has authorized the repurchase of up to $34.5 million of our securities. As of December 31, 2013, we had purchased $5.0 million principal amount of debt securities, and $28.4 million of our common stock, representing 9,800,720 shares. There is approximately $1.0 million remaining under such plans, which have no expiration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and Warrants</w:t>
      </w:r>
    </w:p>
    <w:p>
      <w:pPr>
        <w:spacing w:after="0" w:line="225" w:lineRule="exact"/>
        <w:rPr>
          <w:sz w:val="20"/>
          <w:szCs w:val="20"/>
          <w:color w:val="auto"/>
        </w:rPr>
      </w:pPr>
    </w:p>
    <w:p>
      <w:pPr>
        <w:jc w:val="both"/>
        <w:ind w:right="100" w:firstLine="324"/>
        <w:spacing w:after="0" w:line="291" w:lineRule="auto"/>
        <w:rPr>
          <w:sz w:val="20"/>
          <w:szCs w:val="20"/>
          <w:color w:val="auto"/>
        </w:rPr>
      </w:pPr>
      <w:r>
        <w:rPr>
          <w:rFonts w:ascii="Arial" w:cs="Arial" w:eastAsia="Arial" w:hAnsi="Arial"/>
          <w:sz w:val="16"/>
          <w:szCs w:val="16"/>
          <w:color w:val="auto"/>
        </w:rPr>
        <w:t>In 2006, the Company adopted and its shareholders approved the CPS 2006 Long-Term Equity Incentive Plan (the “2006 Plan”) pursuant to which our Board of Directors, or a duly-authorized committee thereof, may grant stock options, restricted stock, restricted stock units and stock appreciation rights to our employees or employees of our subsidiaries, to directors of the Company, and to individuals acting as consultants to the Company or its subsidiaries. In June 2008, May 2012 and again in April 2013, the shareholders of the Company approved an amendment to the 2006 Plan to increase the maximum number of shares that may be subject to awards under the 2006 Plan to 5,000,000, 7,200,000 and 12,200,000, respectively, in each case plus shares authorized under prior plans and not issued. Options that have been granted under the 2006 Plan and a previous plan approved in 1997 have been granted at an exercise price equal to (or greater than) the stock’s fair market value at the date of the grant, with terms generally of 10 years and vesting generally over five years.</w:t>
      </w:r>
    </w:p>
    <w:p>
      <w:pPr>
        <w:spacing w:after="0" w:line="167"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 per share weighted-average fair value of stock options granted during the years ended December 31, 2013 and 2012 was $4.79 and $1.15, respectively. That fair value was estimated using the Black-Scholes option pricing model using the weighted average assumptions noted in the following table. We use historical data to estimate the expected term of each option. The volatility estimate is based on the historical volatility of our stock over the period that equals the expected life of the option. Volatility assumptions ranged from 50% to 85% for 2013 and 54% to 82% for 2012. The risk-free interest rate is based on the yield on a U.S. Treasury bond with a maturity comparable to the expected life of the option. The dividend yield is estimated to be zero based on our intention not to issue dividends for the foreseeable future.</w:t>
      </w:r>
    </w:p>
    <w:p>
      <w:pPr>
        <w:spacing w:after="0" w:line="188"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62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EEEEEE"/>
            </w:tcBorders>
          </w:tcPr>
          <w:p>
            <w:pPr>
              <w:spacing w:after="0"/>
              <w:rPr>
                <w:sz w:val="19"/>
                <w:szCs w:val="19"/>
                <w:color w:val="auto"/>
              </w:rPr>
            </w:pPr>
          </w:p>
        </w:tc>
      </w:tr>
      <w:tr>
        <w:trPr>
          <w:trHeight w:val="210"/>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5.41</w:t>
            </w:r>
          </w:p>
        </w:tc>
        <w:tc>
          <w:tcPr>
            <w:tcW w:w="34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5.63</w:t>
            </w:r>
          </w:p>
        </w:tc>
        <w:tc>
          <w:tcPr>
            <w:tcW w:w="120" w:type="dxa"/>
            <w:vAlign w:val="bottom"/>
            <w:shd w:val="clear" w:color="auto" w:fill="EEEEEE"/>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0.73%</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r>
      <w:tr>
        <w:trPr>
          <w:trHeight w:val="216"/>
        </w:trPr>
        <w:tc>
          <w:tcPr>
            <w:tcW w:w="7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Volatility</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80%</w:t>
            </w:r>
          </w:p>
        </w:tc>
        <w:tc>
          <w:tcPr>
            <w:tcW w:w="1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79%</w:t>
            </w: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For the year ended December 31, 2013 and 2012, we recorded stock-based compensation costs in the amount of $3.9 million and $1.1 million, respectively. As of December 31, 2013, the unrecognized stock-based compensation costs to be recognized over future periods was equal to $12.5 million. This amount will be recognized as expense over a weighted-average period of 3.5 years.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At December 31, 2013 and 2012, the options outstanding and exercisable had intrinsic values of $61.6 million and $41.7 million, respectively. The total intrinsic value of options exercised was $8.1 million and $1.2 million for the year ended December 31, 2013 and 2012, respectively. New shares were issued for all options exercised during the year ended December 2013 and cash of $2.1 million was received. A tax benefit of $1.2 million was recorded for the options exercised in 2013. At December 31, 2013, there were a total of 4.0 million additional shares available for grant under the 2006 Plan.</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 activity for the year ended December 31, 2013 for stock options under the 2006 and 1997 plans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9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Exercise Price</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8,652</w:t>
            </w:r>
          </w:p>
        </w:tc>
        <w:tc>
          <w:tcPr>
            <w:tcW w:w="3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1.58</w:t>
            </w:r>
          </w:p>
        </w:tc>
        <w:tc>
          <w:tcPr>
            <w:tcW w:w="3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spacing w:after="0"/>
              <w:rPr>
                <w:sz w:val="20"/>
                <w:szCs w:val="20"/>
                <w:color w:val="auto"/>
              </w:rPr>
            </w:pPr>
            <w:r>
              <w:rPr>
                <w:rFonts w:ascii="Arial" w:cs="Arial" w:eastAsia="Arial" w:hAnsi="Arial"/>
                <w:sz w:val="18"/>
                <w:szCs w:val="18"/>
                <w:color w:val="auto"/>
              </w:rPr>
              <w:t>3,040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7.43</w:t>
            </w:r>
          </w:p>
        </w:tc>
        <w:tc>
          <w:tcPr>
            <w:tcW w:w="1700" w:type="dxa"/>
            <w:vAlign w:val="bottom"/>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9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(1,413)</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1.50</w:t>
            </w:r>
          </w:p>
        </w:tc>
        <w:tc>
          <w:tcPr>
            <w:tcW w:w="1700" w:type="dxa"/>
            <w:vAlign w:val="bottom"/>
            <w:shd w:val="clear" w:color="auto" w:fill="EEEEEE"/>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Forfeited/Expired</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4.64</w:t>
            </w:r>
          </w:p>
        </w:tc>
        <w:tc>
          <w:tcPr>
            <w:tcW w:w="1700" w:type="dxa"/>
            <w:vAlign w:val="bottom"/>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10,128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700" w:type="dxa"/>
            <w:vAlign w:val="bottom"/>
            <w:tcBorders>
              <w:top w:val="single" w:sz="8" w:color="EEEEEE"/>
              <w:bottom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6.40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5,777</w:t>
            </w:r>
          </w:p>
        </w:tc>
        <w:tc>
          <w:tcPr>
            <w:tcW w:w="360" w:type="dxa"/>
            <w:vAlign w:val="bottom"/>
            <w:shd w:val="clear" w:color="auto" w:fill="EEEEEE"/>
          </w:tcPr>
          <w:p>
            <w:pPr>
              <w:spacing w:after="0"/>
              <w:rPr>
                <w:sz w:val="21"/>
                <w:szCs w:val="21"/>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2.17</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4.96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The per share weighted average exercise price of stock options granted whose exercise price was equal to the market price of the stock on the grant date during the years ended December 31, 2013 and 2012, was $7.43 and $1.72, respectively. We did not issue any stock options with an exercise price above or below the market price of the stock on the grant date for the years ended December 31, 2013 and 2012.</w:t>
      </w:r>
    </w:p>
    <w:p>
      <w:pPr>
        <w:spacing w:after="0" w:line="166"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On June 30, 2008, we entered into a series of agreements pursuant to which a lender purchased a $10 million five-year, fixed rate, senior secured note from us. In July 2008, in conjunction with the amendment of the residual interest financing as discussed above, the lender purchased an additional $15 million note with substantially the same terms as the $10 million note. Pursuant to the June 30, 2008 securities purchase agreement, we issued to the lender 1,225,000 shares of common stock. In addition, we issued the lender two warrants: (i) warrants that we refer to as the FMV Warrants, which were exercisable for 1,611,114 shares of our common stock, at an exercise price of $1.39818 per share, and (ii) warrants that we refer to as the N Warrants, which were exercisable for 285,781 shares of our common stock, at a nominal exercise price. Both the FMV Warrants and the N Warrants were exercised in November 2013.</w:t>
      </w:r>
    </w:p>
    <w:p>
      <w:pPr>
        <w:spacing w:after="0" w:line="16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excercisable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December 31, 2013.</w:t>
      </w:r>
    </w:p>
    <w:p>
      <w:pPr>
        <w:spacing w:after="0" w:line="18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 warrant to purchase 1,162,270 shares of our common shares at an exercise price of $0.876 per share, which was issued in connection with our $50 million revolving credit facility established in September 2009, was exercised by the lender in April 2013.</w:t>
      </w:r>
    </w:p>
    <w:p>
      <w:pPr>
        <w:spacing w:after="0" w:line="1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Warrants to purchase 500,000 of our common shares at an exercise price of $1.41 per share were issued to certain note purchasers in our March 2010 $50 million term funding facility. Warrants to purchase 409,390 shares remain outstanding as of December 31, 2013.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(10) Interest Income</w:t>
            </w: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The following table presents the components of interest income:</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Year Ended December 31,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0"/>
              </w:rPr>
              <w:t>(In thousands)</w:t>
            </w: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19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231,320</w:t>
            </w:r>
          </w:p>
        </w:tc>
        <w:tc>
          <w:tcPr>
            <w:tcW w:w="100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9"/>
              </w:rPr>
              <w:t>174,019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Residual interest income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100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EEEEEE"/>
          </w:tcPr>
          <w:p>
            <w:pPr>
              <w:spacing w:after="0"/>
              <w:rPr>
                <w:sz w:val="21"/>
                <w:szCs w:val="21"/>
                <w:color w:val="auto"/>
              </w:rPr>
            </w:pPr>
          </w:p>
        </w:tc>
        <w:tc>
          <w:tcPr>
            <w:tcW w:w="980" w:type="dxa"/>
            <w:vAlign w:val="bottom"/>
            <w:shd w:val="clear" w:color="auto" w:fill="EEEEEE"/>
          </w:tcPr>
          <w:p>
            <w:pPr>
              <w:jc w:val="right"/>
              <w:ind w:right="7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231,330</w:t>
            </w:r>
          </w:p>
        </w:tc>
        <w:tc>
          <w:tcPr>
            <w:tcW w:w="100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9"/>
              </w:rPr>
              <w:t>175,314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2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shd w:val="clear" w:color="auto" w:fill="EEEEE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(11) Income Taxes</w:t>
            </w:r>
          </w:p>
        </w:tc>
        <w:tc>
          <w:tcPr>
            <w:tcW w:w="1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taxes consist of the following:</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Year Ended December 31,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jc w:val="center"/>
              <w:ind w:right="290"/>
              <w:spacing w:after="0"/>
              <w:rPr>
                <w:sz w:val="20"/>
                <w:szCs w:val="20"/>
                <w:color w:val="auto"/>
              </w:rPr>
            </w:pPr>
            <w:r>
              <w:rPr>
                <w:rFonts w:ascii="Arial" w:cs="Arial" w:eastAsia="Arial" w:hAnsi="Arial"/>
                <w:sz w:val="18"/>
                <w:szCs w:val="18"/>
                <w:b w:val="1"/>
                <w:bCs w:val="1"/>
                <w:color w:val="auto"/>
                <w:w w:val="90"/>
              </w:rPr>
              <w:t>(In thousands)</w:t>
            </w: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Current federal tax expense</w:t>
            </w:r>
          </w:p>
        </w:tc>
        <w:tc>
          <w:tcPr>
            <w:tcW w:w="19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977</w:t>
            </w:r>
          </w:p>
        </w:tc>
        <w:tc>
          <w:tcPr>
            <w:tcW w:w="100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Current state tax expense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365</w:t>
            </w:r>
          </w:p>
        </w:tc>
        <w:tc>
          <w:tcPr>
            <w:tcW w:w="10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Deferred federal tax expense</w:t>
            </w:r>
          </w:p>
        </w:tc>
        <w:tc>
          <w:tcPr>
            <w:tcW w:w="10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13,306</w:t>
            </w:r>
          </w:p>
        </w:tc>
        <w:tc>
          <w:tcPr>
            <w:tcW w:w="10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Deferred state tax expense (benefit)</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1,520</w:t>
            </w:r>
          </w:p>
        </w:tc>
        <w:tc>
          <w:tcPr>
            <w:tcW w:w="10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Change in valuation allowance</w:t>
            </w:r>
          </w:p>
        </w:tc>
        <w:tc>
          <w:tcPr>
            <w:tcW w:w="100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5"/>
              </w:rPr>
              <w:t>(62,811)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1980" w:type="dxa"/>
            <w:vAlign w:val="bottom"/>
            <w:gridSpan w:val="2"/>
            <w:shd w:val="clear" w:color="auto" w:fill="EEEEEE"/>
          </w:tcPr>
          <w:p>
            <w:pPr>
              <w:jc w:val="right"/>
              <w:ind w:right="79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16,168</w:t>
            </w:r>
          </w:p>
        </w:tc>
        <w:tc>
          <w:tcPr>
            <w:tcW w:w="1000" w:type="dxa"/>
            <w:vAlign w:val="bottom"/>
            <w:shd w:val="clear" w:color="auto" w:fill="EEEEEE"/>
          </w:tcPr>
          <w:p>
            <w:pPr>
              <w:jc w:val="right"/>
              <w:ind w:right="81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w w:val="95"/>
              </w:rPr>
              <w:t>(60,221)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6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Income tax expense/(benefit) for the years ended December 31, 2013 and 2012 differs from the amount determined by applying the statutory federal rate of 35% to income before income taxes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94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4"/>
        </w:trPr>
        <w:tc>
          <w:tcPr>
            <w:tcW w:w="34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35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Expense at federal tax rate</w:t>
            </w:r>
          </w:p>
        </w:tc>
        <w:tc>
          <w:tcPr>
            <w:tcW w:w="350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94"/>
              </w:rPr>
              <w:t>13,011</w:t>
            </w:r>
          </w:p>
        </w:tc>
        <w:tc>
          <w:tcPr>
            <w:tcW w:w="1020" w:type="dxa"/>
            <w:vAlign w:val="bottom"/>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3,215</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State taxes, net of federal income tax effect</w:t>
            </w: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2,079</w:t>
            </w: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1,190</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Other adjustments to tax reserve</w:t>
            </w:r>
          </w:p>
        </w:tc>
        <w:tc>
          <w:tcPr>
            <w:tcW w:w="24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(419)</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(1,153)</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Effect of change in state tax rate</w:t>
            </w: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0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(1,105)</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Change in valuation allowance</w:t>
            </w:r>
          </w:p>
        </w:tc>
        <w:tc>
          <w:tcPr>
            <w:tcW w:w="24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2"/>
              </w:rPr>
              <w:t>(62,811)</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911</w:t>
            </w:r>
          </w:p>
        </w:tc>
        <w:tc>
          <w:tcPr>
            <w:tcW w:w="10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Non-deductible expenses</w:t>
            </w:r>
          </w:p>
        </w:tc>
        <w:tc>
          <w:tcPr>
            <w:tcW w:w="24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619</w:t>
            </w:r>
          </w:p>
        </w:tc>
        <w:tc>
          <w:tcPr>
            <w:tcW w:w="102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63</w:t>
            </w: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206</w:t>
            </w:r>
          </w:p>
        </w:tc>
        <w:tc>
          <w:tcPr>
            <w:tcW w:w="10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8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160" w:type="dxa"/>
            <w:vAlign w:val="bottom"/>
            <w:tcBorders>
              <w:top w:val="single" w:sz="8" w:color="EEEEEE"/>
              <w:bottom w:val="single" w:sz="8" w:color="EEEEEE"/>
            </w:tcBorders>
            <w:shd w:val="clear" w:color="auto" w:fill="EEEEEE"/>
          </w:tcPr>
          <w:p>
            <w:pPr>
              <w:spacing w:after="0"/>
              <w:rPr>
                <w:sz w:val="19"/>
                <w:szCs w:val="19"/>
                <w:color w:val="auto"/>
              </w:rPr>
            </w:pPr>
          </w:p>
        </w:tc>
        <w:tc>
          <w:tcPr>
            <w:tcW w:w="246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16,168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1"/>
              </w:rPr>
              <w:t>(60,221</w:t>
            </w:r>
          </w:p>
        </w:tc>
        <w:tc>
          <w:tcPr>
            <w:tcW w:w="12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030"/>
              <w:spacing w:after="0"/>
              <w:rPr>
                <w:sz w:val="20"/>
                <w:szCs w:val="20"/>
                <w:color w:val="auto"/>
              </w:rPr>
            </w:pPr>
            <w:r>
              <w:rPr>
                <w:rFonts w:ascii="Arial" w:cs="Arial" w:eastAsia="Arial" w:hAnsi="Arial"/>
                <w:sz w:val="18"/>
                <w:szCs w:val="18"/>
                <w:color w:val="auto"/>
              </w:rPr>
              <w:t>F-23</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effected cumulative temporary differences that give rise to deferred tax assets and liabilities as of December 31, 2013 and 2012 are as follows:</w:t>
      </w:r>
    </w:p>
    <w:p>
      <w:pPr>
        <w:spacing w:after="0" w:line="25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2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Finance receivables</w:t>
            </w:r>
          </w:p>
        </w:tc>
        <w:tc>
          <w:tcPr>
            <w:tcW w:w="32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17,258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10,840</w:t>
            </w:r>
          </w:p>
        </w:tc>
        <w:tc>
          <w:tcPr>
            <w:tcW w:w="100" w:type="dxa"/>
            <w:vAlign w:val="bottom"/>
          </w:tcPr>
          <w:p>
            <w:pPr>
              <w:spacing w:after="0"/>
              <w:rPr>
                <w:sz w:val="18"/>
                <w:szCs w:val="18"/>
                <w:color w:val="auto"/>
              </w:rPr>
            </w:pP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2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5,079</w:t>
            </w: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1,605</w:t>
            </w:r>
          </w:p>
        </w:tc>
        <w:tc>
          <w:tcPr>
            <w:tcW w:w="100" w:type="dxa"/>
            <w:vAlign w:val="bottom"/>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NOL carryforwards</w:t>
            </w:r>
          </w:p>
        </w:tc>
        <w:tc>
          <w:tcPr>
            <w:tcW w:w="2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4"/>
              </w:rPr>
              <w:t>23,811</w:t>
            </w: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48,140</w:t>
            </w:r>
          </w:p>
        </w:tc>
        <w:tc>
          <w:tcPr>
            <w:tcW w:w="100" w:type="dxa"/>
            <w:vAlign w:val="bottom"/>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Built in losses</w:t>
            </w: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13,074</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14,406</w:t>
            </w:r>
          </w:p>
        </w:tc>
        <w:tc>
          <w:tcPr>
            <w:tcW w:w="100" w:type="dxa"/>
            <w:vAlign w:val="bottom"/>
          </w:tcPr>
          <w:p>
            <w:pPr>
              <w:spacing w:after="0"/>
              <w:rPr>
                <w:sz w:val="18"/>
                <w:szCs w:val="18"/>
                <w:color w:val="auto"/>
              </w:rPr>
            </w:pP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Pension accrual</w:t>
            </w:r>
          </w:p>
        </w:tc>
        <w:tc>
          <w:tcPr>
            <w:tcW w:w="2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AMT credit carryforward</w:t>
            </w: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1,993</w:t>
            </w: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r>
      <w:tr>
        <w:trPr>
          <w:trHeight w:val="230"/>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22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839</w:t>
            </w:r>
          </w:p>
        </w:tc>
        <w:tc>
          <w:tcPr>
            <w:tcW w:w="5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EEEEEE"/>
          </w:tcPr>
          <w:p>
            <w:pPr>
              <w:spacing w:after="0"/>
              <w:rPr>
                <w:sz w:val="19"/>
                <w:szCs w:val="19"/>
                <w:color w:val="auto"/>
              </w:rPr>
            </w:pPr>
          </w:p>
        </w:tc>
      </w:tr>
      <w:tr>
        <w:trPr>
          <w:trHeight w:val="210"/>
        </w:trPr>
        <w:tc>
          <w:tcPr>
            <w:tcW w:w="4400" w:type="dxa"/>
            <w:vAlign w:val="bottom"/>
            <w:tcBorders>
              <w:bottom w:val="single" w:sz="8" w:color="EEEEEE"/>
            </w:tcBorders>
          </w:tcPr>
          <w:p>
            <w:pPr>
              <w:ind w:left="200"/>
              <w:spacing w:after="0"/>
              <w:rPr>
                <w:sz w:val="20"/>
                <w:szCs w:val="20"/>
                <w:color w:val="auto"/>
              </w:rPr>
            </w:pPr>
            <w:r>
              <w:rPr>
                <w:rFonts w:ascii="Arial" w:cs="Arial" w:eastAsia="Arial" w:hAnsi="Arial"/>
                <w:sz w:val="18"/>
                <w:szCs w:val="18"/>
                <w:color w:val="auto"/>
              </w:rPr>
              <w:t>Total deferred tax assets</w:t>
            </w:r>
          </w:p>
        </w:tc>
        <w:tc>
          <w:tcPr>
            <w:tcW w:w="2220" w:type="dxa"/>
            <w:vAlign w:val="bottom"/>
            <w:tcBorders>
              <w:bottom w:val="single" w:sz="8" w:color="EEEEEE"/>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62,250</w:t>
            </w:r>
          </w:p>
        </w:tc>
        <w:tc>
          <w:tcPr>
            <w:tcW w:w="34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78,691</w:t>
            </w:r>
          </w:p>
        </w:tc>
        <w:tc>
          <w:tcPr>
            <w:tcW w:w="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10"/>
        </w:trPr>
        <w:tc>
          <w:tcPr>
            <w:tcW w:w="440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FAS 91 deferred costs</w:t>
            </w:r>
          </w:p>
        </w:tc>
        <w:tc>
          <w:tcPr>
            <w:tcW w:w="2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(1,555)</w:t>
            </w:r>
          </w:p>
        </w:tc>
        <w:tc>
          <w:tcPr>
            <w:tcW w:w="5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(1,114)</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Pension accrual</w:t>
            </w:r>
          </w:p>
        </w:tc>
        <w:tc>
          <w:tcPr>
            <w:tcW w:w="2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(1,136)</w:t>
            </w:r>
          </w:p>
        </w:tc>
        <w:tc>
          <w:tcPr>
            <w:tcW w:w="52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400" w:type="dxa"/>
            <w:vAlign w:val="bottom"/>
            <w:shd w:val="clear" w:color="auto" w:fill="EEEEEE"/>
          </w:tcPr>
          <w:p>
            <w:pPr>
              <w:spacing w:after="0"/>
              <w:rPr>
                <w:sz w:val="20"/>
                <w:szCs w:val="20"/>
                <w:color w:val="auto"/>
              </w:rPr>
            </w:pPr>
            <w:r>
              <w:rPr>
                <w:rFonts w:ascii="Arial" w:cs="Arial" w:eastAsia="Arial" w:hAnsi="Arial"/>
                <w:sz w:val="18"/>
                <w:szCs w:val="18"/>
                <w:color w:val="auto"/>
              </w:rPr>
              <w:t>Investment residual</w:t>
            </w:r>
          </w:p>
        </w:tc>
        <w:tc>
          <w:tcPr>
            <w:tcW w:w="222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(344)</w:t>
            </w: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(1,937)</w:t>
            </w:r>
          </w:p>
        </w:tc>
      </w:tr>
      <w:tr>
        <w:trPr>
          <w:trHeight w:val="210"/>
        </w:trPr>
        <w:tc>
          <w:tcPr>
            <w:tcW w:w="4400" w:type="dxa"/>
            <w:vAlign w:val="bottom"/>
            <w:tcBorders>
              <w:bottom w:val="single" w:sz="8" w:color="EEEEEE"/>
            </w:tcBorders>
          </w:tcPr>
          <w:p>
            <w:pPr>
              <w:ind w:left="200"/>
              <w:spacing w:after="0"/>
              <w:rPr>
                <w:sz w:val="20"/>
                <w:szCs w:val="20"/>
                <w:color w:val="auto"/>
              </w:rPr>
            </w:pPr>
            <w:r>
              <w:rPr>
                <w:rFonts w:ascii="Arial" w:cs="Arial" w:eastAsia="Arial" w:hAnsi="Arial"/>
                <w:sz w:val="18"/>
                <w:szCs w:val="18"/>
                <w:color w:val="auto"/>
              </w:rPr>
              <w:t>Total deferred tax liabilities</w:t>
            </w:r>
          </w:p>
        </w:tc>
        <w:tc>
          <w:tcPr>
            <w:tcW w:w="2220" w:type="dxa"/>
            <w:vAlign w:val="bottom"/>
            <w:tcBorders>
              <w:bottom w:val="single" w:sz="8" w:color="EEEEEE"/>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EEEEEE"/>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210"/>
        </w:trPr>
        <w:tc>
          <w:tcPr>
            <w:tcW w:w="4400" w:type="dxa"/>
            <w:vAlign w:val="bottom"/>
            <w:shd w:val="clear" w:color="auto" w:fill="EEEEEE"/>
          </w:tcPr>
          <w:p>
            <w:pPr>
              <w:spacing w:after="0"/>
              <w:rPr>
                <w:sz w:val="18"/>
                <w:szCs w:val="18"/>
                <w:color w:val="auto"/>
              </w:rPr>
            </w:pPr>
          </w:p>
        </w:tc>
        <w:tc>
          <w:tcPr>
            <w:tcW w:w="22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43"/>
        </w:trPr>
        <w:tc>
          <w:tcPr>
            <w:tcW w:w="4400" w:type="dxa"/>
            <w:vAlign w:val="bottom"/>
          </w:tcPr>
          <w:p>
            <w:pPr>
              <w:ind w:left="200"/>
              <w:spacing w:after="0"/>
              <w:rPr>
                <w:sz w:val="20"/>
                <w:szCs w:val="20"/>
                <w:color w:val="auto"/>
              </w:rPr>
            </w:pPr>
            <w:r>
              <w:rPr>
                <w:rFonts w:ascii="Arial" w:cs="Arial" w:eastAsia="Arial" w:hAnsi="Arial"/>
                <w:sz w:val="18"/>
                <w:szCs w:val="18"/>
                <w:color w:val="auto"/>
              </w:rPr>
              <w:t>Net deferred tax asset</w:t>
            </w:r>
          </w:p>
        </w:tc>
        <w:tc>
          <w:tcPr>
            <w:tcW w:w="326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59,215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75,640</w:t>
            </w:r>
          </w:p>
        </w:tc>
        <w:tc>
          <w:tcPr>
            <w:tcW w:w="100" w:type="dxa"/>
            <w:vAlign w:val="bottom"/>
          </w:tcPr>
          <w:p>
            <w:pPr>
              <w:spacing w:after="0"/>
              <w:rPr>
                <w:sz w:val="21"/>
                <w:szCs w:val="21"/>
                <w:color w:val="auto"/>
              </w:rPr>
            </w:pPr>
          </w:p>
        </w:tc>
      </w:tr>
      <w:tr>
        <w:trPr>
          <w:trHeight w:val="20"/>
        </w:trPr>
        <w:tc>
          <w:tcPr>
            <w:tcW w:w="4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We acquired certain net operating losses and built-in loss assets as part of our acquisitions of MFN Financial Corp. (“MFN”) in 2002 and TFC Enterprises, Inc. (“TFC”) in 2003. Moreover, both MFN and TFC have undergone an ownership change for purposes of Internal Revenue Code (“IRC”) Section 382. In general, IRC Section 382 imposes an annual limitation on the ability of a loss corporation (that is, a corporation with a net operating loss (“NOL”) carryforward, credit carryforward, or certain built-in losses (“BILs”)) to utilize its pre-change NOL carryforwards or BILs to offset taxable income arising after an ownership change.</w:t>
      </w:r>
    </w:p>
    <w:p>
      <w:pPr>
        <w:spacing w:after="0" w:line="188"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determining the possible future realization of deferred tax assets, we have considered future taxable income from the following sources: (a) reversal of taxable temporary differences; and (b) tax planning strategies that, if necessary, would be implemented to accelerate taxable income into years in which net operating losses might otherwise expire.</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judgements, significant weight is given to evidence that can be objectively verified. As a result of the unprecedented adverse changes in the market for securitizations, the recession and the resulting high levels of unemployment that occurred in 2008 and 2009, we incurred substantial operating losses from 2009 through 2011 which led us to establish a valuation allowance against a substantial portion of our deferred tax assets. We determined at December 31, 2012 that, based on the weight of the available objective evidence, it was more likely than not that we would generate sufficient future taxable income to utilize our net deferred tax assets. Accordingly, we reversed the related valuation allowance of $62.8 million in the fourth quarter of 2012.</w:t>
      </w:r>
    </w:p>
    <w:p>
      <w:pPr>
        <w:spacing w:after="0" w:line="16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Although realization is not assured, we believe that the realization of the recognized net deferred tax asset of $59.2 million as of December 31, 2013 is more likely than not based on forecasted future net earnings. Our net deferred tax asset of $59.2 million consists of approximately $47.8 million of net U.S. federal deferred tax assets and $11.4 million of net state deferred tax assets. The major components of the deferred tax asset are $36.9 million in net operating loss carryforwards and built in losses and $22.3 million in net deductions which have not yet been taken on a tax return.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As of December 31, 2013, we had net operating loss carryforwards for federal and state income tax purposes of $48.4 million and $129.8 million, respectively. The federal net operating losses begin to expire in 2022. The state net operating losses begin to expire in 2014.</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tabular reconciliation of the total amounts of unrecognized tax benefits including interest and penalties for the year:</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r>
      <w:tr>
        <w:trPr>
          <w:trHeight w:val="210"/>
        </w:trPr>
        <w:tc>
          <w:tcPr>
            <w:tcW w:w="5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8"/>
              </w:rPr>
              <w:t>(In thousands)</w:t>
            </w: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Unrecognized tax benefit - opening balance</w:t>
            </w:r>
          </w:p>
        </w:tc>
        <w:tc>
          <w:tcPr>
            <w:tcW w:w="2660" w:type="dxa"/>
            <w:vAlign w:val="bottom"/>
            <w:gridSpan w:val="2"/>
            <w:shd w:val="clear" w:color="auto" w:fill="EEEEEE"/>
          </w:tcPr>
          <w:p>
            <w:pPr>
              <w:jc w:val="right"/>
              <w:ind w:right="9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1,331</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2,405</w:t>
            </w:r>
          </w:p>
        </w:tc>
        <w:tc>
          <w:tcPr>
            <w:tcW w:w="120" w:type="dxa"/>
            <w:vAlign w:val="bottom"/>
            <w:shd w:val="clear" w:color="auto" w:fill="EEEEEE"/>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Gross decreases - tax positions in current period</w:t>
            </w:r>
          </w:p>
        </w:tc>
        <w:tc>
          <w:tcPr>
            <w:tcW w:w="15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Gross increases - tax positions in current period</w:t>
            </w:r>
          </w:p>
        </w:tc>
        <w:tc>
          <w:tcPr>
            <w:tcW w:w="1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15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(686)</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(153)</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(645)</w:t>
            </w:r>
          </w:p>
        </w:tc>
        <w:tc>
          <w:tcPr>
            <w:tcW w:w="5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(1,171)</w:t>
            </w:r>
          </w:p>
        </w:tc>
      </w:tr>
      <w:tr>
        <w:trPr>
          <w:trHeight w:val="210"/>
        </w:trPr>
        <w:tc>
          <w:tcPr>
            <w:tcW w:w="504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5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Unrecognized tax benefit - ending balance</w:t>
            </w:r>
          </w:p>
        </w:tc>
        <w:tc>
          <w:tcPr>
            <w:tcW w:w="266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We recognize a tax position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We recognize potential interest and penalties related to unrecognized tax benefits as income tax expense. At December 31, 2013, we had no unrecognized tax benefits for uncertain tax positions.</w:t>
      </w:r>
    </w:p>
    <w:p>
      <w:pPr>
        <w:spacing w:after="0" w:line="171"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We are subject to taxation in the US and various state jurisdictions. With few exceptions, we are no longer subject to U.S. federal, state, or local examinations by tax authorities for years before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Related Party Transactions</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In December 2007, one of our directors purchased a $4.0 million subordinated renewable note pursuant to our ongoing program of issuing such notes to the public. The note was purchased through the registered agent and under the same terms and conditions, including the interest rate, that were offered to other purchasers at the time the note was issued. As of December 31, 2013, $4.0 million remains outstanding on this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Company leases its facilities and certain computer equipment under non-cancelable operating leases, which expire through 2018. Future minimum lease payments at December 31, 2013, under these leases are due during the years ended December 31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Arial" w:cs="Arial" w:eastAsia="Arial" w:hAnsi="Arial"/>
                <w:sz w:val="18"/>
                <w:szCs w:val="18"/>
                <w:b w:val="1"/>
                <w:bCs w:val="1"/>
                <w:color w:val="auto"/>
              </w:rPr>
              <w:t>Amount</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(In thousands)</w:t>
            </w:r>
          </w:p>
        </w:tc>
        <w:tc>
          <w:tcPr>
            <w:tcW w:w="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2014</w:t>
            </w:r>
          </w:p>
        </w:tc>
        <w:tc>
          <w:tcPr>
            <w:tcW w:w="16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3,249</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2015</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3,339</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2016</w:t>
            </w:r>
          </w:p>
        </w:tc>
        <w:tc>
          <w:tcPr>
            <w:tcW w:w="1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2,898</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2017</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1,580</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EEEEEE"/>
          </w:tcPr>
          <w:p>
            <w:pPr>
              <w:spacing w:after="0"/>
              <w:rPr>
                <w:sz w:val="20"/>
                <w:szCs w:val="20"/>
                <w:color w:val="auto"/>
              </w:rPr>
            </w:pPr>
            <w:r>
              <w:rPr>
                <w:rFonts w:ascii="Arial" w:cs="Arial" w:eastAsia="Arial" w:hAnsi="Arial"/>
                <w:sz w:val="18"/>
                <w:szCs w:val="18"/>
                <w:color w:val="auto"/>
              </w:rPr>
              <w:t>2018</w:t>
            </w:r>
          </w:p>
        </w:tc>
        <w:tc>
          <w:tcPr>
            <w:tcW w:w="1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1,228</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Thereafter</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810</w:t>
            </w:r>
          </w:p>
        </w:tc>
        <w:tc>
          <w:tcPr>
            <w:tcW w:w="4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6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13,104</w:t>
            </w:r>
          </w:p>
        </w:tc>
        <w:tc>
          <w:tcPr>
            <w:tcW w:w="4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F-25</w:t>
            </w:r>
          </w:p>
        </w:tc>
        <w:tc>
          <w:tcPr>
            <w:tcW w:w="4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the years ended December 31, 2013 and 2012, was $2.6 million and $2.9 million, respectively.</w:t>
      </w:r>
    </w:p>
    <w:p>
      <w:pPr>
        <w:spacing w:after="0" w:line="225"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Our facility leases contain certain rental concessions and escalating rental payments, which are recognized as adjustments to rental expense and are amortized on a straight-line basis over the terms of the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Stanwich Litigation. </w:t>
      </w:r>
      <w:r>
        <w:rPr>
          <w:rFonts w:ascii="Arial" w:cs="Arial" w:eastAsia="Arial" w:hAnsi="Arial"/>
          <w:sz w:val="18"/>
          <w:szCs w:val="18"/>
          <w:color w:val="auto"/>
        </w:rPr>
        <w:t>We were for some time a defendant in a class action (the “Stanwich Case”) brought in the California Superior Court, Los Angeles</w:t>
      </w:r>
      <w:r>
        <w:rPr>
          <w:rFonts w:ascii="Arial" w:cs="Arial" w:eastAsia="Arial" w:hAnsi="Arial"/>
          <w:sz w:val="18"/>
          <w:szCs w:val="18"/>
          <w:i w:val="1"/>
          <w:iCs w:val="1"/>
          <w:color w:val="auto"/>
        </w:rPr>
        <w:t xml:space="preserve"> </w:t>
      </w:r>
      <w:r>
        <w:rPr>
          <w:rFonts w:ascii="Arial" w:cs="Arial" w:eastAsia="Arial" w:hAnsi="Arial"/>
          <w:sz w:val="18"/>
          <w:szCs w:val="18"/>
          <w:color w:val="auto"/>
        </w:rPr>
        <w:t>County. The original plaintiffs in that case were persons entitled to receive regular payments (the “Settlement Payments”) pursuant to earlier settlements of claims, generally personal injury claims, against unrelated defendants. Stanwich Financial Services Corp. (“Stanwich”), an affiliate of the former chairman of our board of directors, is the entity that was obligated to pay the Settlement Payments. Stanwich defaulted on its payment obligations to the plaintiffs and in June 2001 filed for reorganization under the Bankruptcy Code, in the federal bankruptcy court in Connecticut. By February 2005, we had settled all claims brought against us in the Stanwich Case.</w:t>
      </w:r>
    </w:p>
    <w:p>
      <w:pPr>
        <w:spacing w:after="0" w:line="193"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In November 2001, one of the defendants in the Stanwich Case, Jonathan Pardee, asserted claims for indemnity against us in a separate action, which is now pending in federal district court in Rhode Island. We have filed counterclaims in the Rhode Island federal court against Mr. Pardee, and have filed a separate action against Mr. Pardee's Rhode Island attorneys, in the same court. The litigation between Mr. Pardee and us was stayed for several years through September 2011, awaiting resolution of an adversary action brought against Mr. Pardee in the bankruptcy court, which is hearing the bankruptcy of Stanwich.</w:t>
      </w:r>
    </w:p>
    <w:p>
      <w:pPr>
        <w:spacing w:after="0" w:line="15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Pursuant to an agreement with the representative of creditors in the Stanwich bankruptcy, that adversary action has been dismissed. Under that agreement, we paid the bankruptcy estate $800,000 and abandoned our claims against the estate, while the estate has abandoned its adversary action against Mr. Pardee. With the dismissal of the adversary action, all known claims asserted against Mr. Pardee have been resolved without his incurring any liability. Accordingly, we believe that this resolution of the adversary action will result in limitation of our exposure to Mr. Pardee to no more than some portion of his attorneys fees incurred. The stay in the action against us in Rhode Island has been lifted, and both we and Mr. Pardee filed motions for summary judgment. The court ruled on those motions in February 2013, denying our motion, and granting Mr. Pardee’s motion as to liability. The issues remaining for trial are the extent of our obligation to indemnify Mr. Pardee. There is no trial date set, but our expectation is that the court may, not earlier than May 2014, set the matter for trial in the latter half of 2014.</w:t>
      </w:r>
    </w:p>
    <w:p>
      <w:pPr>
        <w:spacing w:after="0" w:line="192"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Consumer Litigation. </w:t>
      </w:r>
      <w:r>
        <w:rPr>
          <w:rFonts w:ascii="Arial" w:cs="Arial" w:eastAsia="Arial" w:hAnsi="Arial"/>
          <w:sz w:val="17"/>
          <w:szCs w:val="17"/>
          <w:color w:val="auto"/>
        </w:rPr>
        <w:t>We are routinely involved in various legal proceedings resulting from our consumer finance activities and practices, both</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and discontinued. Consumers can and do initiate lawsuits against us alleging violations of law applicable to collection of receivables, and such lawsuits sometimes allege that resolution as a class action is appropriate. We are currently defending two such purported class actions, one of which has been settled by agreement with the plaintiffs (such settlement remains subject to approval by the court). For the most part, we have legal and factual defenses to such claims, which we routinely contest or settle (for immaterial amounts) depending on the particular circumstances of each case. We have recorded a liability as of December 31, 2013 with respect to such matters, in the aggregate.</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FTC Action</w:t>
      </w:r>
      <w:r>
        <w:rPr>
          <w:rFonts w:ascii="Arial" w:cs="Arial" w:eastAsia="Arial" w:hAnsi="Arial"/>
          <w:sz w:val="17"/>
          <w:szCs w:val="17"/>
          <w:color w:val="auto"/>
        </w:rPr>
        <w:t>. On July 17, 2013, the staff of the Federal Trade Commission (“FTC”) advised us that they are prepared to recommend that the FTC initiate a</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against us relating to allegedly unfair trade practices, and simultaneously advised that settlement of such issues by consent decree may be possible. Based on our review of the FTC’s allegations, of past practices of the FTC, of our records of our collection and servicing activities, and of other companies’ settlements with the FTC, we expect that we will reach such a settlement, and that such a settlement will require that we make restitutionary payments and that we implement procedural changes under a consent decree. There can be no assurance, however, that we will reach agreement regarding any such settlement, and we may choose to contest the allegations of the FTC. Whether we reach such an agreement or not, the cost to us of contesting or settling the matter may be material. We have recorded a liability as of December 31, 2013 with respect to this matter.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any of the matters referenced above. We have recorded a liability as of December 31, 2013,</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described or referenced above, as of December 31, 2013, and in excess of the liability we have recorded, is from $0 to $1.6 million.</w:t>
      </w:r>
    </w:p>
    <w:p>
      <w:pPr>
        <w:spacing w:after="0" w:line="18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Employee Benefits</w:t>
      </w:r>
    </w:p>
    <w:p>
      <w:pPr>
        <w:spacing w:after="0" w:line="225" w:lineRule="exact"/>
        <w:rPr>
          <w:sz w:val="20"/>
          <w:szCs w:val="20"/>
          <w:color w:val="auto"/>
        </w:rPr>
      </w:pPr>
    </w:p>
    <w:p>
      <w:pPr>
        <w:jc w:val="both"/>
        <w:ind w:right="180" w:firstLine="324"/>
        <w:spacing w:after="0" w:line="279" w:lineRule="auto"/>
        <w:rPr>
          <w:sz w:val="20"/>
          <w:szCs w:val="20"/>
          <w:color w:val="auto"/>
        </w:rPr>
      </w:pPr>
      <w:r>
        <w:rPr>
          <w:rFonts w:ascii="Arial" w:cs="Arial" w:eastAsia="Arial" w:hAnsi="Arial"/>
          <w:sz w:val="17"/>
          <w:szCs w:val="17"/>
          <w:color w:val="auto"/>
        </w:rPr>
        <w:t>We sponsor a pretax savings and profit sharing plan (the “401(k) Plan”) qualified under Section 401(k) of the Internal Revenue Code. Under the 401(k) Plan, eligible employees are able to contribute up to 15% of their compensation (subject to stricter limitation in the case of highly compensated employees). We may, at our discretion, match 100% of employees’ contributions up to $1,500 per employee per calendar year. Our contributions to the 401(k) Plan were $471,000 for the year ended December 31, 2013. We did not make any matching contributions in 2012.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also sponsor a defined benefit plan, the MFN Financial Corporation Pension Plan (the “Plan”). The Plan benefits were frozen on June 30, 2001.</w:t>
      </w:r>
    </w:p>
    <w:p>
      <w:pPr>
        <w:spacing w:after="0" w:line="23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tables represents a reconciliation of the change in the plan’s benefit obligations, fair value of plan assets, and funded status at December 31, 2013 and 2012: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2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Projected benefit obligation, beginning of year</w:t>
            </w:r>
          </w:p>
        </w:tc>
        <w:tc>
          <w:tcPr>
            <w:tcW w:w="33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21,792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19,443</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2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Interest cost</w:t>
            </w:r>
          </w:p>
        </w:tc>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823</w:t>
            </w: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875</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Assumption changes</w:t>
            </w:r>
          </w:p>
        </w:tc>
        <w:tc>
          <w:tcPr>
            <w:tcW w:w="2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(2,420)</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2,332</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Actuarial (gain) loss</w:t>
            </w:r>
          </w:p>
        </w:tc>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Settlements</w:t>
            </w:r>
          </w:p>
        </w:tc>
        <w:tc>
          <w:tcPr>
            <w:tcW w:w="2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Benefits paid</w:t>
            </w:r>
          </w:p>
        </w:tc>
        <w:tc>
          <w:tcPr>
            <w:tcW w:w="2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(1,241)</w:t>
            </w:r>
          </w:p>
        </w:tc>
        <w:tc>
          <w:tcPr>
            <w:tcW w:w="5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(860)</w:t>
            </w:r>
          </w:p>
        </w:tc>
        <w:tc>
          <w:tcPr>
            <w:tcW w:w="82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4280" w:type="dxa"/>
            <w:vAlign w:val="bottom"/>
            <w:tcBorders>
              <w:top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Projected benefit obligation, end of year</w:t>
            </w:r>
          </w:p>
        </w:tc>
        <w:tc>
          <w:tcPr>
            <w:tcW w:w="2340" w:type="dxa"/>
            <w:vAlign w:val="bottom"/>
            <w:tcBorders>
              <w:top w:val="single" w:sz="8" w:color="EEEEEE"/>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4"/>
              </w:rPr>
              <w:t>18,841</w:t>
            </w:r>
          </w:p>
        </w:tc>
        <w:tc>
          <w:tcPr>
            <w:tcW w:w="34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21,792</w:t>
            </w:r>
          </w:p>
        </w:tc>
        <w:tc>
          <w:tcPr>
            <w:tcW w:w="120" w:type="dxa"/>
            <w:vAlign w:val="bottom"/>
            <w:tcBorders>
              <w:top w:val="single" w:sz="8" w:color="EEEEEE"/>
            </w:tcBorders>
            <w:shd w:val="clear" w:color="auto" w:fill="EEEEEE"/>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2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Fair value of plan assets, beginning of year</w:t>
            </w:r>
          </w:p>
        </w:tc>
        <w:tc>
          <w:tcPr>
            <w:tcW w:w="33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16,612</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10,613</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Return on assets</w:t>
            </w:r>
          </w:p>
        </w:tc>
        <w:tc>
          <w:tcPr>
            <w:tcW w:w="2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6,009</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5,439</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Employer contribution</w:t>
            </w:r>
          </w:p>
        </w:tc>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389</w:t>
            </w: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1,473</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3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(105)</w:t>
            </w: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Settlements</w:t>
            </w:r>
          </w:p>
        </w:tc>
        <w:tc>
          <w:tcPr>
            <w:tcW w:w="2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Benefits paid</w:t>
            </w:r>
          </w:p>
        </w:tc>
        <w:tc>
          <w:tcPr>
            <w:tcW w:w="234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(1,241)</w:t>
            </w:r>
          </w:p>
        </w:tc>
        <w:tc>
          <w:tcPr>
            <w:tcW w:w="52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(860)</w:t>
            </w:r>
          </w:p>
        </w:tc>
        <w:tc>
          <w:tcPr>
            <w:tcW w:w="82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Fair value of plan assets, end of year</w:t>
            </w:r>
          </w:p>
        </w:tc>
        <w:tc>
          <w:tcPr>
            <w:tcW w:w="2340" w:type="dxa"/>
            <w:vAlign w:val="bottom"/>
          </w:tcPr>
          <w:p>
            <w:pPr>
              <w:spacing w:after="0"/>
              <w:rPr>
                <w:sz w:val="18"/>
                <w:szCs w:val="18"/>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21,664</w:t>
            </w:r>
          </w:p>
        </w:tc>
        <w:tc>
          <w:tcPr>
            <w:tcW w:w="34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16,612</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280" w:type="dxa"/>
            <w:vAlign w:val="bottom"/>
            <w:shd w:val="clear" w:color="auto" w:fill="EEEEEE"/>
          </w:tcPr>
          <w:p>
            <w:pPr>
              <w:spacing w:after="0"/>
              <w:rPr>
                <w:sz w:val="19"/>
                <w:szCs w:val="19"/>
                <w:color w:val="auto"/>
              </w:rPr>
            </w:pPr>
          </w:p>
        </w:tc>
        <w:tc>
          <w:tcPr>
            <w:tcW w:w="2340" w:type="dxa"/>
            <w:vAlign w:val="bottom"/>
            <w:shd w:val="clear" w:color="auto" w:fill="EEEEEE"/>
          </w:tcPr>
          <w:p>
            <w:pPr>
              <w:spacing w:after="0"/>
              <w:rPr>
                <w:sz w:val="19"/>
                <w:szCs w:val="19"/>
                <w:color w:val="auto"/>
              </w:rPr>
            </w:pPr>
          </w:p>
        </w:tc>
        <w:tc>
          <w:tcPr>
            <w:tcW w:w="1040" w:type="dxa"/>
            <w:vAlign w:val="bottom"/>
            <w:tcBorders>
              <w:bottom w:val="single" w:sz="8" w:color="auto"/>
            </w:tcBorders>
            <w:shd w:val="clear" w:color="auto" w:fill="EEEEEE"/>
          </w:tcPr>
          <w:p>
            <w:pPr>
              <w:spacing w:after="0"/>
              <w:rPr>
                <w:sz w:val="19"/>
                <w:szCs w:val="19"/>
                <w:color w:val="auto"/>
              </w:rPr>
            </w:pPr>
          </w:p>
        </w:tc>
        <w:tc>
          <w:tcPr>
            <w:tcW w:w="540" w:type="dxa"/>
            <w:vAlign w:val="bottom"/>
            <w:tcBorders>
              <w:bottom w:val="single" w:sz="8" w:color="auto"/>
            </w:tcBorders>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20" w:type="dxa"/>
            <w:vAlign w:val="bottom"/>
            <w:tcBorders>
              <w:bottom w:val="single" w:sz="8" w:color="auto"/>
            </w:tcBorders>
            <w:shd w:val="clear" w:color="auto" w:fill="EEEEEE"/>
          </w:tcPr>
          <w:p>
            <w:pPr>
              <w:spacing w:after="0"/>
              <w:rPr>
                <w:sz w:val="19"/>
                <w:szCs w:val="19"/>
                <w:color w:val="auto"/>
              </w:rPr>
            </w:pPr>
          </w:p>
        </w:tc>
        <w:tc>
          <w:tcPr>
            <w:tcW w:w="1080" w:type="dxa"/>
            <w:vAlign w:val="bottom"/>
            <w:tcBorders>
              <w:bottom w:val="single" w:sz="8" w:color="auto"/>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Funded Status at end of year</w:t>
            </w:r>
          </w:p>
        </w:tc>
        <w:tc>
          <w:tcPr>
            <w:tcW w:w="234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3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629"/>
        </w:trPr>
        <w:tc>
          <w:tcPr>
            <w:tcW w:w="3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2030"/>
              <w:spacing w:after="0"/>
              <w:rPr>
                <w:sz w:val="20"/>
                <w:szCs w:val="20"/>
                <w:color w:val="auto"/>
              </w:rPr>
            </w:pPr>
            <w:r>
              <w:rPr>
                <w:rFonts w:ascii="Arial" w:cs="Arial" w:eastAsia="Arial" w:hAnsi="Arial"/>
                <w:sz w:val="18"/>
                <w:szCs w:val="18"/>
                <w:color w:val="auto"/>
              </w:rPr>
              <w:t>F-27</w:t>
            </w: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4" w:name="page85"/>
    <w:bookmarkEnd w:id="84"/>
    <w:p>
      <w:pPr>
        <w:jc w:val="center"/>
        <w:ind w:right="-17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Weighted average assumptions used to determine benefit obligations and cost at December 31, 2013 and 2012 were as follows:</w:t>
      </w:r>
    </w:p>
    <w:p>
      <w:pPr>
        <w:spacing w:after="0" w:line="235"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620" w:type="dxa"/>
            <w:vAlign w:val="bottom"/>
            <w:tcBorders>
              <w:bottom w:val="single" w:sz="8" w:color="EEEEEE"/>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EEEEEE"/>
            </w:tcBorders>
          </w:tcPr>
          <w:p>
            <w:pPr>
              <w:spacing w:after="0"/>
              <w:rPr>
                <w:sz w:val="19"/>
                <w:szCs w:val="19"/>
                <w:color w:val="auto"/>
              </w:rPr>
            </w:pPr>
          </w:p>
        </w:tc>
      </w:tr>
      <w:tr>
        <w:trPr>
          <w:trHeight w:val="210"/>
        </w:trPr>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4.75%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3.91%</w:t>
            </w:r>
          </w:p>
        </w:tc>
      </w:tr>
      <w:tr>
        <w:trPr>
          <w:trHeight w:val="216"/>
        </w:trPr>
        <w:tc>
          <w:tcPr>
            <w:tcW w:w="66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Discount rate</w:t>
            </w:r>
          </w:p>
        </w:tc>
        <w:tc>
          <w:tcPr>
            <w:tcW w:w="8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3.91%</w:t>
            </w:r>
          </w:p>
        </w:tc>
        <w:tc>
          <w:tcPr>
            <w:tcW w:w="17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4.60%</w:t>
            </w: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Expected return on plan assets</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8.25%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r>
    </w:tbl>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overall expected long-term rate of return on assets is 8.25% per annum as of December 31, 2013. The expected long-term rate of return is based on the weighted average of historical returns on individual asset categories, which are described in more detail below.</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6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Amounts recognized on Consolidated Balance Sheet</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 assets</w:t>
            </w:r>
          </w:p>
        </w:tc>
        <w:tc>
          <w:tcPr>
            <w:tcW w:w="14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2,823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(5,180)</w:t>
            </w:r>
          </w:p>
        </w:tc>
      </w:tr>
      <w:tr>
        <w:trPr>
          <w:trHeight w:val="263"/>
        </w:trPr>
        <w:tc>
          <w:tcPr>
            <w:tcW w:w="6260" w:type="dxa"/>
            <w:vAlign w:val="bottom"/>
            <w:tcBorders>
              <w:bottom w:val="single" w:sz="8" w:color="EEEEEE"/>
            </w:tcBorders>
          </w:tcPr>
          <w:p>
            <w:pPr>
              <w:ind w:left="20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bottom w:val="single" w:sz="8" w:color="EEEEEE"/>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2,823</w:t>
            </w:r>
          </w:p>
        </w:tc>
        <w:tc>
          <w:tcPr>
            <w:tcW w:w="340" w:type="dxa"/>
            <w:vAlign w:val="bottom"/>
            <w:tcBorders>
              <w:bottom w:val="single" w:sz="8" w:color="EEEEEE"/>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(5,180</w:t>
            </w:r>
          </w:p>
        </w:tc>
        <w:tc>
          <w:tcPr>
            <w:tcW w:w="120" w:type="dxa"/>
            <w:vAlign w:val="bottom"/>
            <w:tcBorders>
              <w:bottom w:val="single" w:sz="8" w:color="EEEEEE"/>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197"/>
        </w:trPr>
        <w:tc>
          <w:tcPr>
            <w:tcW w:w="6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w w:val="92"/>
              </w:rPr>
              <w:t>Amounts recognized in accumulated other comprehensive income consists of:</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Net gain</w:t>
            </w:r>
          </w:p>
        </w:tc>
        <w:tc>
          <w:tcPr>
            <w:tcW w:w="140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1,367</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8,953</w:t>
            </w:r>
          </w:p>
        </w:tc>
        <w:tc>
          <w:tcPr>
            <w:tcW w:w="100" w:type="dxa"/>
            <w:vAlign w:val="bottom"/>
            <w:shd w:val="clear" w:color="auto" w:fill="EEEEEE"/>
          </w:tcPr>
          <w:p>
            <w:pPr>
              <w:spacing w:after="0"/>
              <w:rPr>
                <w:sz w:val="18"/>
                <w:szCs w:val="18"/>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Unrecognized transition asset</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top w:val="single" w:sz="8" w:color="EEEEEE"/>
              <w:bottom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Net amount recognized</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1040" w:type="dxa"/>
            <w:vAlign w:val="bottom"/>
            <w:tcBorders>
              <w:top w:val="single" w:sz="8" w:color="auto"/>
              <w:bottom w:val="single" w:sz="8" w:color="auto"/>
            </w:tcBorders>
            <w:shd w:val="clear" w:color="auto" w:fill="EEEEEE"/>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520" w:type="dxa"/>
            <w:vAlign w:val="bottom"/>
            <w:tcBorders>
              <w:top w:val="single" w:sz="8" w:color="auto"/>
              <w:bottom w:val="single" w:sz="8" w:color="auto"/>
            </w:tcBorders>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8,953</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net periodic benefit cost</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Interest cost</w:t>
            </w:r>
          </w:p>
        </w:tc>
        <w:tc>
          <w:tcPr>
            <w:tcW w:w="14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823</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3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(1,335)</w:t>
            </w:r>
          </w:p>
        </w:tc>
        <w:tc>
          <w:tcPr>
            <w:tcW w:w="52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(928)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loss</w:t>
            </w:r>
          </w:p>
        </w:tc>
        <w:tc>
          <w:tcPr>
            <w:tcW w:w="3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484</w:t>
            </w:r>
          </w:p>
        </w:tc>
        <w:tc>
          <w:tcPr>
            <w:tcW w:w="5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EEEEEE"/>
          </w:tcPr>
          <w:p>
            <w:pPr>
              <w:spacing w:after="0"/>
              <w:rPr>
                <w:sz w:val="19"/>
                <w:szCs w:val="19"/>
                <w:color w:val="auto"/>
              </w:rPr>
            </w:pPr>
          </w:p>
        </w:tc>
      </w:tr>
      <w:tr>
        <w:trPr>
          <w:trHeight w:val="210"/>
        </w:trPr>
        <w:tc>
          <w:tcPr>
            <w:tcW w:w="62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36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Settlement (gain)/loss</w:t>
            </w:r>
          </w:p>
        </w:tc>
        <w:tc>
          <w:tcPr>
            <w:tcW w:w="3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6260" w:type="dxa"/>
            <w:vAlign w:val="bottom"/>
            <w:tcBorders>
              <w:bottom w:val="single" w:sz="8" w:color="EEEEEE"/>
            </w:tcBorders>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EEEEEE"/>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r>
      <w:tr>
        <w:trPr>
          <w:trHeight w:val="197"/>
        </w:trPr>
        <w:tc>
          <w:tcPr>
            <w:tcW w:w="6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b w:val="1"/>
                <w:bCs w:val="1"/>
                <w:color w:val="auto"/>
              </w:rPr>
              <w:t>Benefit Obligation Recognized in Other Comprehensive Income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Net gain</w:t>
            </w:r>
          </w:p>
        </w:tc>
        <w:tc>
          <w:tcPr>
            <w:tcW w:w="140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(7,586)</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(2,748)</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Prior service cost (credit)</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626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360" w:type="dxa"/>
            <w:vAlign w:val="bottom"/>
            <w:shd w:val="clear" w:color="auto" w:fill="EEEEEE"/>
          </w:tcPr>
          <w:p>
            <w:pPr>
              <w:spacing w:after="0"/>
              <w:rPr>
                <w:sz w:val="19"/>
                <w:szCs w:val="19"/>
                <w:color w:val="auto"/>
              </w:rPr>
            </w:pPr>
          </w:p>
        </w:tc>
        <w:tc>
          <w:tcPr>
            <w:tcW w:w="104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6260" w:type="dxa"/>
            <w:vAlign w:val="bottom"/>
            <w:tcBorders>
              <w:bottom w:val="single" w:sz="8" w:color="EEEEEE"/>
            </w:tcBorders>
          </w:tcPr>
          <w:p>
            <w:pPr>
              <w:ind w:left="200"/>
              <w:spacing w:after="0"/>
              <w:rPr>
                <w:sz w:val="20"/>
                <w:szCs w:val="20"/>
                <w:color w:val="auto"/>
              </w:rPr>
            </w:pPr>
            <w:r>
              <w:rPr>
                <w:rFonts w:ascii="Arial" w:cs="Arial" w:eastAsia="Arial" w:hAnsi="Arial"/>
                <w:sz w:val="18"/>
                <w:szCs w:val="18"/>
                <w:color w:val="auto"/>
              </w:rPr>
              <w:t>Net amount recognized in other comprehensive income</w:t>
            </w:r>
          </w:p>
        </w:tc>
        <w:tc>
          <w:tcPr>
            <w:tcW w:w="360" w:type="dxa"/>
            <w:vAlign w:val="bottom"/>
            <w:tcBorders>
              <w:bottom w:val="single" w:sz="8" w:color="EEEEEE"/>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(7,586</w:t>
            </w:r>
          </w:p>
        </w:tc>
        <w:tc>
          <w:tcPr>
            <w:tcW w:w="340" w:type="dxa"/>
            <w:vAlign w:val="bottom"/>
            <w:tcBorders>
              <w:bottom w:val="single" w:sz="8" w:color="EEEEEE"/>
            </w:tcBorders>
          </w:tcPr>
          <w:p>
            <w:pPr>
              <w:jc w:val="right"/>
              <w:ind w:right="200"/>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(2,748</w:t>
            </w:r>
          </w:p>
        </w:tc>
        <w:tc>
          <w:tcPr>
            <w:tcW w:w="120" w:type="dxa"/>
            <w:vAlign w:val="bottom"/>
            <w:tcBorders>
              <w:bottom w:val="single" w:sz="8" w:color="EEEEEE"/>
            </w:tcBorders>
            <w:gridSpan w:val="2"/>
          </w:tcPr>
          <w:p>
            <w:pPr>
              <w:jc w:val="right"/>
              <w:ind w:right="60"/>
              <w:spacing w:after="0"/>
              <w:rPr>
                <w:sz w:val="20"/>
                <w:szCs w:val="20"/>
                <w:color w:val="auto"/>
              </w:rPr>
            </w:pPr>
            <w:r>
              <w:rPr>
                <w:rFonts w:ascii="Arial" w:cs="Arial" w:eastAsia="Arial" w:hAnsi="Arial"/>
                <w:sz w:val="16"/>
                <w:szCs w:val="16"/>
                <w:color w:val="auto"/>
                <w:w w:val="74"/>
              </w:rPr>
              <w:t>)</w:t>
            </w:r>
          </w:p>
        </w:tc>
      </w:tr>
      <w:tr>
        <w:trPr>
          <w:trHeight w:val="197"/>
        </w:trPr>
        <w:tc>
          <w:tcPr>
            <w:tcW w:w="626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b w:val="1"/>
                <w:bCs w:val="1"/>
                <w:color w:val="auto"/>
              </w:rPr>
              <w:t>Accumulated Pension Benefit Obligation</w:t>
            </w:r>
          </w:p>
        </w:tc>
        <w:tc>
          <w:tcPr>
            <w:tcW w:w="140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(1,095)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(5,637)</w:t>
            </w:r>
          </w:p>
        </w:tc>
      </w:tr>
      <w:tr>
        <w:trPr>
          <w:trHeight w:val="20"/>
        </w:trPr>
        <w:tc>
          <w:tcPr>
            <w:tcW w:w="6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is no estimated net loss that will be amortized from accumulated other comprehensive income into net periodic benefit cost in 2014.</w:t>
      </w: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661" w:right="41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040" w:type="dxa"/>
            <w:vAlign w:val="bottom"/>
            <w:gridSpan w:val="4"/>
          </w:tcPr>
          <w:p>
            <w:pPr>
              <w:spacing w:after="0"/>
              <w:rPr>
                <w:sz w:val="20"/>
                <w:szCs w:val="20"/>
                <w:color w:val="auto"/>
              </w:rPr>
            </w:pPr>
            <w:r>
              <w:rPr>
                <w:rFonts w:ascii="Arial" w:cs="Arial" w:eastAsia="Arial" w:hAnsi="Arial"/>
                <w:sz w:val="18"/>
                <w:szCs w:val="18"/>
                <w:color w:val="auto"/>
              </w:rPr>
              <w:t>The weighted average asset allocation of our pension benefits at December 31, 2013 and 2012 were as follows:</w:t>
            </w: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620" w:type="dxa"/>
            <w:vAlign w:val="bottom"/>
          </w:tcPr>
          <w:p>
            <w:pPr>
              <w:spacing w:after="0"/>
              <w:rPr>
                <w:sz w:val="24"/>
                <w:szCs w:val="24"/>
                <w:color w:val="auto"/>
              </w:rPr>
            </w:pPr>
          </w:p>
        </w:tc>
        <w:tc>
          <w:tcPr>
            <w:tcW w:w="242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b w:val="1"/>
                <w:bCs w:val="1"/>
                <w:color w:val="auto"/>
                <w:w w:val="99"/>
              </w:rPr>
              <w:t>December 31,</w:t>
            </w:r>
          </w:p>
        </w:tc>
        <w:tc>
          <w:tcPr>
            <w:tcW w:w="1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620" w:type="dxa"/>
            <w:vAlign w:val="bottom"/>
            <w:tcBorders>
              <w:bottom w:val="single" w:sz="8" w:color="EEEEEE"/>
            </w:tcBorders>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EEEEE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r>
      <w:tr>
        <w:trPr>
          <w:trHeight w:val="210"/>
        </w:trPr>
        <w:tc>
          <w:tcPr>
            <w:tcW w:w="6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Asset Allocation at Year-End</w:t>
            </w:r>
          </w:p>
        </w:tc>
        <w:tc>
          <w:tcPr>
            <w:tcW w:w="15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b w:val="1"/>
                <w:bCs w:val="1"/>
                <w:color w:val="auto"/>
              </w:rPr>
              <w:t>Asset Category</w:t>
            </w: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Equity securities</w:t>
            </w:r>
          </w:p>
        </w:tc>
        <w:tc>
          <w:tcPr>
            <w:tcW w:w="1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87%</w:t>
            </w:r>
          </w:p>
        </w:tc>
        <w:tc>
          <w:tcPr>
            <w:tcW w:w="5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EEEEEE"/>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Debt securities</w:t>
            </w: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30"/>
        </w:trPr>
        <w:tc>
          <w:tcPr>
            <w:tcW w:w="66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0%</w:t>
            </w:r>
          </w:p>
        </w:tc>
        <w:tc>
          <w:tcPr>
            <w:tcW w:w="50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EEEEEE"/>
          </w:tcPr>
          <w:p>
            <w:pPr>
              <w:spacing w:after="0"/>
              <w:rPr>
                <w:sz w:val="19"/>
                <w:szCs w:val="19"/>
                <w:color w:val="auto"/>
              </w:rPr>
            </w:pPr>
          </w:p>
        </w:tc>
      </w:tr>
      <w:tr>
        <w:trPr>
          <w:trHeight w:val="223"/>
        </w:trPr>
        <w:tc>
          <w:tcPr>
            <w:tcW w:w="6620" w:type="dxa"/>
            <w:vAlign w:val="bottom"/>
          </w:tcPr>
          <w:p>
            <w:pPr>
              <w:ind w:left="20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investment policies and strategies for the pension benefits plan utilize a target allocation of 75% equity securities and 25% fixed income securities (excluding Company stock). Our investment goals are to maximize returns subject to specific risk management policies. We address risk management and diversification by the use of a professional investment advisor and several sub-advisors which invest in domestic and international equity securities and domestic fixed income securities. Each sub-advisor focuses its investments within a specific sector of the equity or fixed income market. For the sub-advisors focused on the equity markets, the sectors are differentiated by the market capitalization, the relative valuation and the location of the underlying issuer. For the sub-advisors focused on the fixed income markets, the sectors are differentiated by the credit quality and the maturity of the underlying fixed income investment. The investments made by the sub-advisors are readily marketable and can be sold to fund benefit payment obligations as they become payable.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b w:val="1"/>
                <w:bCs w:val="1"/>
                <w:color w:val="auto"/>
              </w:rPr>
              <w:t>Estimated Future Benefit Payments (In thousands)</w:t>
            </w:r>
          </w:p>
        </w:tc>
        <w:tc>
          <w:tcPr>
            <w:tcW w:w="8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16"/>
        </w:trPr>
        <w:tc>
          <w:tcPr>
            <w:tcW w:w="45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2014</w:t>
            </w:r>
          </w:p>
        </w:tc>
        <w:tc>
          <w:tcPr>
            <w:tcW w:w="8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722</w:t>
            </w:r>
          </w:p>
        </w:tc>
        <w:tc>
          <w:tcPr>
            <w:tcW w:w="4560" w:type="dxa"/>
            <w:vAlign w:val="bottom"/>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2015</w:t>
            </w:r>
          </w:p>
        </w:tc>
        <w:tc>
          <w:tcPr>
            <w:tcW w:w="8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816</w:t>
            </w:r>
          </w:p>
        </w:tc>
        <w:tc>
          <w:tcPr>
            <w:tcW w:w="4560" w:type="dxa"/>
            <w:vAlign w:val="bottom"/>
          </w:tcPr>
          <w:p>
            <w:pPr>
              <w:spacing w:after="0"/>
              <w:rPr>
                <w:sz w:val="18"/>
                <w:szCs w:val="18"/>
                <w:color w:val="auto"/>
              </w:rPr>
            </w:pPr>
          </w:p>
        </w:tc>
      </w:tr>
      <w:tr>
        <w:trPr>
          <w:trHeight w:val="216"/>
        </w:trPr>
        <w:tc>
          <w:tcPr>
            <w:tcW w:w="45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2016</w:t>
            </w:r>
          </w:p>
        </w:tc>
        <w:tc>
          <w:tcPr>
            <w:tcW w:w="860" w:type="dxa"/>
            <w:vAlign w:val="bottom"/>
            <w:shd w:val="clear" w:color="auto" w:fill="EEEEEE"/>
          </w:tcPr>
          <w:p>
            <w:pPr>
              <w:spacing w:after="0"/>
              <w:rPr>
                <w:sz w:val="18"/>
                <w:szCs w:val="18"/>
                <w:color w:val="auto"/>
              </w:rPr>
            </w:pP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828</w:t>
            </w:r>
          </w:p>
        </w:tc>
        <w:tc>
          <w:tcPr>
            <w:tcW w:w="4560" w:type="dxa"/>
            <w:vAlign w:val="bottom"/>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2017</w:t>
            </w:r>
          </w:p>
        </w:tc>
        <w:tc>
          <w:tcPr>
            <w:tcW w:w="8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862</w:t>
            </w:r>
          </w:p>
        </w:tc>
        <w:tc>
          <w:tcPr>
            <w:tcW w:w="4560" w:type="dxa"/>
            <w:vAlign w:val="bottom"/>
          </w:tcPr>
          <w:p>
            <w:pPr>
              <w:spacing w:after="0"/>
              <w:rPr>
                <w:sz w:val="18"/>
                <w:szCs w:val="18"/>
                <w:color w:val="auto"/>
              </w:rPr>
            </w:pPr>
          </w:p>
        </w:tc>
      </w:tr>
      <w:tr>
        <w:trPr>
          <w:trHeight w:val="216"/>
        </w:trPr>
        <w:tc>
          <w:tcPr>
            <w:tcW w:w="45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2018</w:t>
            </w:r>
          </w:p>
        </w:tc>
        <w:tc>
          <w:tcPr>
            <w:tcW w:w="860" w:type="dxa"/>
            <w:vAlign w:val="bottom"/>
            <w:shd w:val="clear" w:color="auto" w:fill="EEEEEE"/>
          </w:tcPr>
          <w:p>
            <w:pPr>
              <w:spacing w:after="0"/>
              <w:rPr>
                <w:sz w:val="18"/>
                <w:szCs w:val="18"/>
                <w:color w:val="auto"/>
              </w:rPr>
            </w:pPr>
          </w:p>
        </w:tc>
        <w:tc>
          <w:tcPr>
            <w:tcW w:w="14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894</w:t>
            </w:r>
          </w:p>
        </w:tc>
        <w:tc>
          <w:tcPr>
            <w:tcW w:w="4560" w:type="dxa"/>
            <w:vAlign w:val="bottom"/>
          </w:tcPr>
          <w:p>
            <w:pPr>
              <w:spacing w:after="0"/>
              <w:rPr>
                <w:sz w:val="18"/>
                <w:szCs w:val="18"/>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Years 2019 - 2023</w:t>
            </w:r>
          </w:p>
        </w:tc>
        <w:tc>
          <w:tcPr>
            <w:tcW w:w="86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5,075</w:t>
            </w:r>
          </w:p>
        </w:tc>
        <w:tc>
          <w:tcPr>
            <w:tcW w:w="4560" w:type="dxa"/>
            <w:vAlign w:val="bottom"/>
          </w:tcPr>
          <w:p>
            <w:pPr>
              <w:spacing w:after="0"/>
              <w:rPr>
                <w:sz w:val="18"/>
                <w:szCs w:val="18"/>
                <w:color w:val="auto"/>
              </w:rPr>
            </w:pPr>
          </w:p>
        </w:tc>
      </w:tr>
      <w:tr>
        <w:trPr>
          <w:trHeight w:val="216"/>
        </w:trPr>
        <w:tc>
          <w:tcPr>
            <w:tcW w:w="45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4560" w:type="dxa"/>
            <w:vAlign w:val="bottom"/>
          </w:tcPr>
          <w:p>
            <w:pPr>
              <w:spacing w:after="0"/>
              <w:rPr>
                <w:sz w:val="18"/>
                <w:szCs w:val="18"/>
                <w:color w:val="auto"/>
              </w:rPr>
            </w:pPr>
          </w:p>
        </w:tc>
      </w:tr>
      <w:tr>
        <w:trPr>
          <w:trHeight w:val="230"/>
        </w:trPr>
        <w:tc>
          <w:tcPr>
            <w:tcW w:w="4520" w:type="dxa"/>
            <w:vAlign w:val="bottom"/>
          </w:tcPr>
          <w:p>
            <w:pPr>
              <w:ind w:left="100"/>
              <w:spacing w:after="0"/>
              <w:rPr>
                <w:sz w:val="20"/>
                <w:szCs w:val="20"/>
                <w:color w:val="auto"/>
              </w:rPr>
            </w:pPr>
            <w:r>
              <w:rPr>
                <w:rFonts w:ascii="Arial" w:cs="Arial" w:eastAsia="Arial" w:hAnsi="Arial"/>
                <w:sz w:val="18"/>
                <w:szCs w:val="18"/>
                <w:color w:val="auto"/>
              </w:rPr>
              <w:t>Anticipated Contributions in 2014</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562</w:t>
            </w:r>
          </w:p>
        </w:tc>
        <w:tc>
          <w:tcPr>
            <w:tcW w:w="4560" w:type="dxa"/>
            <w:vAlign w:val="bottom"/>
          </w:tcPr>
          <w:p>
            <w:pPr>
              <w:spacing w:after="0"/>
              <w:rPr>
                <w:sz w:val="20"/>
                <w:szCs w:val="20"/>
                <w:color w:val="auto"/>
              </w:rPr>
            </w:pPr>
          </w:p>
        </w:tc>
      </w:tr>
      <w:tr>
        <w:trPr>
          <w:trHeight w:val="634"/>
        </w:trPr>
        <w:tc>
          <w:tcPr>
            <w:tcW w:w="4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F-29</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gridSpan w:val="8"/>
          </w:tcPr>
          <w:p>
            <w:pPr>
              <w:jc w:val="right"/>
              <w:ind w:right="580"/>
              <w:spacing w:after="0"/>
              <w:rPr>
                <w:sz w:val="20"/>
                <w:szCs w:val="20"/>
                <w:color w:val="auto"/>
              </w:rPr>
            </w:pPr>
            <w:r>
              <w:rPr>
                <w:rFonts w:ascii="Arial" w:cs="Arial" w:eastAsia="Arial" w:hAnsi="Arial"/>
                <w:sz w:val="18"/>
                <w:szCs w:val="18"/>
                <w:color w:val="auto"/>
                <w:w w:val="93"/>
              </w:rPr>
              <w:t>The fair value of plan assets at December 31, 2013 and 2012, by asset category, is as follows: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tcPr>
          <w:p>
            <w:pPr>
              <w:jc w:val="right"/>
              <w:ind w:right="737"/>
              <w:spacing w:after="0"/>
              <w:rPr>
                <w:sz w:val="20"/>
                <w:szCs w:val="20"/>
                <w:color w:val="auto"/>
              </w:rPr>
            </w:pPr>
            <w:r>
              <w:rPr>
                <w:rFonts w:ascii="Arial" w:cs="Arial" w:eastAsia="Arial" w:hAnsi="Arial"/>
                <w:sz w:val="18"/>
                <w:szCs w:val="18"/>
                <w:b w:val="1"/>
                <w:bCs w:val="1"/>
                <w:color w:val="auto"/>
              </w:rPr>
              <w:t>December 31, 2013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 (2)</w:t>
            </w:r>
          </w:p>
        </w:tc>
        <w:tc>
          <w:tcPr>
            <w:tcW w:w="180" w:type="dxa"/>
            <w:vAlign w:val="bottom"/>
          </w:tcPr>
          <w:p>
            <w:pPr>
              <w:spacing w:after="0"/>
              <w:rPr>
                <w:sz w:val="20"/>
                <w:szCs w:val="20"/>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b w:val="1"/>
                <w:bCs w:val="1"/>
                <w:color w:val="auto"/>
              </w:rPr>
              <w:t>Level 3 (3)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Investment Name:</w:t>
            </w: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3060" w:type="dxa"/>
            <w:vAlign w:val="bottom"/>
            <w:tcBorders>
              <w:top w:val="single" w:sz="8" w:color="auto"/>
            </w:tcBorders>
            <w:gridSpan w:val="4"/>
            <w:shd w:val="clear" w:color="auto" w:fill="EEEEEE"/>
          </w:tcPr>
          <w:p>
            <w:pPr>
              <w:jc w:val="right"/>
              <w:ind w:right="857"/>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Company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8,319</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177"/>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8,319</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Fundamental Value</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2,384</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2,384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Mid Cap Growth</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709</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Focus Value</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Small Co. Value</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693</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3,237</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3,237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International Growth</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2,855</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2,855</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1,870</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High Yield</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487</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487</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390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8,319</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13,345</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ind w:right="117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EEEEEE"/>
          </w:tcPr>
          <w:p>
            <w:pPr>
              <w:ind w:left="16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21,664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8"/>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4"/>
          </w:tcPr>
          <w:p>
            <w:pPr>
              <w:jc w:val="right"/>
              <w:ind w:right="737"/>
              <w:spacing w:after="0"/>
              <w:rPr>
                <w:sz w:val="20"/>
                <w:szCs w:val="20"/>
                <w:color w:val="auto"/>
              </w:rPr>
            </w:pPr>
            <w:r>
              <w:rPr>
                <w:rFonts w:ascii="Arial" w:cs="Arial" w:eastAsia="Arial" w:hAnsi="Arial"/>
                <w:sz w:val="18"/>
                <w:szCs w:val="18"/>
                <w:b w:val="1"/>
                <w:bCs w:val="1"/>
                <w:color w:val="auto"/>
              </w:rPr>
              <w:t>December 31, 2012</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1 (1)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Level 2 (2)</w:t>
            </w:r>
          </w:p>
        </w:tc>
        <w:tc>
          <w:tcPr>
            <w:tcW w:w="180" w:type="dxa"/>
            <w:vAlign w:val="bottom"/>
          </w:tcPr>
          <w:p>
            <w:pPr>
              <w:spacing w:after="0"/>
              <w:rPr>
                <w:sz w:val="20"/>
                <w:szCs w:val="20"/>
                <w:color w:val="auto"/>
              </w:rPr>
            </w:pPr>
          </w:p>
        </w:tc>
        <w:tc>
          <w:tcPr>
            <w:tcW w:w="1340" w:type="dxa"/>
            <w:vAlign w:val="bottom"/>
          </w:tcPr>
          <w:p>
            <w:pPr>
              <w:jc w:val="right"/>
              <w:ind w:right="57"/>
              <w:spacing w:after="0"/>
              <w:rPr>
                <w:sz w:val="20"/>
                <w:szCs w:val="20"/>
                <w:color w:val="auto"/>
              </w:rPr>
            </w:pPr>
            <w:r>
              <w:rPr>
                <w:rFonts w:ascii="Arial" w:cs="Arial" w:eastAsia="Arial" w:hAnsi="Arial"/>
                <w:sz w:val="18"/>
                <w:szCs w:val="18"/>
                <w:b w:val="1"/>
                <w:bCs w:val="1"/>
                <w:color w:val="auto"/>
              </w:rPr>
              <w:t>Level 3 (3)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Investment Name:</w:t>
            </w:r>
          </w:p>
        </w:tc>
        <w:tc>
          <w:tcPr>
            <w:tcW w:w="24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3060" w:type="dxa"/>
            <w:vAlign w:val="bottom"/>
            <w:tcBorders>
              <w:top w:val="single" w:sz="8" w:color="auto"/>
            </w:tcBorders>
            <w:gridSpan w:val="4"/>
            <w:shd w:val="clear" w:color="auto" w:fill="EEEEEE"/>
          </w:tcPr>
          <w:p>
            <w:pPr>
              <w:jc w:val="right"/>
              <w:ind w:right="857"/>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Company Common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4,791</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177"/>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4,791</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Fundamental Value</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2,049</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2,049</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Mid Cap Growth</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596</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Focus Value</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607</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607</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Small Co. Value</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Growth</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2,681</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2,681</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International Growth</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2,431</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Core Bond</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1,780</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Income</w:t>
            </w: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Inflation Protected Bond</w:t>
            </w: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472</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23"/>
        </w:trPr>
        <w:tc>
          <w:tcPr>
            <w:tcW w:w="3900" w:type="dxa"/>
            <w:vAlign w:val="bottom"/>
            <w:tcBorders>
              <w:top w:val="single" w:sz="8" w:color="EEEEEE"/>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4,791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11,821</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ind w:right="117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EEEEEE"/>
          </w:tcPr>
          <w:p>
            <w:pPr>
              <w:ind w:left="160"/>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16,612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________________________</w:t>
      </w:r>
    </w:p>
    <w:p>
      <w:pPr>
        <w:spacing w:after="0" w:line="9" w:lineRule="exact"/>
        <w:rPr>
          <w:sz w:val="20"/>
          <w:szCs w:val="20"/>
          <w:color w:val="auto"/>
        </w:rPr>
      </w:pPr>
    </w:p>
    <w:p>
      <w:pPr>
        <w:ind w:left="740" w:hanging="327"/>
        <w:spacing w:after="0"/>
        <w:tabs>
          <w:tab w:leader="none" w:pos="740" w:val="left"/>
        </w:tabs>
        <w:numPr>
          <w:ilvl w:val="1"/>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Company common stock is classified as level 1 and valued using quoted prices in active markets for identical assets.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1"/>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All other plan assets in stock, bond and money market funds are classified as level 2 and valued using significant observable inputs.</w:t>
      </w:r>
    </w:p>
    <w:p>
      <w:pPr>
        <w:spacing w:after="0" w:line="9" w:lineRule="exact"/>
        <w:rPr>
          <w:rFonts w:ascii="Arial" w:cs="Arial" w:eastAsia="Arial" w:hAnsi="Arial"/>
          <w:sz w:val="18"/>
          <w:szCs w:val="18"/>
          <w:i w:val="1"/>
          <w:iCs w:val="1"/>
          <w:color w:val="auto"/>
        </w:rPr>
      </w:pPr>
    </w:p>
    <w:p>
      <w:pPr>
        <w:ind w:left="740" w:hanging="327"/>
        <w:spacing w:after="0"/>
        <w:tabs>
          <w:tab w:leader="none" w:pos="740" w:val="left"/>
        </w:tabs>
        <w:numPr>
          <w:ilvl w:val="1"/>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There are no plan assets classified as level 3 in the fair value hierarchy as a result of having significant unobservable inputs.</w:t>
      </w:r>
    </w:p>
    <w:p>
      <w:pPr>
        <w:spacing w:after="0" w:line="210" w:lineRule="exact"/>
        <w:rPr>
          <w:rFonts w:ascii="Arial" w:cs="Arial" w:eastAsia="Arial" w:hAnsi="Arial"/>
          <w:sz w:val="18"/>
          <w:szCs w:val="18"/>
          <w:i w:val="1"/>
          <w:iCs w:val="1"/>
          <w:color w:val="auto"/>
        </w:rPr>
      </w:pPr>
    </w:p>
    <w:p>
      <w:pPr>
        <w:ind w:left="360" w:hanging="352"/>
        <w:spacing w:after="0"/>
        <w:tabs>
          <w:tab w:leader="none" w:pos="3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At the time of issuance, five warrants issued between 2008 and 2010 in conjunction with various debt financing transactions contained features that make them subject to derivative accounting. We valued these warrants using a binomial valuation model using a weighted average volatility assumption of 41%, weighted average term of 8 years and a risk free rate of 3.3%. On March 29, 2012 we agreed with the holders to amend three of the five warrants to remove the “down round,” or price reset, features that resulted in derivative accounting. On the date of the amendment, we valued each of the three warrants using a binomial pricing model as described above. The aggregate value of the three amended warrants of $1.1 million was then reclassified from Accounts Payable to Common Stock. On June 25, 2012 we agreed with the holder to amend one other warrant that contained the “down round” features to remove those specific price reset terms. The $251,000 aggregate value of this amended warrant was reclassified from Accounts Payable to Common Stock on the date of the amendment. The fifth warrant with the “down round” feature was exercised on February 22, 2013. The $583,000 intrinsic value of this warrant was reclassified from Accounts Payable to Common Stock on the date of the exercise. As of December 31, 2013 all five of the warrants issued that previously contained price reset features have either been amended or exercised and are no longer subject to quarterly valuations.</w:t>
      </w:r>
    </w:p>
    <w:p>
      <w:pPr>
        <w:spacing w:after="0" w:line="169"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September 2008 we sold automobile contracts in a securitization that was structured as a sale for financial accounting purposes. In that sale, we retained both securities and a residual interest in the transaction that are measured at fair value. In September 2010 we took advantage of improvement in the market for asset-backed securities by re-securitizing the underlying receivables from our unrated September 2008 securitization. We also sold the securities retained from the September 2008 transaction. No gain or loss was recorded as a result of the re-securitization transaction described above. We describe below the valuation methodologies we use for the securities retained and the residual interest in the cash flows of the transaction, as well as the general classification of such instruments pursuant to the valuation hierarchy. The residual interest in such securitization is $854,000 as of December 31, 2013 and $4.8 million as of December 31, 2012 and is classified as level 3 in the fair value hierarchy. We determine the value of that residual interest using a discounted cash flow model that includes estimates for prepayments and losses. We used a discount rate of 20% per annum and a cumulative net loss rate of 15% at December 31, 2013 and 14% at December 31, 2012. The assumptions we used are based on historical performance of automobile contracts we have originated and serviced in the past, adjusted for current market conditions.</w:t>
      </w:r>
    </w:p>
    <w:p>
      <w:pPr>
        <w:spacing w:after="0" w:line="17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In September 2011, we acquired $217.8 million of finance receivables from Fireside Bank for a purchase price of $199.6 million. The receivables were acquired by our wholly-owned special purpose subsidiary, CPS Fender Receivables, LLC, which issued a note for $197.3 million, with a fair value of $196.5 million. Since the Fireside receivables were originated by another entity with its own underwriting guidelines and procedures, we have elected to account for the Fireside receivables and the related debt secured by those receivables at their estimated fair values so that changes in fair value will be reflected in our results of operations as they occur. Interest income from the receivables and interest expense on the note are included in interest income and interest expense, respectively. Changes to the fair value of the receivables and debt are included in other income. Our level 3, unobservable inputs reflect our own assumptions about the factors that market participants use in pricing similar receivables and debt, and are based on the best information available in the circumstances. They include such inputs as estimated net charge-offs and timing of the amortization of the portfolio of finance receivables. Our estimate of the fair value of the Fireside receivables is performed on a pool basis, rather than separately on each individual receivable. The table below presents a reconciliation of the acquired finance receivables and related debt measured at fair value on a recurring basis using significant unobservable inputs: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20" w:type="dxa"/>
            <w:vAlign w:val="bottom"/>
            <w:gridSpan w:val="4"/>
          </w:tcPr>
          <w:p>
            <w:pPr>
              <w:jc w:val="right"/>
              <w:ind w:right="45"/>
              <w:spacing w:after="0"/>
              <w:rPr>
                <w:sz w:val="20"/>
                <w:szCs w:val="20"/>
                <w:color w:val="auto"/>
              </w:rPr>
            </w:pPr>
            <w:r>
              <w:rPr>
                <w:rFonts w:ascii="Arial" w:cs="Arial" w:eastAsia="Arial" w:hAnsi="Arial"/>
                <w:sz w:val="18"/>
                <w:szCs w:val="18"/>
                <w:b w:val="1"/>
                <w:bCs w:val="1"/>
                <w:color w:val="auto"/>
              </w:rPr>
              <w:t>(in thousands)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Finance Receivables Measured at Fair Value:</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020" w:type="dxa"/>
            <w:vAlign w:val="bottom"/>
          </w:tcPr>
          <w:p>
            <w:pPr>
              <w:jc w:val="right"/>
              <w:ind w:right="862"/>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59,668</w:t>
            </w:r>
          </w:p>
        </w:tc>
        <w:tc>
          <w:tcPr>
            <w:tcW w:w="64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Payments on finance receivables at fair value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w w:val="92"/>
              </w:rPr>
              <w:t>(43,122)</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Charge-offs on finance receivables at fair value</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(2,896)</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Discount accretion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1,421</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 to fair value</w:t>
            </w: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top w:val="single" w:sz="8" w:color="auto"/>
              <w:bottom w:val="single" w:sz="8" w:color="auto"/>
            </w:tcBorders>
            <w:shd w:val="clear" w:color="auto" w:fill="EEEEEE"/>
          </w:tcPr>
          <w:p>
            <w:pPr>
              <w:jc w:val="right"/>
              <w:ind w:right="86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14,476</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59,668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Debt Secured by Finance Receivables Measured at Fair Value:</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020" w:type="dxa"/>
            <w:vAlign w:val="bottom"/>
            <w:shd w:val="clear" w:color="auto" w:fill="EEEEEE"/>
          </w:tcPr>
          <w:p>
            <w:pPr>
              <w:jc w:val="right"/>
              <w:ind w:right="862"/>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57,107</w:t>
            </w:r>
          </w:p>
        </w:tc>
        <w:tc>
          <w:tcPr>
            <w:tcW w:w="640" w:type="dxa"/>
            <w:vAlign w:val="bottom"/>
            <w:gridSpan w:val="2"/>
            <w:shd w:val="clear" w:color="auto" w:fill="EEEEEE"/>
          </w:tcPr>
          <w:p>
            <w:pPr>
              <w:jc w:val="right"/>
              <w:ind w:right="3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Principal payments on debt at fair value</w:t>
            </w:r>
          </w:p>
        </w:tc>
        <w:tc>
          <w:tcPr>
            <w:tcW w:w="10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(45,969)</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Premium accretion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2,726</w:t>
            </w:r>
          </w:p>
        </w:tc>
        <w:tc>
          <w:tcPr>
            <w:tcW w:w="1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Mark to fair value</w:t>
            </w: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(747)</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7,113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13,117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57,107</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Reduction for payments collected and payable</w:t>
            </w:r>
          </w:p>
        </w:tc>
        <w:tc>
          <w:tcPr>
            <w:tcW w:w="10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(1,654)</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Adjusted balance at end of year</w:t>
            </w:r>
          </w:p>
        </w:tc>
        <w:tc>
          <w:tcPr>
            <w:tcW w:w="1020" w:type="dxa"/>
            <w:vAlign w:val="bottom"/>
            <w:tcBorders>
              <w:top w:val="single" w:sz="8" w:color="auto"/>
              <w:bottom w:val="single" w:sz="8" w:color="auto"/>
            </w:tcBorders>
            <w:shd w:val="clear" w:color="auto" w:fill="EEEEEE"/>
          </w:tcPr>
          <w:p>
            <w:pPr>
              <w:jc w:val="right"/>
              <w:ind w:right="862"/>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11,463</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480" w:type="dxa"/>
            <w:vAlign w:val="bottom"/>
            <w:tcBorders>
              <w:top w:val="single" w:sz="8" w:color="auto"/>
              <w:bottom w:val="single" w:sz="8" w:color="auto"/>
            </w:tcBorders>
            <w:shd w:val="clear" w:color="auto" w:fill="EEEEEE"/>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51,559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compares the fair values of the Fireside receivables and the related secured debt to their contractual balances for the periods shown: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December 31, 2013</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2012</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430"/>
              <w:spacing w:after="0" w:line="205" w:lineRule="exact"/>
              <w:rPr>
                <w:sz w:val="20"/>
                <w:szCs w:val="20"/>
                <w:color w:val="auto"/>
              </w:rPr>
            </w:pPr>
            <w:r>
              <w:rPr>
                <w:rFonts w:ascii="Arial" w:cs="Arial" w:eastAsia="Arial" w:hAnsi="Arial"/>
                <w:sz w:val="18"/>
                <w:szCs w:val="18"/>
                <w:b w:val="1"/>
                <w:bCs w:val="1"/>
                <w:color w:val="auto"/>
              </w:rPr>
              <w:t>Contractual</w:t>
            </w:r>
          </w:p>
        </w:tc>
        <w:tc>
          <w:tcPr>
            <w:tcW w:w="1240" w:type="dxa"/>
            <w:vAlign w:val="bottom"/>
          </w:tcPr>
          <w:p>
            <w:pPr>
              <w:jc w:val="center"/>
              <w:ind w:left="630"/>
              <w:spacing w:after="0" w:line="205" w:lineRule="exact"/>
              <w:rPr>
                <w:sz w:val="20"/>
                <w:szCs w:val="20"/>
                <w:color w:val="auto"/>
              </w:rPr>
            </w:pPr>
            <w:r>
              <w:rPr>
                <w:rFonts w:ascii="Arial" w:cs="Arial" w:eastAsia="Arial" w:hAnsi="Arial"/>
                <w:sz w:val="18"/>
                <w:szCs w:val="18"/>
                <w:b w:val="1"/>
                <w:bCs w:val="1"/>
                <w:color w:val="auto"/>
                <w:w w:val="96"/>
              </w:rPr>
              <w:t>Fair</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90"/>
              <w:spacing w:after="0" w:line="205" w:lineRule="exact"/>
              <w:rPr>
                <w:sz w:val="20"/>
                <w:szCs w:val="20"/>
                <w:color w:val="auto"/>
              </w:rPr>
            </w:pPr>
            <w:r>
              <w:rPr>
                <w:rFonts w:ascii="Arial" w:cs="Arial" w:eastAsia="Arial" w:hAnsi="Arial"/>
                <w:sz w:val="18"/>
                <w:szCs w:val="18"/>
                <w:b w:val="1"/>
                <w:bCs w:val="1"/>
                <w:color w:val="auto"/>
              </w:rPr>
              <w:t>Contractual</w:t>
            </w:r>
          </w:p>
        </w:tc>
        <w:tc>
          <w:tcPr>
            <w:tcW w:w="740" w:type="dxa"/>
            <w:vAlign w:val="bottom"/>
          </w:tcPr>
          <w:p>
            <w:pPr>
              <w:spacing w:after="0"/>
              <w:rPr>
                <w:sz w:val="17"/>
                <w:szCs w:val="17"/>
                <w:color w:val="auto"/>
              </w:rPr>
            </w:pPr>
          </w:p>
        </w:tc>
        <w:tc>
          <w:tcPr>
            <w:tcW w:w="1020" w:type="dxa"/>
            <w:vAlign w:val="bottom"/>
          </w:tcPr>
          <w:p>
            <w:pPr>
              <w:jc w:val="center"/>
              <w:ind w:right="4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Balance</w:t>
            </w:r>
          </w:p>
        </w:tc>
        <w:tc>
          <w:tcPr>
            <w:tcW w:w="124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Value</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Balance</w:t>
            </w:r>
          </w:p>
        </w:tc>
        <w:tc>
          <w:tcPr>
            <w:tcW w:w="740" w:type="dxa"/>
            <w:vAlign w:val="bottom"/>
          </w:tcPr>
          <w:p>
            <w:pPr>
              <w:spacing w:after="0"/>
              <w:rPr>
                <w:sz w:val="20"/>
                <w:szCs w:val="20"/>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gridSpan w:val="5"/>
          </w:tcPr>
          <w:p>
            <w:pPr>
              <w:jc w:val="right"/>
              <w:ind w:right="1310"/>
              <w:spacing w:after="0"/>
              <w:rPr>
                <w:sz w:val="20"/>
                <w:szCs w:val="20"/>
                <w:color w:val="auto"/>
              </w:rPr>
            </w:pPr>
            <w:r>
              <w:rPr>
                <w:rFonts w:ascii="Arial" w:cs="Arial" w:eastAsia="Arial" w:hAnsi="Arial"/>
                <w:sz w:val="18"/>
                <w:szCs w:val="18"/>
                <w:b w:val="1"/>
                <w:bCs w:val="1"/>
                <w:color w:val="auto"/>
                <w:w w:val="98"/>
              </w:rPr>
              <w:t>(In thousands)</w:t>
            </w:r>
          </w:p>
        </w:tc>
        <w:tc>
          <w:tcPr>
            <w:tcW w:w="7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Fireside receivables portfolio</w:t>
            </w:r>
          </w:p>
        </w:tc>
        <w:tc>
          <w:tcPr>
            <w:tcW w:w="220" w:type="dxa"/>
            <w:vAlign w:val="bottom"/>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14,786</w:t>
            </w:r>
          </w:p>
        </w:tc>
        <w:tc>
          <w:tcPr>
            <w:tcW w:w="1240" w:type="dxa"/>
            <w:vAlign w:val="bottom"/>
            <w:shd w:val="clear" w:color="auto" w:fill="EEEEEE"/>
          </w:tcPr>
          <w:p>
            <w:pPr>
              <w:jc w:val="right"/>
              <w:ind w:right="8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4"/>
              </w:rPr>
              <w:t>14,476</w:t>
            </w:r>
          </w:p>
        </w:tc>
        <w:tc>
          <w:tcPr>
            <w:tcW w:w="3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60,804</w:t>
            </w:r>
          </w:p>
        </w:tc>
        <w:tc>
          <w:tcPr>
            <w:tcW w:w="740" w:type="dxa"/>
            <w:vAlign w:val="bottom"/>
            <w:shd w:val="clear" w:color="auto" w:fill="EEEEEE"/>
          </w:tcPr>
          <w:p>
            <w:pPr>
              <w:jc w:val="right"/>
              <w:ind w:right="3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Debt secured by Fireside receivables portfolio</w:t>
            </w:r>
          </w:p>
        </w:tc>
        <w:tc>
          <w:tcPr>
            <w:tcW w:w="220" w:type="dxa"/>
            <w:vAlign w:val="bottom"/>
            <w:shd w:val="clear" w:color="auto" w:fill="EEEEEE"/>
          </w:tcPr>
          <w:p>
            <w:pPr>
              <w:spacing w:after="0"/>
              <w:rPr>
                <w:sz w:val="18"/>
                <w:szCs w:val="18"/>
                <w:color w:val="auto"/>
              </w:rPr>
            </w:pPr>
          </w:p>
        </w:tc>
        <w:tc>
          <w:tcPr>
            <w:tcW w:w="156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4"/>
              </w:rPr>
              <w:t>13,117</w:t>
            </w: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41,365</w:t>
            </w:r>
          </w:p>
        </w:tc>
        <w:tc>
          <w:tcPr>
            <w:tcW w:w="74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fair value of the debt secured by the Fireside receivables portfolio represents the discounted value of future cash flows that we estimate will become due to the lender in accordance with the terms of our financing for the Fireside portfolio. The terms of the debt provide for the lenders to receive a share of residual cash flows from the underlying receivables after the contractual balance of the debt is repaid and the Company’s investment in the Fireside portfolio is returned.</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Repossessed vehicle inventory, which is included in Other assets on our balance sheet, is measured at fair value using level 2 assumptions based on our actual loss experience on sale of repossessed vehicles. At December 31, 2013, the finance receivables related to the repossessed vehicles in inventory totaled $24.7 million. We have applied a valuation adjustment, or loss allowance, of $14.8 million, which is based on a recovery rate of approximately 40%, resulting in an estimated fair value and carrying amount of $10.0 million. The fair value and carrying amount of the repossessed inventory at December 31, 2012 was $5.7 million after applying a valuation adjustment of $6.4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There were no transfers in or out of level 1 or level 2 assets and liabilities for 2013 and 2012. We have no level 3 assets that are measured at fair value on a non-recurring basis. The table below presents a reconciliation for level 3 assets measured at fair value on a recurring basis using significant unobservable inputs: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2013</w:t>
            </w:r>
          </w:p>
        </w:tc>
        <w:tc>
          <w:tcPr>
            <w:tcW w:w="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Residual Interest in Securitizations:</w:t>
            </w: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060" w:type="dxa"/>
            <w:vAlign w:val="bottom"/>
          </w:tcPr>
          <w:p>
            <w:pPr>
              <w:jc w:val="right"/>
              <w:ind w:right="90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4,824</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4,414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Cash received during year</w:t>
            </w:r>
          </w:p>
        </w:tc>
        <w:tc>
          <w:tcPr>
            <w:tcW w:w="1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(3,970)</w:t>
            </w: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Included in earnings</w:t>
            </w:r>
          </w:p>
        </w:tc>
        <w:tc>
          <w:tcPr>
            <w:tcW w:w="10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year</w:t>
            </w:r>
          </w:p>
        </w:tc>
        <w:tc>
          <w:tcPr>
            <w:tcW w:w="1060" w:type="dxa"/>
            <w:vAlign w:val="bottom"/>
            <w:tcBorders>
              <w:top w:val="single" w:sz="8" w:color="auto"/>
              <w:bottom w:val="single" w:sz="8" w:color="auto"/>
            </w:tcBorders>
            <w:shd w:val="clear" w:color="auto" w:fill="EEEEEE"/>
          </w:tcPr>
          <w:p>
            <w:pPr>
              <w:jc w:val="right"/>
              <w:ind w:right="9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854</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4,824</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Warrant Derivative Liability:</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year</w:t>
            </w:r>
          </w:p>
        </w:tc>
        <w:tc>
          <w:tcPr>
            <w:tcW w:w="1060" w:type="dxa"/>
            <w:vAlign w:val="bottom"/>
            <w:shd w:val="clear" w:color="auto" w:fill="EEEEEE"/>
          </w:tcPr>
          <w:p>
            <w:pPr>
              <w:jc w:val="right"/>
              <w:ind w:right="902"/>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355</w:t>
            </w:r>
          </w:p>
        </w:tc>
        <w:tc>
          <w:tcPr>
            <w:tcW w:w="480" w:type="dxa"/>
            <w:vAlign w:val="bottom"/>
            <w:gridSpan w:val="2"/>
            <w:shd w:val="clear" w:color="auto" w:fill="EEEEEE"/>
          </w:tcPr>
          <w:p>
            <w:pPr>
              <w:jc w:val="right"/>
              <w:ind w:right="35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967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Included in earnings</w:t>
            </w:r>
          </w:p>
        </w:tc>
        <w:tc>
          <w:tcPr>
            <w:tcW w:w="106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Reclassification to equity</w:t>
            </w:r>
          </w:p>
        </w:tc>
        <w:tc>
          <w:tcPr>
            <w:tcW w:w="106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(583)</w:t>
            </w:r>
          </w:p>
        </w:tc>
        <w:tc>
          <w:tcPr>
            <w:tcW w:w="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120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60" w:type="dxa"/>
            <w:vAlign w:val="bottom"/>
            <w:tcBorders>
              <w:top w:val="single" w:sz="8" w:color="auto"/>
              <w:bottom w:val="single" w:sz="8" w:color="auto"/>
            </w:tcBorders>
          </w:tcPr>
          <w:p>
            <w:pPr>
              <w:jc w:val="right"/>
              <w:ind w:right="902"/>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certain qualitative information about our level 3 fair value measurements for assets and liabilities carried at fair value:</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Fair Values as of</w:t>
            </w: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Inputs as of</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tcPr>
          <w:p>
            <w:pPr>
              <w:jc w:val="center"/>
              <w:ind w:left="430"/>
              <w:spacing w:after="0"/>
              <w:rPr>
                <w:sz w:val="20"/>
                <w:szCs w:val="20"/>
                <w:color w:val="auto"/>
              </w:rPr>
            </w:pPr>
            <w:r>
              <w:rPr>
                <w:rFonts w:ascii="Arial" w:cs="Arial" w:eastAsia="Arial" w:hAnsi="Arial"/>
                <w:sz w:val="18"/>
                <w:szCs w:val="18"/>
                <w:b w:val="1"/>
                <w:bCs w:val="1"/>
                <w:color w:val="auto"/>
                <w:w w:val="90"/>
              </w:rPr>
              <w:t>December 31,</w:t>
            </w: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Valuation</w:t>
            </w:r>
          </w:p>
        </w:tc>
        <w:tc>
          <w:tcPr>
            <w:tcW w:w="17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9"/>
              </w:rPr>
              <w:t>Unobservable</w:t>
            </w:r>
          </w:p>
        </w:tc>
        <w:tc>
          <w:tcPr>
            <w:tcW w:w="22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580" w:type="dxa"/>
            <w:vAlign w:val="bottom"/>
          </w:tcPr>
          <w:p>
            <w:pPr>
              <w:spacing w:after="0"/>
              <w:rPr>
                <w:sz w:val="20"/>
                <w:szCs w:val="20"/>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Techniques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Inputs</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410"/>
              <w:spacing w:after="0"/>
              <w:rPr>
                <w:sz w:val="20"/>
                <w:szCs w:val="20"/>
                <w:color w:val="auto"/>
              </w:rPr>
            </w:pPr>
            <w:r>
              <w:rPr>
                <w:rFonts w:ascii="Arial" w:cs="Arial" w:eastAsia="Arial" w:hAnsi="Arial"/>
                <w:sz w:val="18"/>
                <w:szCs w:val="18"/>
                <w:b w:val="1"/>
                <w:bCs w:val="1"/>
                <w:color w:val="auto"/>
                <w:w w:val="90"/>
              </w:rPr>
              <w:t>(In thousands)</w:t>
            </w: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line="201" w:lineRule="exact"/>
              <w:rPr>
                <w:sz w:val="20"/>
                <w:szCs w:val="20"/>
                <w:color w:val="auto"/>
              </w:rPr>
            </w:pPr>
            <w:r>
              <w:rPr>
                <w:rFonts w:ascii="Arial" w:cs="Arial" w:eastAsia="Arial" w:hAnsi="Arial"/>
                <w:sz w:val="18"/>
                <w:szCs w:val="18"/>
                <w:color w:val="auto"/>
                <w:w w:val="93"/>
              </w:rPr>
              <w:t>Finance receivables measured at</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0"/>
              </w:rPr>
              <w:t>Discounted cash</w:t>
            </w:r>
          </w:p>
        </w:tc>
        <w:tc>
          <w:tcPr>
            <w:tcW w:w="170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Cumulative net</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EEEEEE"/>
          </w:tcPr>
          <w:p>
            <w:pPr>
              <w:spacing w:after="0"/>
              <w:rPr>
                <w:sz w:val="20"/>
                <w:szCs w:val="20"/>
                <w:color w:val="auto"/>
              </w:rPr>
            </w:pP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14,476</w:t>
            </w:r>
          </w:p>
        </w:tc>
        <w:tc>
          <w:tcPr>
            <w:tcW w:w="580" w:type="dxa"/>
            <w:vAlign w:val="bottom"/>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59,668</w:t>
            </w:r>
          </w:p>
        </w:tc>
        <w:tc>
          <w:tcPr>
            <w:tcW w:w="30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7"/>
              </w:rPr>
              <w:t>flows</w:t>
            </w:r>
          </w:p>
        </w:tc>
        <w:tc>
          <w:tcPr>
            <w:tcW w:w="170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2"/>
              </w:rPr>
              <w:t>losses</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5.0%</w:t>
            </w: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Monthly average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prepayments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1"/>
              </w:rPr>
              <w:t>Residual interest in securitizations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Discount rate</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0"/>
              </w:rPr>
              <w:t>Discounted cash</w:t>
            </w:r>
          </w:p>
        </w:tc>
        <w:tc>
          <w:tcPr>
            <w:tcW w:w="170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Cumulative net</w:t>
            </w: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0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854</w:t>
            </w:r>
          </w:p>
        </w:tc>
        <w:tc>
          <w:tcPr>
            <w:tcW w:w="58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4,824</w:t>
            </w:r>
          </w:p>
        </w:tc>
        <w:tc>
          <w:tcPr>
            <w:tcW w:w="30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7"/>
              </w:rPr>
              <w:t>flows</w:t>
            </w:r>
          </w:p>
        </w:tc>
        <w:tc>
          <w:tcPr>
            <w:tcW w:w="170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2"/>
              </w:rPr>
              <w:t>losses</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15.0%</w:t>
            </w: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1"/>
              </w:rPr>
              <w:t>Monthly average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prepayments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2"/>
              </w:rPr>
              <w:t>Stock price</w:t>
            </w:r>
          </w:p>
        </w:tc>
        <w:tc>
          <w:tcPr>
            <w:tcW w:w="12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$5.36/sh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rPr>
              <w:t>Binomial</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Volatility</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1"/>
              </w:rPr>
              <w:t>Risk free rate</w:t>
            </w:r>
          </w:p>
        </w:tc>
        <w:tc>
          <w:tcPr>
            <w:tcW w:w="1240" w:type="dxa"/>
            <w:vAlign w:val="bottom"/>
            <w:gridSpan w:val="2"/>
            <w:shd w:val="clear" w:color="auto" w:fill="EEEEEE"/>
          </w:tcPr>
          <w:p>
            <w:pPr>
              <w:ind w:left="44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Debt secured by receivables</w:t>
            </w:r>
          </w:p>
        </w:tc>
        <w:tc>
          <w:tcPr>
            <w:tcW w:w="2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68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0"/>
              </w:rPr>
              <w:t>Discounted cash</w:t>
            </w: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color w:val="auto"/>
              </w:rPr>
              <w:t>measured at fair value</w:t>
            </w:r>
          </w:p>
        </w:tc>
        <w:tc>
          <w:tcPr>
            <w:tcW w:w="4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13,117</w:t>
            </w:r>
          </w:p>
        </w:tc>
        <w:tc>
          <w:tcPr>
            <w:tcW w:w="580" w:type="dxa"/>
            <w:vAlign w:val="bottom"/>
            <w:shd w:val="clear" w:color="auto" w:fill="EEEEEE"/>
          </w:tcPr>
          <w:p>
            <w:pPr>
              <w:spacing w:after="0"/>
              <w:rPr>
                <w:sz w:val="20"/>
                <w:szCs w:val="20"/>
                <w:color w:val="auto"/>
              </w:rPr>
            </w:pPr>
          </w:p>
        </w:tc>
        <w:tc>
          <w:tcPr>
            <w:tcW w:w="8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57,107</w:t>
            </w:r>
          </w:p>
        </w:tc>
        <w:tc>
          <w:tcPr>
            <w:tcW w:w="30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7"/>
              </w:rPr>
              <w:t>flows</w:t>
            </w:r>
          </w:p>
        </w:tc>
        <w:tc>
          <w:tcPr>
            <w:tcW w:w="170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Discount rate</w:t>
            </w: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12.2%</w:t>
            </w:r>
          </w:p>
        </w:tc>
        <w:tc>
          <w:tcPr>
            <w:tcW w:w="220" w:type="dxa"/>
            <w:vAlign w:val="bottom"/>
            <w:shd w:val="clear" w:color="auto" w:fill="EEEEEE"/>
          </w:tcPr>
          <w:p>
            <w:pPr>
              <w:spacing w:after="0"/>
              <w:rPr>
                <w:sz w:val="20"/>
                <w:szCs w:val="20"/>
                <w:color w:val="auto"/>
              </w:rPr>
            </w:pPr>
          </w:p>
        </w:tc>
        <w:tc>
          <w:tcPr>
            <w:tcW w:w="1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16.2%</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F-33</w:t>
            </w: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gridSpan w:val="13"/>
          </w:tcPr>
          <w:p>
            <w:pPr>
              <w:ind w:left="140"/>
              <w:spacing w:after="0"/>
              <w:rPr>
                <w:sz w:val="20"/>
                <w:szCs w:val="20"/>
                <w:color w:val="auto"/>
              </w:rPr>
            </w:pPr>
            <w:r>
              <w:rPr>
                <w:rFonts w:ascii="Arial" w:cs="Arial" w:eastAsia="Arial" w:hAnsi="Arial"/>
                <w:sz w:val="18"/>
                <w:szCs w:val="18"/>
                <w:color w:val="auto"/>
                <w:w w:val="94"/>
              </w:rPr>
              <w:t>The estimated fair values of financial assets and liabilities at December 31, 2013 and 2012, were as follows: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2013</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22,112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22,112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132,284</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132,284</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132,284</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1,115,437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1,100,153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1,100,153</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14,476</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14,476</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18,670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18,670</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18,670</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9,452</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9,452</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2,908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2,908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19,096</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19,096</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19,096</w:t>
            </w:r>
          </w:p>
        </w:tc>
        <w:tc>
          <w:tcPr>
            <w:tcW w:w="0" w:type="dxa"/>
            <w:vAlign w:val="bottom"/>
          </w:tcPr>
          <w:p>
            <w:pPr>
              <w:spacing w:after="0"/>
              <w:rPr>
                <w:sz w:val="1"/>
                <w:szCs w:val="1"/>
                <w:color w:val="auto"/>
              </w:rPr>
            </w:pPr>
          </w:p>
        </w:tc>
      </w:tr>
      <w:tr>
        <w:trPr>
          <w:trHeight w:val="202"/>
        </w:trPr>
        <w:tc>
          <w:tcPr>
            <w:tcW w:w="3100" w:type="dxa"/>
            <w:vAlign w:val="bottom"/>
            <w:gridSpan w:val="2"/>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13,117</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13,117</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1,177,559</w:t>
            </w: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1,189,086</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1,189,086</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Senior secured debt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38,559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38,559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38,559</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19,142</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19,142</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19,142</w:t>
            </w:r>
          </w:p>
        </w:tc>
        <w:tc>
          <w:tcPr>
            <w:tcW w:w="0" w:type="dxa"/>
            <w:vAlign w:val="bottom"/>
          </w:tcPr>
          <w:p>
            <w:pPr>
              <w:spacing w:after="0"/>
              <w:rPr>
                <w:sz w:val="1"/>
                <w:szCs w:val="1"/>
                <w:color w:val="auto"/>
              </w:rPr>
            </w:pPr>
          </w:p>
        </w:tc>
      </w:tr>
      <w:tr>
        <w:trPr>
          <w:trHeight w:val="446"/>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89"/>
              </w:rPr>
              <w:t>As of December 31, 2012</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2"/>
          </w:tcPr>
          <w:p>
            <w:pPr>
              <w:jc w:val="center"/>
              <w:ind w:right="520"/>
              <w:spacing w:after="0" w:line="170" w:lineRule="exact"/>
              <w:rPr>
                <w:sz w:val="20"/>
                <w:szCs w:val="20"/>
                <w:color w:val="auto"/>
              </w:rPr>
            </w:pPr>
            <w:r>
              <w:rPr>
                <w:rFonts w:ascii="Arial" w:cs="Arial" w:eastAsia="Arial" w:hAnsi="Arial"/>
                <w:sz w:val="18"/>
                <w:szCs w:val="18"/>
                <w:b w:val="1"/>
                <w:bCs w:val="1"/>
                <w:color w:val="auto"/>
                <w:w w:val="90"/>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gridSpan w:val="7"/>
          </w:tcPr>
          <w:p>
            <w:pPr>
              <w:jc w:val="center"/>
              <w:ind w:left="710"/>
              <w:spacing w:after="0"/>
              <w:rPr>
                <w:sz w:val="20"/>
                <w:szCs w:val="20"/>
                <w:color w:val="auto"/>
              </w:rPr>
            </w:pPr>
            <w:r>
              <w:rPr>
                <w:rFonts w:ascii="Arial" w:cs="Arial" w:eastAsia="Arial" w:hAnsi="Arial"/>
                <w:sz w:val="18"/>
                <w:szCs w:val="18"/>
                <w:b w:val="1"/>
                <w:bCs w:val="1"/>
                <w:color w:val="auto"/>
                <w:w w:val="90"/>
              </w:rPr>
              <w:t>Fair Value Measurements Using:</w:t>
            </w:r>
          </w:p>
        </w:tc>
        <w:tc>
          <w:tcPr>
            <w:tcW w:w="10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0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12,966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12,966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104,445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104,445</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104,445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744,749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740,511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740,511</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Finance receivables measured at fair</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59,668</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59,668</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59,668</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in securitizations</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4,824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4,824</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10,411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10,411</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10,411</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Warrant derivative liability</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355</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355</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21,731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21,731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21,731</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2,795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2,795</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13,773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13,773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02"/>
        </w:trPr>
        <w:tc>
          <w:tcPr>
            <w:tcW w:w="310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Debt secured by receivables measured</w:t>
            </w: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EEEEEE"/>
          </w:tcPr>
          <w:p>
            <w:pPr>
              <w:ind w:left="200"/>
              <w:spacing w:after="0"/>
              <w:rPr>
                <w:sz w:val="20"/>
                <w:szCs w:val="20"/>
                <w:color w:val="auto"/>
              </w:rPr>
            </w:pPr>
            <w:r>
              <w:rPr>
                <w:rFonts w:ascii="Arial" w:cs="Arial" w:eastAsia="Arial" w:hAnsi="Arial"/>
                <w:sz w:val="18"/>
                <w:szCs w:val="18"/>
                <w:color w:val="auto"/>
              </w:rPr>
              <w:t>at fair value</w:t>
            </w:r>
          </w:p>
        </w:tc>
        <w:tc>
          <w:tcPr>
            <w:tcW w:w="220" w:type="dxa"/>
            <w:vAlign w:val="bottom"/>
            <w:shd w:val="clear" w:color="auto" w:fill="EEEEEE"/>
          </w:tcPr>
          <w:p>
            <w:pPr>
              <w:spacing w:after="0"/>
              <w:rPr>
                <w:sz w:val="20"/>
                <w:szCs w:val="20"/>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57,107</w:t>
            </w:r>
          </w:p>
        </w:tc>
        <w:tc>
          <w:tcPr>
            <w:tcW w:w="16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0"/>
                <w:szCs w:val="20"/>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57,107</w:t>
            </w:r>
          </w:p>
        </w:tc>
        <w:tc>
          <w:tcPr>
            <w:tcW w:w="28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57,107</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792,497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803,290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803,290</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Senior secured debt</w:t>
            </w:r>
          </w:p>
        </w:tc>
        <w:tc>
          <w:tcPr>
            <w:tcW w:w="2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50,135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ind w:left="1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50,135</w:t>
            </w:r>
          </w:p>
        </w:tc>
        <w:tc>
          <w:tcPr>
            <w:tcW w:w="2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23,281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23,281</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23,281</w:t>
            </w:r>
          </w:p>
        </w:tc>
        <w:tc>
          <w:tcPr>
            <w:tcW w:w="0" w:type="dxa"/>
            <w:vAlign w:val="bottom"/>
          </w:tcPr>
          <w:p>
            <w:pPr>
              <w:spacing w:after="0"/>
              <w:rPr>
                <w:sz w:val="1"/>
                <w:szCs w:val="1"/>
                <w:color w:val="auto"/>
              </w:rPr>
            </w:pPr>
          </w:p>
        </w:tc>
      </w:tr>
      <w:tr>
        <w:trPr>
          <w:trHeight w:val="634"/>
        </w:trPr>
        <w:tc>
          <w:tcPr>
            <w:tcW w:w="1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F-34</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December 31, 2013 and 2012, the amounts that will actually be realized or paid at settlement or maturity of the instruments could be significantly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Measured at Fair Value and Debt Secured by Receivables Measured at Fair Value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 in Securitizations</w:t>
      </w:r>
    </w:p>
    <w:p>
      <w:pPr>
        <w:spacing w:after="0" w:line="22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fair value is estimated by discounting future cash flows using credit and discount rates that we believe reflect the estimated credit, interest rate and prepayment risks associated with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Derivative Liability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method used to estimate fair value is described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Senior Secured Debt and Subordinated Renewable Notes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reflects the current market rates.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 xml:space="preserve">Exhibit 21 - </w:t>
      </w:r>
      <w:r>
        <w:rPr>
          <w:rFonts w:ascii="Arial" w:cs="Arial" w:eastAsia="Arial" w:hAnsi="Arial"/>
          <w:sz w:val="18"/>
          <w:szCs w:val="18"/>
          <w:i w:val="1"/>
          <w:iCs w:val="1"/>
          <w:color w:val="auto"/>
        </w:rPr>
        <w:t>Subsidiaries of the Registrant.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corporations and limited liability companies are direct or indirect subsidiaries of the registrant. None does business other than under its own name. Certain subsidiaries are omitted that would not constitute, if aggregated together, a significant subsidiary of the registrant; however, no implication should be drawn that each subsidiary named below is a significant subsidiary.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jc w:val="center"/>
              <w:ind w:right="150"/>
              <w:spacing w:after="0"/>
              <w:rPr>
                <w:sz w:val="20"/>
                <w:szCs w:val="20"/>
                <w:color w:val="auto"/>
              </w:rPr>
            </w:pPr>
            <w:r>
              <w:rPr>
                <w:rFonts w:ascii="Arial" w:cs="Arial" w:eastAsia="Arial" w:hAnsi="Arial"/>
                <w:sz w:val="18"/>
                <w:szCs w:val="18"/>
                <w:color w:val="auto"/>
                <w:w w:val="92"/>
              </w:rPr>
              <w:t>State or other jurisdiction of</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Name</w:t>
            </w:r>
          </w:p>
        </w:tc>
        <w:tc>
          <w:tcPr>
            <w:tcW w:w="6820" w:type="dxa"/>
            <w:vAlign w:val="bottom"/>
          </w:tcPr>
          <w:p>
            <w:pPr>
              <w:jc w:val="center"/>
              <w:ind w:right="150"/>
              <w:spacing w:after="0"/>
              <w:rPr>
                <w:sz w:val="20"/>
                <w:szCs w:val="20"/>
                <w:color w:val="auto"/>
              </w:rPr>
            </w:pPr>
            <w:r>
              <w:rPr>
                <w:rFonts w:ascii="Arial" w:cs="Arial" w:eastAsia="Arial" w:hAnsi="Arial"/>
                <w:sz w:val="18"/>
                <w:szCs w:val="18"/>
                <w:color w:val="auto"/>
                <w:w w:val="92"/>
              </w:rPr>
              <w:t>incorporation or organization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6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CPS Leasing, Inc.</w:t>
            </w:r>
          </w:p>
        </w:tc>
        <w:tc>
          <w:tcPr>
            <w:tcW w:w="6820" w:type="dxa"/>
            <w:vAlign w:val="bottom"/>
            <w:shd w:val="clear" w:color="auto" w:fill="EEEEEE"/>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CPS Marketing, Inc.</w:t>
            </w:r>
          </w:p>
        </w:tc>
        <w:tc>
          <w:tcPr>
            <w:tcW w:w="6820" w:type="dxa"/>
            <w:vAlign w:val="bottom"/>
          </w:tcPr>
          <w:p>
            <w:pPr>
              <w:jc w:val="center"/>
              <w:ind w:right="150"/>
              <w:spacing w:after="0"/>
              <w:rPr>
                <w:sz w:val="20"/>
                <w:szCs w:val="20"/>
                <w:color w:val="auto"/>
              </w:rPr>
            </w:pPr>
            <w:r>
              <w:rPr>
                <w:rFonts w:ascii="Arial" w:cs="Arial" w:eastAsia="Arial" w:hAnsi="Arial"/>
                <w:sz w:val="18"/>
                <w:szCs w:val="18"/>
                <w:color w:val="auto"/>
              </w:rPr>
              <w:t>CA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CPS Receivables Four LLC</w:t>
            </w:r>
          </w:p>
        </w:tc>
        <w:tc>
          <w:tcPr>
            <w:tcW w:w="6820" w:type="dxa"/>
            <w:vAlign w:val="bottom"/>
            <w:shd w:val="clear" w:color="auto" w:fill="EEEEEE"/>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CPS Receivables Five LLC</w:t>
            </w:r>
          </w:p>
        </w:tc>
        <w:tc>
          <w:tcPr>
            <w:tcW w:w="6820" w:type="dxa"/>
            <w:vAlign w:val="bottom"/>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CPS Fender Receivables LLC</w:t>
            </w:r>
          </w:p>
        </w:tc>
        <w:tc>
          <w:tcPr>
            <w:tcW w:w="6820" w:type="dxa"/>
            <w:vAlign w:val="bottom"/>
            <w:shd w:val="clear" w:color="auto" w:fill="EEEEEE"/>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CPS Residual Corp.</w:t>
            </w:r>
          </w:p>
        </w:tc>
        <w:tc>
          <w:tcPr>
            <w:tcW w:w="6820" w:type="dxa"/>
            <w:vAlign w:val="bottom"/>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Page Five Funding LLC</w:t>
            </w:r>
          </w:p>
        </w:tc>
        <w:tc>
          <w:tcPr>
            <w:tcW w:w="6820" w:type="dxa"/>
            <w:vAlign w:val="bottom"/>
            <w:shd w:val="clear" w:color="auto" w:fill="EEEEEE"/>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Page Six Funding LLC</w:t>
            </w:r>
          </w:p>
        </w:tc>
        <w:tc>
          <w:tcPr>
            <w:tcW w:w="6820" w:type="dxa"/>
            <w:vAlign w:val="bottom"/>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Page Eight Funding LLC</w:t>
            </w:r>
          </w:p>
        </w:tc>
        <w:tc>
          <w:tcPr>
            <w:tcW w:w="6820" w:type="dxa"/>
            <w:vAlign w:val="bottom"/>
            <w:shd w:val="clear" w:color="auto" w:fill="EEEEEE"/>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Page Nine Funding LLC</w:t>
            </w:r>
          </w:p>
        </w:tc>
        <w:tc>
          <w:tcPr>
            <w:tcW w:w="6820" w:type="dxa"/>
            <w:vAlign w:val="bottom"/>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TFC Enterprises LLC</w:t>
            </w:r>
          </w:p>
        </w:tc>
        <w:tc>
          <w:tcPr>
            <w:tcW w:w="6820" w:type="dxa"/>
            <w:vAlign w:val="bottom"/>
            <w:shd w:val="clear" w:color="auto" w:fill="EEEEEE"/>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Mercury Finance Company LLC</w:t>
            </w:r>
          </w:p>
        </w:tc>
        <w:tc>
          <w:tcPr>
            <w:tcW w:w="6820" w:type="dxa"/>
            <w:vAlign w:val="bottom"/>
          </w:tcPr>
          <w:p>
            <w:pPr>
              <w:jc w:val="center"/>
              <w:ind w:right="170"/>
              <w:spacing w:after="0"/>
              <w:rPr>
                <w:sz w:val="20"/>
                <w:szCs w:val="20"/>
                <w:color w:val="auto"/>
              </w:rPr>
            </w:pPr>
            <w:r>
              <w:rPr>
                <w:rFonts w:ascii="Arial" w:cs="Arial" w:eastAsia="Arial" w:hAnsi="Arial"/>
                <w:sz w:val="18"/>
                <w:szCs w:val="18"/>
                <w:color w:val="auto"/>
                <w:w w:val="95"/>
              </w:rPr>
              <w:t>DE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sz w:val="20"/>
          <w:szCs w:val="20"/>
          <w:color w:val="auto"/>
        </w:rPr>
      </w:pPr>
      <w:r>
        <w:rPr>
          <w:rFonts w:ascii="Arial" w:cs="Arial" w:eastAsia="Arial" w:hAnsi="Arial"/>
          <w:sz w:val="22"/>
          <w:szCs w:val="22"/>
          <w:color w:val="auto"/>
        </w:rPr>
        <w:t>EXHIBIT 23.1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Statements No. 333-190766 and 333-168976 on Form S-1, No. 333-152969 on Form S-3 and Nos. 333-58199, 333-35758, 333-75594, 333-115622, 333-135907, 333-161448, 333-166892, and 333-193926 on Form S-8 of Consumer Portfolio Services, Inc. of our report dated March 10, 2014, relating to the consolidated financial statements and effectiveness of internal control over financial reporting of Consumer Portfolio Services, Inc.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Crowe Horwath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ectPr>
          <w:pgSz w:w="11900" w:h="16838" w:orient="portrait"/>
          <w:cols w:equalWidth="0" w:num="1">
            <w:col w:w="11420"/>
          </w:cols>
          <w:pgMar w:left="240" w:top="118"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387" w:lineRule="exact"/>
        <w:rPr>
          <w:sz w:val="20"/>
          <w:szCs w:val="20"/>
          <w:color w:val="auto"/>
        </w:rPr>
      </w:pPr>
    </w:p>
    <w:p>
      <w:pPr>
        <w:ind w:left="820" w:hanging="812"/>
        <w:spacing w:after="0"/>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2013 of Consumer Portfolio Services, Inc.;</w:t>
      </w:r>
    </w:p>
    <w:p>
      <w:pPr>
        <w:spacing w:after="0" w:line="398"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8"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ind w:left="820" w:right="40" w:hanging="812"/>
        <w:spacing w:after="0" w:line="342"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rPr>
          <w:sz w:val="20"/>
          <w:szCs w:val="20"/>
          <w:color w:val="auto"/>
        </w:rPr>
      </w:pPr>
      <w:r>
        <w:rPr>
          <w:rFonts w:ascii="Arial" w:cs="Arial" w:eastAsia="Arial" w:hAnsi="Arial"/>
          <w:sz w:val="18"/>
          <w:szCs w:val="18"/>
          <w:color w:val="auto"/>
        </w:rPr>
        <w:t>Date: March 10, 2014</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E. Bradley, Jr.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360"/>
          </w:cols>
          <w:pgMar w:left="240" w:top="125" w:right="29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CERTIFICATION PURSUANT TO RULE 13a-14(a) OF THE SECURITIES EXCHANGE ACT OF 1934</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Jr., certify that:</w:t>
      </w:r>
    </w:p>
    <w:p>
      <w:pPr>
        <w:spacing w:after="0" w:line="387" w:lineRule="exact"/>
        <w:rPr>
          <w:sz w:val="20"/>
          <w:szCs w:val="20"/>
          <w:color w:val="auto"/>
        </w:rPr>
      </w:pPr>
    </w:p>
    <w:p>
      <w:pPr>
        <w:ind w:left="820" w:hanging="812"/>
        <w:spacing w:after="0"/>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2013 of Consumer Portfolio Services, Inc.;</w:t>
      </w:r>
    </w:p>
    <w:p>
      <w:pPr>
        <w:spacing w:after="0" w:line="398" w:lineRule="exact"/>
        <w:rPr>
          <w:rFonts w:ascii="Arial" w:cs="Arial" w:eastAsia="Arial" w:hAnsi="Arial"/>
          <w:sz w:val="17"/>
          <w:szCs w:val="17"/>
          <w:color w:val="auto"/>
        </w:rPr>
      </w:pPr>
    </w:p>
    <w:p>
      <w:pPr>
        <w:jc w:val="both"/>
        <w:ind w:left="820" w:right="80" w:hanging="812"/>
        <w:spacing w:after="0" w:line="264"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rFonts w:ascii="Arial" w:cs="Arial" w:eastAsia="Arial" w:hAnsi="Arial"/>
          <w:sz w:val="18"/>
          <w:szCs w:val="18"/>
          <w:color w:val="auto"/>
        </w:rPr>
      </w:pPr>
    </w:p>
    <w:p>
      <w:pPr>
        <w:ind w:left="820" w:right="40" w:hanging="812"/>
        <w:spacing w:after="0" w:line="308" w:lineRule="auto"/>
        <w:tabs>
          <w:tab w:leader="none" w:pos="8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8" w:lineRule="exact"/>
        <w:rPr>
          <w:rFonts w:ascii="Arial" w:cs="Arial" w:eastAsia="Arial" w:hAnsi="Arial"/>
          <w:sz w:val="17"/>
          <w:szCs w:val="17"/>
          <w:color w:val="auto"/>
        </w:rPr>
      </w:pPr>
    </w:p>
    <w:p>
      <w:pPr>
        <w:jc w:val="both"/>
        <w:ind w:left="820" w:right="60" w:hanging="812"/>
        <w:spacing w:after="0" w:line="264"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ectPr>
          <w:pgSz w:w="11900" w:h="16838" w:orient="portrait"/>
          <w:cols w:equalWidth="0" w:num="1">
            <w:col w:w="11360"/>
          </w:cols>
          <w:pgMar w:left="240" w:top="125" w:right="29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(c)</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143" w:lineRule="exact"/>
        <w:rPr>
          <w:sz w:val="20"/>
          <w:szCs w:val="20"/>
          <w:color w:val="auto"/>
        </w:rPr>
      </w:pPr>
    </w:p>
    <w:p>
      <w:pPr>
        <w:ind w:left="820" w:right="40" w:hanging="812"/>
        <w:spacing w:after="0" w:line="342"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360"/>
          </w:cols>
          <w:pgMar w:left="240" w:top="125" w:right="29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ectPr>
          <w:pgSz w:w="11900" w:h="16838" w:orient="portrait"/>
          <w:cols w:equalWidth="0" w:num="2">
            <w:col w:w="900" w:space="720"/>
            <w:col w:w="9740"/>
          </w:cols>
          <w:pgMar w:left="240" w:top="125" w:right="299" w:bottom="1440" w:gutter="0" w:footer="0" w:header="0"/>
          <w:type w:val="continuous"/>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2014</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P. Fritz</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Senior Vice President and Chief Financial Officer</w:t>
      </w:r>
    </w:p>
    <w:p>
      <w:pPr>
        <w:sectPr>
          <w:pgSz w:w="11900" w:h="16838" w:orient="portrait"/>
          <w:cols w:equalWidth="0" w:num="1">
            <w:col w:w="11360"/>
          </w:cols>
          <w:pgMar w:left="240" w:top="125" w:right="2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 PURSUANT TO 18 U.S.C. SECTION 1350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Consumer Portfolio Services, Inc. (“Registrant”) on Form 10-K for the fiscal year ended December 31, 2013, as filed with the Securities and Exchange Commission on March 10, 2014 (the “Report”), Charles E. Bradley, Jr., chairman, president and chief executive officer, and Jeffrey P. Fritz , chief financial officer and senior vice president, each hereby certifies, pursuant to 18 U.S.C. Section 1350, as adopted pursuant to Section 906 of the Sarbanes-Oxley Act of 2002, that, to his knowledge:</w:t>
      </w:r>
    </w:p>
    <w:p>
      <w:pPr>
        <w:spacing w:after="0" w:line="200" w:lineRule="exact"/>
        <w:rPr>
          <w:sz w:val="20"/>
          <w:szCs w:val="20"/>
          <w:color w:val="auto"/>
        </w:rPr>
      </w:pPr>
    </w:p>
    <w:p>
      <w:pPr>
        <w:spacing w:after="0" w:line="203" w:lineRule="exact"/>
        <w:rPr>
          <w:sz w:val="20"/>
          <w:szCs w:val="20"/>
          <w:color w:val="auto"/>
        </w:rPr>
      </w:pPr>
    </w:p>
    <w:p>
      <w:pPr>
        <w:ind w:left="820" w:hanging="812"/>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87" w:lineRule="exact"/>
        <w:rPr>
          <w:rFonts w:ascii="Arial" w:cs="Arial" w:eastAsia="Arial" w:hAnsi="Arial"/>
          <w:sz w:val="18"/>
          <w:szCs w:val="18"/>
          <w:color w:val="auto"/>
        </w:rPr>
      </w:pPr>
    </w:p>
    <w:p>
      <w:pPr>
        <w:ind w:left="820" w:hanging="812"/>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as of December 31, 2013.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200" w:lineRule="exact"/>
        <w:rPr>
          <w:sz w:val="20"/>
          <w:szCs w:val="20"/>
          <w:color w:val="auto"/>
        </w:rPr>
      </w:pPr>
    </w:p>
    <w:p>
      <w:pPr>
        <w:spacing w:after="0" w:line="2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E. Bradley, Jr.</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10, 2014</w:t>
      </w:r>
    </w:p>
    <w:p>
      <w:pPr>
        <w:spacing w:after="0" w:line="200" w:lineRule="exact"/>
        <w:rPr>
          <w:sz w:val="20"/>
          <w:szCs w:val="20"/>
          <w:color w:val="auto"/>
        </w:rPr>
      </w:pPr>
    </w:p>
    <w:p>
      <w:pPr>
        <w:spacing w:after="0" w:line="25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Jeffrey P. Fritz</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and Senior Vice President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lowerRoman"/>
      <w:start w:val="2"/>
    </w:lvl>
  </w:abstractNum>
  <w:abstractNum w:abstractNumId="25">
    <w:nsid w:val="7C3DBD3D"/>
    <w:multiLevelType w:val="hybridMultilevel"/>
    <w:lvl w:ilvl="0">
      <w:lvlJc w:val="left"/>
      <w:lvlText w:val="%1."/>
      <w:numFmt w:val="decimal"/>
      <w:start w:val="4"/>
    </w:lvl>
  </w:abstractNum>
  <w:abstractNum w:abstractNumId="26">
    <w:nsid w:val="737B8DDC"/>
    <w:multiLevelType w:val="hybridMultilevel"/>
    <w:lvl w:ilvl="0">
      <w:lvlJc w:val="left"/>
      <w:lvlText w:val="(%1)"/>
      <w:numFmt w:val="decimal"/>
      <w:start w:val="4"/>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lvl w:ilvl="1">
      <w:lvlJc w:val="left"/>
      <w:lvlText w:val="(%2)"/>
      <w:numFmt w:val="decimal"/>
      <w:start w:val="1"/>
    </w:lvl>
  </w:abstractNum>
  <w:abstractNum w:abstractNumId="30">
    <w:nsid w:val="3006C83E"/>
    <w:multiLevelType w:val="hybridMultilevel"/>
    <w:lvl w:ilvl="0">
      <w:lvlJc w:val="left"/>
      <w:lvlText w:val="(%1)"/>
      <w:numFmt w:val="decimal"/>
      <w:start w:val="15"/>
    </w:lvl>
    <w:lvl w:ilvl="1">
      <w:lvlJc w:val="left"/>
      <w:lvlText w:val="%2"/>
      <w:numFmt w:val="decimal"/>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5"/>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2019-12-06T06:24:43Z</dcterms:created>
  <dcterms:modified xsi:type="dcterms:W3CDTF">2019-12-06T06:24:43Z</dcterms:modified>
</cp:coreProperties>
</file>