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Gonel Charles 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3800 HOWARD HUGHES PRKWY</w:t>
            </w:r>
          </w:p>
        </w:tc>
      </w:tr>
      <w:tr>
        <w:trPr>
          <w:trHeight w:val="258"/>
        </w:trPr>
        <w:tc>
          <w:tcPr>
            <w:tcW w:w="20" w:type="dxa"/>
            <w:vAlign w:val="bottom"/>
          </w:tcPr>
          <w:p>
            <w:pPr>
              <w:spacing w:after="0"/>
              <w:rPr>
                <w:sz w:val="22"/>
                <w:szCs w:val="22"/>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1400</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89169</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CONSUMER PORTFOLIO SERVICES,</w:t>
              </w:r>
            </w:hyperlink>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400" w:type="dxa"/>
            <w:vAlign w:val="bottom"/>
            <w:tcBorders>
              <w:bottom w:val="single" w:sz="8" w:color="0000EE"/>
            </w:tcBorders>
          </w:tcPr>
          <w:p>
            <w:pPr>
              <w:spacing w:after="0"/>
              <w:rPr>
                <w:sz w:val="3"/>
                <w:szCs w:val="3"/>
                <w:color w:val="auto"/>
              </w:rPr>
            </w:pPr>
          </w:p>
        </w:tc>
        <w:tc>
          <w:tcPr>
            <w:tcW w:w="2980" w:type="dxa"/>
            <w:vAlign w:val="bottom"/>
            <w:tcBorders>
              <w:bottom w:val="single" w:sz="8" w:color="0000EE"/>
            </w:tcBorders>
          </w:tcPr>
          <w:p>
            <w:pPr>
              <w:spacing w:after="0"/>
              <w:rPr>
                <w:sz w:val="3"/>
                <w:szCs w:val="3"/>
                <w:color w:val="auto"/>
              </w:rPr>
            </w:pPr>
          </w:p>
        </w:tc>
        <w:tc>
          <w:tcPr>
            <w:tcW w:w="3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3760" w:type="dxa"/>
            <w:vAlign w:val="bottom"/>
            <w:gridSpan w:val="3"/>
            <w:vMerge w:val="restart"/>
          </w:tcPr>
          <w:p>
            <w:pPr>
              <w:spacing w:after="0" w:line="21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CPSS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3760" w:type="dxa"/>
            <w:vAlign w:val="bottom"/>
            <w:gridSpan w:val="3"/>
            <w:vMerge w:val="continue"/>
          </w:tcPr>
          <w:p>
            <w:pPr>
              <w:spacing w:after="0"/>
              <w:rPr>
                <w:sz w:val="7"/>
                <w:szCs w:val="7"/>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29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1040"/>
              <w:spacing w:after="0" w:line="181" w:lineRule="exact"/>
              <w:rPr>
                <w:sz w:val="20"/>
                <w:szCs w:val="20"/>
                <w:color w:val="auto"/>
              </w:rPr>
            </w:pPr>
            <w:r>
              <w:rPr>
                <w:rFonts w:ascii="Times New Roman" w:cs="Times New Roman" w:eastAsia="Times New Roman" w:hAnsi="Times New Roman"/>
                <w:sz w:val="17"/>
                <w:szCs w:val="17"/>
                <w:color w:val="0000FF"/>
              </w:rPr>
              <w:t>Sr. Vice President</w:t>
            </w:r>
          </w:p>
        </w:tc>
        <w:tc>
          <w:tcPr>
            <w:tcW w:w="0" w:type="dxa"/>
            <w:vAlign w:val="bottom"/>
          </w:tcPr>
          <w:p>
            <w:pPr>
              <w:spacing w:after="0"/>
              <w:rPr>
                <w:sz w:val="1"/>
                <w:szCs w:val="1"/>
                <w:color w:val="auto"/>
              </w:rPr>
            </w:pPr>
          </w:p>
        </w:tc>
      </w:tr>
      <w:tr>
        <w:trPr>
          <w:trHeight w:val="217"/>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29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06/26/2026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30,000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54,847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06/26/2026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11,095</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43,752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30,000</w:t>
            </w:r>
          </w:p>
        </w:tc>
        <w:tc>
          <w:tcPr>
            <w:tcW w:w="760" w:type="dxa"/>
            <w:vAlign w:val="bottom"/>
            <w:gridSpan w:val="2"/>
          </w:tcPr>
          <w:p>
            <w:pPr>
              <w:jc w:val="center"/>
              <w:ind w:right="22"/>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08/08/2026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"net exercise" of outstanding stock options. The reporting person received 18,905 shares of common stock on net exercise of option to purchase 30,000 shares of common stock. The reporting person forfeited 11,095 shares of common stock underlying the option in payment of the exercise price and tax liability, using the closing stock price on June 26, 2026 of $10.00 per share.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Became exercisable in 4 equal installments of 7,500 shares on 8/8/2020, 8/8/2021, 8/8/2022, and 8/8/2023.</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Issued in consideration of the named person's services to the issuer.</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Charles Gonel</w:t>
            </w:r>
          </w:p>
        </w:tc>
        <w:tc>
          <w:tcPr>
            <w:tcW w:w="10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06/30/2026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83475" TargetMode="External"/><Relationship Id="rId14" Type="http://schemas.openxmlformats.org/officeDocument/2006/relationships/hyperlink" Target="http://www.sec.gov/cgi-bin/browse-edgar?action=getcompany&amp;CIK=00008896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2026-06-30T17:49:39Z</dcterms:created>
  <dcterms:modified xsi:type="dcterms:W3CDTF">2026-06-30T17:49:39Z</dcterms:modified>
</cp:coreProperties>
</file>