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25" w:lineRule="exact"/>
        <w:rPr>
          <w:sz w:val="24"/>
          <w:szCs w:val="24"/>
          <w:color w:val="auto"/>
        </w:rPr>
      </w:pPr>
    </w:p>
    <w:p>
      <w:pPr>
        <w:ind w:left="4020" w:right="1500" w:hanging="4012"/>
        <w:spacing w:after="0" w:line="500" w:lineRule="auto"/>
        <w:tabs>
          <w:tab w:leader="none" w:pos="5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_____to_____</w:t>
      </w:r>
    </w:p>
    <w:p>
      <w:pPr>
        <w:spacing w:after="0" w:line="1"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1-11416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400" w:space="720"/>
            <w:col w:w="6120"/>
          </w:cols>
          <w:pgMar w:left="320" w:top="229" w:right="339" w:bottom="144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16, 2026, the registrant had 21,850,564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180" w:type="dxa"/>
            <w:vAlign w:val="bottom"/>
            <w:gridSpan w:val="7"/>
            <w:vMerge w:val="restart"/>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60" w:type="dxa"/>
            <w:vAlign w:val="bottom"/>
            <w:tcBorders>
              <w:bottom w:val="single" w:sz="8" w:color="0000EE"/>
            </w:tcBorders>
            <w:gridSpan w:val="5"/>
            <w:vMerge w:val="continue"/>
          </w:tcPr>
          <w:p>
            <w:pPr>
              <w:spacing w:after="0"/>
              <w:rPr>
                <w:sz w:val="13"/>
                <w:szCs w:val="13"/>
                <w:color w:val="auto"/>
              </w:rPr>
            </w:pPr>
          </w:p>
        </w:tc>
        <w:tc>
          <w:tcPr>
            <w:tcW w:w="3180" w:type="dxa"/>
            <w:vAlign w:val="bottom"/>
            <w:gridSpan w:val="7"/>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0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2026, and December 31, 2025</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9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three-month and nine-month periods ended September</w:t>
            </w:r>
          </w:p>
        </w:tc>
        <w:tc>
          <w:tcPr>
            <w:tcW w:w="3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30, 2026, and 2025</w:t>
            </w:r>
          </w:p>
        </w:tc>
        <w:tc>
          <w:tcPr>
            <w:tcW w:w="7920" w:type="dxa"/>
            <w:vAlign w:val="bottom"/>
            <w:gridSpan w:val="1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three-month and nine-month periods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2026, and 2025</w:t>
            </w:r>
          </w:p>
        </w:tc>
        <w:tc>
          <w:tcPr>
            <w:tcW w:w="6840" w:type="dxa"/>
            <w:vAlign w:val="bottom"/>
            <w:tcBorders>
              <w:top w:val="single" w:sz="8" w:color="0000EE"/>
            </w:tcBorders>
            <w:gridSpan w:val="11"/>
          </w:tcPr>
          <w:p>
            <w:pPr>
              <w:spacing w:after="0"/>
              <w:rPr>
                <w:sz w:val="17"/>
                <w:szCs w:val="17"/>
                <w:color w:val="auto"/>
              </w:rPr>
            </w:pPr>
          </w:p>
        </w:tc>
        <w:tc>
          <w:tcPr>
            <w:tcW w:w="26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nine-month periods ended September 30, 2026, and 2025</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three-month and nine-month periods ended</w:t>
            </w:r>
          </w:p>
        </w:tc>
        <w:tc>
          <w:tcPr>
            <w:tcW w:w="32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2026, and 2025</w:t>
            </w:r>
          </w:p>
        </w:tc>
        <w:tc>
          <w:tcPr>
            <w:tcW w:w="7100" w:type="dxa"/>
            <w:vAlign w:val="bottom"/>
            <w:gridSpan w:val="1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11"/>
          </w:tcPr>
          <w:p>
            <w:pPr>
              <w:jc w:val="center"/>
              <w:ind w:right="334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2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34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7980" w:type="dxa"/>
            <w:vAlign w:val="bottom"/>
            <w:gridSpan w:val="1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960" w:type="dxa"/>
            <w:vAlign w:val="bottom"/>
            <w:gridSpan w:val="1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3"/>
          </w:tcPr>
          <w:p>
            <w:pPr>
              <w:spacing w:after="0"/>
              <w:rPr>
                <w:sz w:val="17"/>
                <w:szCs w:val="17"/>
                <w:color w:val="auto"/>
              </w:rPr>
            </w:pPr>
          </w:p>
        </w:tc>
        <w:tc>
          <w:tcPr>
            <w:tcW w:w="8000" w:type="dxa"/>
            <w:vAlign w:val="bottom"/>
            <w:gridSpan w:val="1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8540" w:type="dxa"/>
            <w:vAlign w:val="bottom"/>
            <w:gridSpan w:val="2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80" w:type="dxa"/>
            <w:vAlign w:val="bottom"/>
            <w:vMerge w:val="continue"/>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5,147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174,964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165,885</w:t>
            </w:r>
          </w:p>
        </w:tc>
        <w:tc>
          <w:tcPr>
            <w:tcW w:w="0" w:type="dxa"/>
            <w:vAlign w:val="bottom"/>
          </w:tcPr>
          <w:p>
            <w:pPr>
              <w:spacing w:after="0"/>
              <w:rPr>
                <w:sz w:val="1"/>
                <w:szCs w:val="1"/>
                <w:color w:val="auto"/>
              </w:rPr>
            </w:pPr>
          </w:p>
        </w:tc>
      </w:tr>
      <w:tr>
        <w:trPr>
          <w:trHeight w:val="216"/>
        </w:trPr>
        <w:tc>
          <w:tcPr>
            <w:tcW w:w="7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4,624,585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3,655,855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25,875</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29,360</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EEEEEE"/>
            </w:tcBorders>
          </w:tcPr>
          <w:p>
            <w:pPr>
              <w:spacing w:after="0"/>
              <w:rPr>
                <w:sz w:val="22"/>
                <w:szCs w:val="22"/>
                <w:color w:val="auto"/>
              </w:rPr>
            </w:pPr>
          </w:p>
        </w:tc>
        <w:tc>
          <w:tcPr>
            <w:tcW w:w="468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4,831,971</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EEEEEE"/>
          </w:tcPr>
          <w:p>
            <w:pPr>
              <w:spacing w:after="0"/>
              <w:rPr>
                <w:sz w:val="17"/>
                <w:szCs w:val="17"/>
                <w:color w:val="auto"/>
              </w:rPr>
            </w:pPr>
          </w:p>
        </w:tc>
        <w:tc>
          <w:tcPr>
            <w:tcW w:w="4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93,591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65,244</w:t>
            </w: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4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735,840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190,665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142,982</w:t>
            </w: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4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3,458,537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2,986,574</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28,850</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0" w:type="dxa"/>
            <w:vAlign w:val="bottom"/>
          </w:tcPr>
          <w:p>
            <w:pPr>
              <w:spacing w:after="0"/>
              <w:rPr>
                <w:sz w:val="1"/>
                <w:szCs w:val="1"/>
                <w:color w:val="auto"/>
              </w:rPr>
            </w:pPr>
          </w:p>
        </w:tc>
      </w:tr>
      <w:tr>
        <w:trPr>
          <w:trHeight w:val="209"/>
        </w:trPr>
        <w:tc>
          <w:tcPr>
            <w:tcW w:w="2980" w:type="dxa"/>
            <w:vAlign w:val="bottom"/>
            <w:tcBorders>
              <w:top w:val="single" w:sz="8" w:color="EEEEEE"/>
            </w:tcBorders>
            <w:shd w:val="clear" w:color="auto" w:fill="EEEEEE"/>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4,507,483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3,548,657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w:t>
            </w:r>
          </w:p>
        </w:tc>
        <w:tc>
          <w:tcPr>
            <w:tcW w:w="4840" w:type="dxa"/>
            <w:vAlign w:val="bottom"/>
            <w:gridSpan w:val="2"/>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75,000,000 shares; 21,889,129 and 21,842,457 shares issued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outstanding at September 30, 2026 and December 31, 2025, respectively</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20,652</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24,426</w:t>
            </w: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305,111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286,385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0"/>
        </w:trPr>
        <w:tc>
          <w:tcPr>
            <w:tcW w:w="2980" w:type="dxa"/>
            <w:vAlign w:val="bottom"/>
            <w:tcBorders>
              <w:top w:val="single" w:sz="8" w:color="EEEEEE"/>
            </w:tcBorders>
            <w:shd w:val="clear" w:color="auto" w:fill="EEEEEE"/>
          </w:tcPr>
          <w:p>
            <w:pPr>
              <w:spacing w:after="0"/>
              <w:rPr>
                <w:sz w:val="18"/>
                <w:szCs w:val="18"/>
                <w:color w:val="auto"/>
              </w:rPr>
            </w:pPr>
          </w:p>
        </w:tc>
        <w:tc>
          <w:tcPr>
            <w:tcW w:w="46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324,488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309,536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EEEEEE"/>
          </w:tcPr>
          <w:p>
            <w:pPr>
              <w:spacing w:after="0"/>
              <w:rPr>
                <w:sz w:val="21"/>
                <w:szCs w:val="21"/>
                <w:color w:val="auto"/>
              </w:rPr>
            </w:pPr>
          </w:p>
        </w:tc>
        <w:tc>
          <w:tcPr>
            <w:tcW w:w="4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4,831,971</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3,858,193</w:t>
            </w:r>
          </w:p>
        </w:tc>
        <w:tc>
          <w:tcPr>
            <w:tcW w:w="0" w:type="dxa"/>
            <w:vAlign w:val="bottom"/>
          </w:tcPr>
          <w:p>
            <w:pPr>
              <w:spacing w:after="0"/>
              <w:rPr>
                <w:sz w:val="1"/>
                <w:szCs w:val="1"/>
                <w:color w:val="auto"/>
              </w:rPr>
            </w:pPr>
          </w:p>
        </w:tc>
      </w:tr>
      <w:tr>
        <w:trPr>
          <w:trHeight w:val="20"/>
        </w:trPr>
        <w:tc>
          <w:tcPr>
            <w:tcW w:w="2980" w:type="dxa"/>
            <w:vAlign w:val="bottom"/>
            <w:tcBorders>
              <w:top w:val="single" w:sz="8" w:color="EEEEEE"/>
            </w:tcBorders>
          </w:tcPr>
          <w:p>
            <w:pPr>
              <w:spacing w:after="0" w:line="20" w:lineRule="exact"/>
              <w:rPr>
                <w:sz w:val="1"/>
                <w:szCs w:val="1"/>
                <w:color w:val="auto"/>
              </w:rPr>
            </w:pPr>
          </w:p>
        </w:tc>
        <w:tc>
          <w:tcPr>
            <w:tcW w:w="46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EEEEEE"/>
            </w:tcBorders>
          </w:tcPr>
          <w:p>
            <w:pPr>
              <w:spacing w:after="0"/>
              <w:rPr>
                <w:sz w:val="19"/>
                <w:szCs w:val="19"/>
                <w:color w:val="auto"/>
              </w:rPr>
            </w:pPr>
          </w:p>
        </w:tc>
      </w:tr>
      <w:tr>
        <w:trPr>
          <w:trHeight w:val="21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129,082</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107,166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355,915</w:t>
            </w: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314,462</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4,098</w:t>
            </w:r>
          </w:p>
        </w:tc>
      </w:tr>
      <w:tr>
        <w:trPr>
          <w:trHeight w:val="210"/>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365,633</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325,060</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22,465</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71,860</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15,567</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12,709</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43,148</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37,675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70,519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59,098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172,720</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9,149</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5,682</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24,004</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17,314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09"/>
        </w:trPr>
        <w:tc>
          <w:tcPr>
            <w:tcW w:w="508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121,832</w:t>
            </w: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101,389</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338,492</w:t>
            </w: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304,274</w:t>
            </w:r>
          </w:p>
        </w:tc>
        <w:tc>
          <w:tcPr>
            <w:tcW w:w="100" w:type="dxa"/>
            <w:vAlign w:val="bottom"/>
            <w:tcBorders>
              <w:bottom w:val="single" w:sz="8" w:color="EEEEEE"/>
            </w:tcBorders>
          </w:tcPr>
          <w:p>
            <w:pPr>
              <w:spacing w:after="0"/>
              <w:rPr>
                <w:sz w:val="18"/>
                <w:szCs w:val="18"/>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100" w:type="dxa"/>
            <w:vAlign w:val="bottom"/>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w:t>
            </w: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6,442</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22,209</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21,852</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23,320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24,046</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24,187</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500" w:type="dxa"/>
            <w:vAlign w:val="bottom"/>
            <w:gridSpan w:val="5"/>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6,953</w:t>
            </w:r>
          </w:p>
        </w:tc>
        <w:tc>
          <w:tcPr>
            <w:tcW w:w="102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4,853</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18,726</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0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change in funded status of</w:t>
            </w:r>
          </w:p>
        </w:tc>
        <w:tc>
          <w:tcPr>
            <w:tcW w:w="9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pension plan</w:t>
            </w:r>
          </w:p>
        </w:tc>
        <w:tc>
          <w:tcPr>
            <w:tcW w:w="900" w:type="dxa"/>
            <w:vAlign w:val="bottom"/>
            <w:shd w:val="clear" w:color="auto" w:fill="EEEEEE"/>
          </w:tcPr>
          <w:p>
            <w:pPr>
              <w:spacing w:after="0"/>
              <w:rPr>
                <w:sz w:val="21"/>
                <w:szCs w:val="21"/>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UNAUDITED CONDENSED CONSOLIDATED STATEMENTS OF CASH FLOWS (In thousands)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bottom w:val="single" w:sz="8" w:color="EEEEEE"/>
            </w:tcBorders>
          </w:tcPr>
          <w:p>
            <w:pPr>
              <w:spacing w:after="0"/>
              <w:rPr>
                <w:sz w:val="19"/>
                <w:szCs w:val="19"/>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18,726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14,344</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220,967</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193,415</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739</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10,611</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9,317</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1,637</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1,862</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3,485</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5,692</w:t>
            </w:r>
          </w:p>
        </w:tc>
      </w:tr>
      <w:tr>
        <w:trPr>
          <w:trHeight w:val="229"/>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28,347</w:t>
            </w:r>
          </w:p>
        </w:tc>
        <w:tc>
          <w:tcPr>
            <w:tcW w:w="6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09"/>
        </w:trPr>
        <w:tc>
          <w:tcPr>
            <w:tcW w:w="6840" w:type="dxa"/>
            <w:vAlign w:val="bottom"/>
            <w:tcBorders>
              <w:top w:val="single" w:sz="8" w:color="EEEEEE"/>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284,512</w:t>
            </w:r>
          </w:p>
        </w:tc>
        <w:tc>
          <w:tcPr>
            <w:tcW w:w="32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213,249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6,482</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(2,067,908)</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(1,275,701)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878,211</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777,612</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(1,368)</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09"/>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(1,191,065</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(492,251</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1,576,560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1,280,700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1,659</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4,013</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(1,795)</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412,483</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(72,297)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130,000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residual interest financing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(81,740)</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(1,103,511)</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(957,621)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(13,788)</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(9,082)</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(8,858)</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3,447</w:t>
            </w:r>
          </w:p>
        </w:tc>
        <w:tc>
          <w:tcPr>
            <w:tcW w:w="60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4,708</w:t>
            </w:r>
          </w:p>
        </w:tc>
      </w:tr>
      <w:tr>
        <w:trPr>
          <w:trHeight w:val="209"/>
        </w:trPr>
        <w:tc>
          <w:tcPr>
            <w:tcW w:w="6840" w:type="dxa"/>
            <w:vAlign w:val="bottom"/>
            <w:tcBorders>
              <w:top w:val="single" w:sz="8" w:color="EEEEEE"/>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914,457</w:t>
            </w:r>
          </w:p>
        </w:tc>
        <w:tc>
          <w:tcPr>
            <w:tcW w:w="32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293,499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tcPr>
          <w:p>
            <w:pPr>
              <w:spacing w:after="0"/>
              <w:rPr>
                <w:sz w:val="18"/>
                <w:szCs w:val="18"/>
                <w:color w:val="auto"/>
              </w:rPr>
            </w:pPr>
          </w:p>
        </w:tc>
      </w:tr>
      <w:tr>
        <w:trPr>
          <w:trHeight w:val="23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172,207</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137,397</w:t>
            </w:r>
          </w:p>
        </w:tc>
      </w:tr>
      <w:tr>
        <w:trPr>
          <w:trHeight w:val="263"/>
        </w:trPr>
        <w:tc>
          <w:tcPr>
            <w:tcW w:w="68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180,111</w:t>
            </w:r>
          </w:p>
        </w:tc>
        <w:tc>
          <w:tcPr>
            <w:tcW w:w="320" w:type="dxa"/>
            <w:vAlign w:val="bottom"/>
            <w:tcBorders>
              <w:bottom w:val="single" w:sz="8" w:color="EEEEEE"/>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151,894</w:t>
            </w:r>
          </w:p>
        </w:tc>
        <w:tc>
          <w:tcPr>
            <w:tcW w:w="100" w:type="dxa"/>
            <w:vAlign w:val="bottom"/>
            <w:tcBorders>
              <w:bottom w:val="single" w:sz="8" w:color="EEEEEE"/>
            </w:tcBorders>
          </w:tcPr>
          <w:p>
            <w:pPr>
              <w:spacing w:after="0"/>
              <w:rPr>
                <w:sz w:val="22"/>
                <w:szCs w:val="22"/>
                <w:color w:val="auto"/>
              </w:rPr>
            </w:pPr>
          </w:p>
        </w:tc>
      </w:tr>
      <w:tr>
        <w:trPr>
          <w:trHeight w:val="197"/>
        </w:trPr>
        <w:tc>
          <w:tcPr>
            <w:tcW w:w="6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181,839</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162,493</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5,943</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6,729</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Common stock issued upon exercise of options and warrants Repurchase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r>
      <w:tr>
        <w:trPr>
          <w:trHeight w:val="407"/>
        </w:trPr>
        <w:tc>
          <w:tcPr>
            <w:tcW w:w="86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21,599</w:t>
            </w:r>
          </w:p>
        </w:tc>
        <w:tc>
          <w:tcPr>
            <w:tcW w:w="8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22,224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21,842</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838</w:t>
            </w: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60" w:type="dxa"/>
            <w:vAlign w:val="bottom"/>
          </w:tcPr>
          <w:p>
            <w:pPr>
              <w:spacing w:after="0"/>
              <w:rPr>
                <w:sz w:val="18"/>
                <w:szCs w:val="18"/>
                <w:color w:val="auto"/>
              </w:rPr>
            </w:pPr>
          </w:p>
        </w:tc>
      </w:tr>
      <w:tr>
        <w:trPr>
          <w:trHeight w:val="248"/>
        </w:trPr>
        <w:tc>
          <w:tcPr>
            <w:tcW w:w="86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(548)</w:t>
            </w:r>
          </w:p>
        </w:tc>
        <w:tc>
          <w:tcPr>
            <w:tcW w:w="88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(949)</w:t>
            </w:r>
          </w:p>
        </w:tc>
        <w:tc>
          <w:tcPr>
            <w:tcW w:w="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21,889</w:t>
            </w: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22,144</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60" w:type="dxa"/>
            <w:vAlign w:val="bottom"/>
          </w:tcPr>
          <w:p>
            <w:pPr>
              <w:spacing w:after="0"/>
              <w:rPr>
                <w:sz w:val="19"/>
                <w:szCs w:val="19"/>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-745490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360"/>
            <w:col w:w="6500"/>
          </w:cols>
          <w:pgMar w:left="320" w:top="792"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22,365</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26,560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24,426</w:t>
            </w:r>
          </w:p>
        </w:tc>
        <w:tc>
          <w:tcPr>
            <w:tcW w:w="420" w:type="dxa"/>
            <w:vAlign w:val="bottom"/>
            <w:gridSpan w:val="2"/>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25,720</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3,447</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(5,165)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(981)</w:t>
            </w:r>
          </w:p>
        </w:tc>
        <w:tc>
          <w:tcPr>
            <w:tcW w:w="4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(6,119)</w:t>
            </w: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501</w:t>
            </w:r>
          </w:p>
        </w:tc>
        <w:tc>
          <w:tcPr>
            <w:tcW w:w="4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EEEEEE"/>
          </w:tcPr>
          <w:p>
            <w:pPr>
              <w:spacing w:after="0"/>
              <w:rPr>
                <w:sz w:val="19"/>
                <w:szCs w:val="19"/>
                <w:color w:val="auto"/>
              </w:rPr>
            </w:pP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32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w:t>
            </w:r>
          </w:p>
        </w:tc>
        <w:tc>
          <w:tcPr>
            <w:tcW w:w="3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tcBorders>
              <w:bottom w:val="single" w:sz="8" w:color="EEEEEE"/>
            </w:tcBorders>
            <w:gridSpan w:val="2"/>
          </w:tcPr>
          <w:p>
            <w:pPr>
              <w:spacing w:after="0"/>
              <w:rPr>
                <w:sz w:val="22"/>
                <w:szCs w:val="22"/>
                <w:color w:val="auto"/>
              </w:rPr>
            </w:pPr>
          </w:p>
        </w:tc>
      </w:tr>
      <w:tr>
        <w:trPr>
          <w:trHeight w:val="196"/>
        </w:trPr>
        <w:tc>
          <w:tcPr>
            <w:tcW w:w="47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298,158</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276,551</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286,385</w:t>
            </w:r>
          </w:p>
        </w:tc>
        <w:tc>
          <w:tcPr>
            <w:tcW w:w="420" w:type="dxa"/>
            <w:vAlign w:val="bottom"/>
            <w:gridSpan w:val="2"/>
            <w:shd w:val="clear" w:color="auto" w:fill="EEEEEE"/>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267,060</w:t>
            </w:r>
          </w:p>
        </w:tc>
        <w:tc>
          <w:tcPr>
            <w:tcW w:w="80" w:type="dxa"/>
            <w:vAlign w:val="bottom"/>
            <w:shd w:val="clear" w:color="auto" w:fill="EEEEEE"/>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6,953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4,853</w:t>
            </w:r>
          </w:p>
        </w:tc>
        <w:tc>
          <w:tcPr>
            <w:tcW w:w="42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18,726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14,344</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305,111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305,111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(1,275)</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(1,275)</w:t>
            </w:r>
          </w:p>
        </w:tc>
        <w:tc>
          <w:tcPr>
            <w:tcW w:w="420" w:type="dxa"/>
            <w:vAlign w:val="bottom"/>
            <w:gridSpan w:val="2"/>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4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7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324,488</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307,565</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324,488</w:t>
            </w:r>
          </w:p>
        </w:tc>
        <w:tc>
          <w:tcPr>
            <w:tcW w:w="420" w:type="dxa"/>
            <w:vAlign w:val="bottom"/>
            <w:gridSpan w:val="2"/>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307,565</w:t>
            </w:r>
          </w:p>
        </w:tc>
        <w:tc>
          <w:tcPr>
            <w:tcW w:w="8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also, to a lesser extent, originate loans directly to consumers for the refinancing of an existing loan from other lenders secured by an automobile and have also (i) lent money directly to consumers for vehicle purchase money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2026,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nine-month periods ending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20" w:type="dxa"/>
            <w:vAlign w:val="bottom"/>
            <w:gridSpan w:val="5"/>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900" w:type="dxa"/>
            <w:vAlign w:val="bottom"/>
            <w:shd w:val="clear" w:color="auto" w:fill="EEEEEE"/>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1,353</w:t>
            </w:r>
          </w:p>
        </w:tc>
        <w:tc>
          <w:tcPr>
            <w:tcW w:w="1080" w:type="dxa"/>
            <w:vAlign w:val="bottom"/>
            <w:gridSpan w:val="2"/>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1,248</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rPr>
              <w:t>4,078</w:t>
            </w:r>
          </w:p>
        </w:tc>
        <w:tc>
          <w:tcPr>
            <w:tcW w:w="60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4,063</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5,640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00" w:type="dxa"/>
            <w:vAlign w:val="bottom"/>
            <w:tcBorders>
              <w:top w:val="single" w:sz="8" w:color="auto"/>
              <w:bottom w:val="single" w:sz="8" w:color="auto"/>
            </w:tcBorders>
            <w:shd w:val="clear" w:color="auto" w:fill="EEEEEE"/>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w w:val="93"/>
              </w:rPr>
              <w:t>2,828</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w w:val="98"/>
              </w:rPr>
              <w:t>9,718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53,225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53,225</w:t>
            </w:r>
          </w:p>
        </w:tc>
        <w:tc>
          <w:tcPr>
            <w:tcW w:w="0" w:type="dxa"/>
            <w:vAlign w:val="bottom"/>
          </w:tcPr>
          <w:p>
            <w:pPr>
              <w:spacing w:after="0"/>
              <w:rPr>
                <w:sz w:val="1"/>
                <w:szCs w:val="1"/>
                <w:color w:val="auto"/>
              </w:rPr>
            </w:pPr>
          </w:p>
        </w:tc>
      </w:tr>
      <w:tr>
        <w:trPr>
          <w:trHeight w:val="230"/>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24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(39,764)</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(36,281)</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6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EEEEEE"/>
          </w:tcPr>
          <w:p>
            <w:pPr>
              <w:spacing w:after="0"/>
              <w:rPr>
                <w:sz w:val="17"/>
                <w:szCs w:val="17"/>
                <w:color w:val="auto"/>
              </w:rPr>
            </w:pPr>
          </w:p>
        </w:tc>
        <w:tc>
          <w:tcPr>
            <w:tcW w:w="24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(19,236)</w:t>
            </w: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4,733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(3,969)</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3"/>
        </w:trPr>
        <w:tc>
          <w:tcPr>
            <w:tcW w:w="4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2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 (excluding the nine months ended September 30, 2026)</w:t>
            </w:r>
          </w:p>
        </w:tc>
        <w:tc>
          <w:tcPr>
            <w:tcW w:w="24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5,756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5,937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4,331</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2030</w:t>
            </w:r>
          </w:p>
        </w:tc>
        <w:tc>
          <w:tcPr>
            <w:tcW w:w="2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1,171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4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(3,839)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6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9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0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1,317</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1,126</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3,954</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3,748</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w:t>
            </w:r>
          </w:p>
        </w:tc>
        <w:tc>
          <w:tcPr>
            <w:tcW w:w="10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9"/>
                <w:szCs w:val="19"/>
                <w:color w:val="auto"/>
              </w:rPr>
            </w:pPr>
          </w:p>
        </w:tc>
        <w:tc>
          <w:tcPr>
            <w:tcW w:w="32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840" w:type="dxa"/>
            <w:vAlign w:val="bottom"/>
            <w:shd w:val="clear" w:color="auto" w:fill="EEEEEE"/>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paid for amounts included in the</w:t>
            </w:r>
          </w:p>
        </w:tc>
        <w:tc>
          <w:tcPr>
            <w:tcW w:w="360" w:type="dxa"/>
            <w:vAlign w:val="bottom"/>
            <w:shd w:val="clear" w:color="auto" w:fill="EEEEEE"/>
          </w:tcPr>
          <w:p>
            <w:pPr>
              <w:spacing w:after="0"/>
              <w:rPr>
                <w:sz w:val="16"/>
                <w:szCs w:val="16"/>
                <w:color w:val="auto"/>
              </w:rPr>
            </w:pPr>
          </w:p>
        </w:tc>
        <w:tc>
          <w:tcPr>
            <w:tcW w:w="1420" w:type="dxa"/>
            <w:vAlign w:val="bottom"/>
            <w:shd w:val="clear" w:color="auto" w:fill="EEEEEE"/>
          </w:tcPr>
          <w:p>
            <w:pPr>
              <w:spacing w:after="0"/>
              <w:rPr>
                <w:sz w:val="16"/>
                <w:szCs w:val="16"/>
                <w:color w:val="auto"/>
              </w:rPr>
            </w:pPr>
          </w:p>
        </w:tc>
        <w:tc>
          <w:tcPr>
            <w:tcW w:w="660" w:type="dxa"/>
            <w:vAlign w:val="bottom"/>
            <w:shd w:val="clear" w:color="auto" w:fill="EEEEEE"/>
          </w:tcPr>
          <w:p>
            <w:pPr>
              <w:spacing w:after="0"/>
              <w:rPr>
                <w:sz w:val="16"/>
                <w:szCs w:val="16"/>
                <w:color w:val="auto"/>
              </w:rPr>
            </w:pPr>
          </w:p>
        </w:tc>
        <w:tc>
          <w:tcPr>
            <w:tcW w:w="10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380" w:type="dxa"/>
            <w:vAlign w:val="bottom"/>
            <w:shd w:val="clear" w:color="auto" w:fill="EEEEEE"/>
          </w:tcPr>
          <w:p>
            <w:pPr>
              <w:spacing w:after="0"/>
              <w:rPr>
                <w:sz w:val="16"/>
                <w:szCs w:val="16"/>
                <w:color w:val="auto"/>
              </w:rPr>
            </w:pPr>
          </w:p>
        </w:tc>
        <w:tc>
          <w:tcPr>
            <w:tcW w:w="660" w:type="dxa"/>
            <w:vAlign w:val="bottom"/>
            <w:shd w:val="clear" w:color="auto" w:fill="EEEEEE"/>
          </w:tcPr>
          <w:p>
            <w:pPr>
              <w:spacing w:after="0"/>
              <w:rPr>
                <w:sz w:val="16"/>
                <w:szCs w:val="16"/>
                <w:color w:val="auto"/>
              </w:rPr>
            </w:pPr>
          </w:p>
        </w:tc>
        <w:tc>
          <w:tcPr>
            <w:tcW w:w="10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38"/>
        </w:trPr>
        <w:tc>
          <w:tcPr>
            <w:tcW w:w="3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b w:val="1"/>
                <w:bCs w:val="1"/>
                <w:color w:val="auto"/>
              </w:rPr>
              <w:t>measurement of lease liabilities:</w:t>
            </w:r>
          </w:p>
        </w:tc>
        <w:tc>
          <w:tcPr>
            <w:tcW w:w="3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1,317</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3,954</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3,748</w:t>
            </w: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66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274</w:t>
            </w:r>
          </w:p>
        </w:tc>
        <w:tc>
          <w:tcPr>
            <w:tcW w:w="66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recorded stock-based compensation costs in the amount of $548,000 and $1.6 million respectively. As of September 30, 2026, unrecognized stock-based compensation costs to be recognized over future periods equaled $8.8 million. This amount will be recognized as expense over a weighted-average period of 3.41 years.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nine months ended September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29"/>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r>
      <w:tr>
        <w:trPr>
          <w:trHeight w:val="209"/>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6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3.46</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7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EEEEEE"/>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EEEEEE"/>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94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6,487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7.44</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3.78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94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4,055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6.66</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2.17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30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30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8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8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1,015</w:t>
            </w:r>
          </w:p>
        </w:tc>
        <w:tc>
          <w:tcPr>
            <w:tcW w:w="15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1,098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897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8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1,130</w:t>
            </w:r>
          </w:p>
        </w:tc>
        <w:tc>
          <w:tcPr>
            <w:tcW w:w="15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1,145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$8.00 - $8.99</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1,430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1,430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$9.00 - $9.99</w:t>
            </w:r>
          </w:p>
        </w:tc>
        <w:tc>
          <w:tcPr>
            <w:tcW w:w="18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1,360</w:t>
            </w:r>
          </w:p>
        </w:tc>
        <w:tc>
          <w:tcPr>
            <w:tcW w:w="168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1,552</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46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4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the aggregate intrinsic value of options outstanding and exercisable was $12.9 million and $11.9 million respectively. There were 996,000 options exercised for the nine months ended September 30, 2026, compared to 1.4 million for the comparable period in 2025. The total intrinsic value of options exercised was $5.8 million and $8.4 million for the nine-month periods ended September 30, 2026 and 2025. There were 3,246,000 shares available for future stock option grants under existing plans as of September 30,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nine months ended September 30, 2026, and 2025:</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340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2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23"/>
        </w:trPr>
        <w:tc>
          <w:tcPr>
            <w:tcW w:w="15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191"/>
        </w:trPr>
        <w:tc>
          <w:tcPr>
            <w:tcW w:w="1360" w:type="dxa"/>
            <w:vAlign w:val="bottom"/>
            <w:tcBorders>
              <w:top w:val="single" w:sz="8" w:color="auto"/>
            </w:tcBorders>
          </w:tcPr>
          <w:p>
            <w:pPr>
              <w:ind w:left="780"/>
              <w:spacing w:after="0" w:line="191" w:lineRule="exact"/>
              <w:rPr>
                <w:sz w:val="20"/>
                <w:szCs w:val="20"/>
                <w:color w:val="auto"/>
              </w:rPr>
            </w:pPr>
            <w:r>
              <w:rPr>
                <w:rFonts w:ascii="Times New Roman" w:cs="Times New Roman" w:eastAsia="Times New Roman" w:hAnsi="Times New Roman"/>
                <w:sz w:val="18"/>
                <w:szCs w:val="18"/>
                <w:color w:val="auto"/>
                <w:w w:val="95"/>
              </w:rPr>
              <w:t>437,664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9.23</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89,362</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9.48</w:t>
            </w:r>
          </w:p>
        </w:tc>
        <w:tc>
          <w:tcPr>
            <w:tcW w:w="20" w:type="dxa"/>
            <w:vAlign w:val="bottom"/>
          </w:tcPr>
          <w:p>
            <w:pPr>
              <w:spacing w:after="0"/>
              <w:rPr>
                <w:sz w:val="16"/>
                <w:szCs w:val="16"/>
                <w:color w:val="auto"/>
              </w:rPr>
            </w:pPr>
          </w:p>
        </w:tc>
      </w:tr>
      <w:tr>
        <w:trPr>
          <w:trHeight w:val="229"/>
        </w:trPr>
        <w:tc>
          <w:tcPr>
            <w:tcW w:w="15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165,993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9.51</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451,937</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r>
      <w:tr>
        <w:trPr>
          <w:trHeight w:val="234"/>
        </w:trPr>
        <w:tc>
          <w:tcPr>
            <w:tcW w:w="15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345,000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r>
      <w:tr>
        <w:trPr>
          <w:trHeight w:val="223"/>
        </w:trPr>
        <w:tc>
          <w:tcPr>
            <w:tcW w:w="13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5"/>
              </w:rPr>
              <w:t>948,657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641,299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4020" w:space="720"/>
            <w:col w:w="6500"/>
          </w:cols>
          <w:pgMar w:left="320" w:top="225"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2026,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 This is described further in footnote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that any accounting pronouncements issued, but not yet effective, are applicable or would have a material impact on our consolidated financial statements or disclosures, if adopted.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 measured at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Our contract purchase guidelines are designed to produce a homogenous portfolio. For key terms such as interest rate, length of contract, monthly payment and amount financed, there is relatively little variation from the average for the portfolio.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use the fair value method to value our portfolio of finance receivables acquired. The accounting treatment follows the fair value hierarchy outlined in ASC 820, "Fair Value Measurements", and the inputs and assumptions are level 3. This is described further in footnote 9.</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2026, the Company evaluated the appropriate fair value and future earnings rate of existing receivables compared to recently acquired receivables and did not record a mark up or down to the portfolio.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82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4,212,167</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3,559,029</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3,655,855</w:t>
            </w:r>
          </w:p>
        </w:tc>
        <w:tc>
          <w:tcPr>
            <w:tcW w:w="440" w:type="dxa"/>
            <w:vAlign w:val="bottom"/>
            <w:gridSpan w:val="2"/>
            <w:shd w:val="clear" w:color="auto" w:fill="EEEEEE"/>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3,313,767</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801,272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392,822</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2,067,908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1,275,701</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(307,572)</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(260,043)</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(878,211)</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(777,612)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(81,282)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(66,867)</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(220,967)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(193,415)</w:t>
            </w: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4,624,585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3,624,941</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4,624,585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3,624,941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1"/>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4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4,711,049</w:t>
            </w:r>
          </w:p>
        </w:tc>
        <w:tc>
          <w:tcPr>
            <w:tcW w:w="4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4,624,585</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3,778,127</w:t>
            </w:r>
          </w:p>
        </w:tc>
        <w:tc>
          <w:tcPr>
            <w:tcW w:w="42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3,655,855</w:t>
            </w: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Weight Avg. Inputs as of</w:t>
            </w:r>
          </w:p>
        </w:tc>
        <w:tc>
          <w:tcPr>
            <w:tcW w:w="0" w:type="dxa"/>
            <w:vAlign w:val="bottom"/>
          </w:tcPr>
          <w:p>
            <w:pPr>
              <w:spacing w:after="0"/>
              <w:rPr>
                <w:sz w:val="1"/>
                <w:szCs w:val="1"/>
                <w:color w:val="auto"/>
              </w:rPr>
            </w:pPr>
          </w:p>
        </w:tc>
      </w:tr>
      <w:tr>
        <w:trPr>
          <w:trHeight w:val="201"/>
        </w:trPr>
        <w:tc>
          <w:tcPr>
            <w:tcW w:w="3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38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4,624,585</w:t>
            </w:r>
          </w:p>
        </w:tc>
        <w:tc>
          <w:tcPr>
            <w:tcW w:w="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3,655,855</w:t>
            </w:r>
          </w:p>
        </w:tc>
        <w:tc>
          <w:tcPr>
            <w:tcW w:w="19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11.01%</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delinquency on a contractual basis. The following table summarizes the delinquency status of these finance receivables measured at fair value as of September 30,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4,131,880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3,220,198</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298,060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272,421</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125,033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118,201</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57,406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56,203</w:t>
            </w: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98,671</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111,104</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4,711,049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3,778,127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5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2028</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15,832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2028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1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December</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349,202</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April 2029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23,974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October 2029</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50,334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395,600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39,753</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72,820</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April 2030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47,277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2022-D</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2030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64,990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307,018</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60,287</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86,973</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August 2030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56,218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83,896</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98,205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332,885</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76,716</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107,035</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2031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291,732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78,865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110,281</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2023-D</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May 2031</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101,749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286,149</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83,808</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121,208</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August 2031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280,924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85,485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128,466</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2031</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137,302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319,871</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116,303</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2032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172,976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254,043</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2024-D</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2032</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216,136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416,816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184,772</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269,169</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August 2032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259,692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442,420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229,732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324,242</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2025-B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March 2033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284,725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419,950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255,729</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341,383</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2033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298,769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418,330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273,685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364,711</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2025-D</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May 2033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297,281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384,600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278,807</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366,313</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2026-A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August 2033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295,656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345,610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278,005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2026-B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474,583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514,070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449,168</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2026-C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2034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707,413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716,880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684,681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3,873,338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8,222,535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3,476,241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$346.7 million in 2026, $1,234.1 million in 2027, $845.7 million in 2028, $516.3 million in 2029, $299.2 million in 2030, $146.0 million in 2031, and $70.5 million in 2032.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$17.7 million and $16.6 million as of September 30, 2026, and December 31, 2025,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securitization trust debt was sold in private placement transactions to qualified institutional buyers. The debt was issued through our wholly 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are in compliance with all such covenants as of September 30,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September 30, 2026, restricted cash under the various agreements totaled approximately $175.0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 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on September 30, 2026, and December 31, 2025,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01"/>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Subordinate Lender</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Description</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Interest Rate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Interest Rate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2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6.40% over SOFR yield</w:t>
            </w:r>
          </w:p>
        </w:tc>
        <w:tc>
          <w:tcPr>
            <w:tcW w:w="1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2.85% over CP yield rate</w:t>
            </w:r>
          </w:p>
        </w:tc>
        <w:tc>
          <w:tcPr>
            <w:tcW w:w="20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rate (Minimum 7.15%)</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(Minimum 3.60%) 6.88%</w:t>
            </w:r>
          </w:p>
        </w:tc>
        <w:tc>
          <w:tcPr>
            <w:tcW w:w="20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10.47% and 10.40% at</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 6.80% at September</w:t>
            </w:r>
          </w:p>
        </w:tc>
        <w:tc>
          <w:tcPr>
            <w:tcW w:w="20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2026 and</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 2026 and December</w:t>
            </w:r>
          </w:p>
        </w:tc>
        <w:tc>
          <w:tcPr>
            <w:tcW w:w="2020" w:type="dxa"/>
            <w:vAlign w:val="bottom"/>
            <w:gridSpan w:val="2"/>
            <w:shd w:val="clear" w:color="auto" w:fill="EEEEEE"/>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31, 2025,</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 of credit</w:t>
            </w:r>
          </w:p>
        </w:tc>
        <w:tc>
          <w:tcPr>
            <w:tcW w:w="20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 2025, respectively</w:t>
            </w:r>
          </w:p>
        </w:tc>
        <w:tc>
          <w:tcPr>
            <w:tcW w:w="20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respectively</w:t>
            </w:r>
          </w:p>
        </w:tc>
        <w:tc>
          <w:tcPr>
            <w:tcW w:w="20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July 2028</w:t>
            </w:r>
          </w:p>
        </w:tc>
        <w:tc>
          <w:tcPr>
            <w:tcW w:w="26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397,176</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197,107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4.50% over a commercial</w:t>
            </w:r>
          </w:p>
        </w:tc>
        <w:tc>
          <w:tcPr>
            <w:tcW w:w="1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paper rate (Minimum</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7.50%) 8.25% at</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 of credit</w:t>
            </w: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2025</w:t>
            </w:r>
          </w:p>
        </w:tc>
        <w:tc>
          <w:tcPr>
            <w:tcW w:w="19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April 2026</w:t>
            </w:r>
          </w:p>
        </w:tc>
        <w:tc>
          <w:tcPr>
            <w:tcW w:w="2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11,778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2.60% over SOFR yield</w:t>
            </w:r>
          </w:p>
        </w:tc>
        <w:tc>
          <w:tcPr>
            <w:tcW w:w="20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6.40% over SOFR yield</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rate (Minimum 2.85%)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rate (Minimum 6.65%)</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6.42% and 6.50% at</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10.08% and 10.27% at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30, 2026 and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2026 and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31, 2025,</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31, 2025,</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 of credit</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respectively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respectively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2027</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342,515</w:t>
            </w: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118,323</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7.86%</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2028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2029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49,820</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2032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62,767</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63,524</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2033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November 2033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Weighted average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Weighted average rate of</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maturity of June 2028 and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8.75% and 8.98% at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2027 at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30, 2026 and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2026 and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31, 2025,</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2025,</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respectively</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28,850</w:t>
            </w:r>
          </w:p>
        </w:tc>
        <w:tc>
          <w:tcPr>
            <w:tcW w:w="10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0" w:type="dxa"/>
            <w:vAlign w:val="bottom"/>
          </w:tcPr>
          <w:p>
            <w:pPr>
              <w:spacing w:after="0"/>
              <w:rPr>
                <w:sz w:val="1"/>
                <w:szCs w:val="1"/>
                <w:color w:val="auto"/>
              </w:rPr>
            </w:pPr>
          </w:p>
        </w:tc>
      </w:tr>
      <w:tr>
        <w:trPr>
          <w:trHeight w:val="209"/>
        </w:trPr>
        <w:tc>
          <w:tcPr>
            <w:tcW w:w="22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9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9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9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961,308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500,701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18, 2026, we completed an $80 million securitization of residual interests from previously issued securitizations. In this transaction, a qualified institutional buyer purchased $80.0 million of asset-backed notes. The notes are secured by residual interests in four CPS securitizations issued between April 2022 and April 2023, as well as an 80% interest in a CPS affiliate that owns the residual interests in three CPS securitizations issued between July 2023 and April 2026. The sold notes (“2026-2 Notes”), issued by CPS Auto Securitization Trust 2026-2, consist of a single class with a coupon of 10.25%. At September 30, 2026, there was $80.0 million outstanding under this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4, 2026, we completed a $50 million securitization of residual interests from previously issued securitizations. In the transaction, a qualified institutional buyers purchased $50.0 million of asset-backed notes secured by an 80% interest in a CPS affiliate that owns the residual interests in four CPS securitizations issued from January 2025 through October 2025. The sold notes (“2026-1 Notes”), issued by CPS Auto Securitization Trust 2026-1, consist of a single class with a coupon of 8.75%. At September 30, 2026, there was $50.0 million outstanding under this facility.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2026, we amended the credit agreement with Capital One, N.A. to increase the capacity of the facility. The amendment applies to both Capital One, N.A. and the subordinate lender, and increases the capacity of the facility from $167.5 million to $390 million. This facility has a two-year revolving period to October 2027, with an optional amortization period through April 2029. The facility is structured to allow us to fund a portion of the purchase price of automobile contracts by borrowing from a credit facility to our consolidated subsidiary Page Eleven Funding, LLC. The facility provides for effective advances up to 95.50% of eligible finance receivables. The Class A loans under the facility generally accrue interest during the revolving period at a per annum rate equal to the Term SOFR plus 2.60% per annum, with a minimum rate of 2.85% per annum and during the amortization period at a per annum rate equal to the Term SOFR plus 3.60% per annum, with a minimum rate of 3.85% per annum. The Class B loans under the facility generally accrue interest during the revolving period at a per annum rate equal to the Term SOFR plus 6.40% per annum, with a minimum rate of 6.65% per annum and during the amortization period at a per annum rate equal to the Term SOFR plus 7.40% per annum, with a minimum rate of 7.65% per annum. At September 30, 2026, there was $342.5 million outstanding under this facility.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 At September 30, 2026, there was $62.8 million outstanding under this facility.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19, 2024, we increased the capacity of our revolving credit agreement with Citibank, N.A., to $335 million. This follows the November 2024 closing of a revolving credit agreement with Oaktree Capital Management, which is subordinate to our credit agreement with Citibank, N.A. The facility provides effective advances up to 10.00% of eligible finance receivables, effectively increasing the advance rate up to 95% across the facility for eligible receivables. The revolving credit agreement with Citibank, N.A. was last renewed in July 2026, extending the maturity date to July 2028 followed by an amortization period through July 2029 for any receivables pledged at the end of the revolving period. The renewal and increase apply to both Citibank, N.A. and the subordinate lender, and increases the capacity of the facility from $335 million to $508 million. There was $397.2 million outstanding under this facility at September 30,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In March 2026, the revolving period was extended to April 2026. The facility was not renewed following the expiration of the revolving period. There was nothing outstanding under this facility at September 30,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2005, we have offered renewable subordinated notes to the public on a continuous basis, and such notes have maturities that range from six months to 10 years. At September 30, 2026, there was $28.9 million outstanding under this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Unamortized debt issuance costs of $5.9 million and $3.8 million as of September 30, 2026, and December 31, 2025, respectively, have been excluded from the total amount reported above for our warehouse lines of credit and residual interest financings. These debt issuance costs are presented as a direct deduction to the carrying amount of the debt on our Unaudited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Interest Income and Interest Expense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126,932</w:t>
            </w:r>
          </w:p>
        </w:tc>
        <w:tc>
          <w:tcPr>
            <w:tcW w:w="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104,890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349,391</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307,484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3,931</w:t>
            </w:r>
          </w:p>
        </w:tc>
        <w:tc>
          <w:tcPr>
            <w:tcW w:w="46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129,082</w:t>
            </w:r>
          </w:p>
        </w:tc>
        <w:tc>
          <w:tcPr>
            <w:tcW w:w="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107,166</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355,915</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314,462</w:t>
            </w: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54,269</w:t>
            </w:r>
          </w:p>
        </w:tc>
        <w:tc>
          <w:tcPr>
            <w:tcW w:w="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47,581</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153,064</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138,182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6,710</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25,551</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21,439</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5,324</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4,085</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14,192</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70,519</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59,098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194,833</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and nine-month periods ended September 30, 2026, and 2025 were calculated using the weighted average number of shares outstanding for the related period. The following table reconciles the number of shares used in the computations of basic and diluted earnings per share for the three-month and nine-month periods ended September 30, 2026, and 2025:</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spacing w:after="0" w:line="162" w:lineRule="exact"/>
        <w:rPr>
          <w:sz w:val="20"/>
          <w:szCs w:val="20"/>
          <w:color w:val="auto"/>
        </w:rPr>
      </w:pPr>
    </w:p>
    <w:p>
      <w:pPr>
        <w:ind w:left="180" w:right="120" w:hanging="179"/>
        <w:spacing w:after="0" w:line="282" w:lineRule="auto"/>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w:t>
      </w:r>
    </w:p>
    <w:p>
      <w:pPr>
        <w:spacing w:after="0" w:line="189" w:lineRule="exact"/>
        <w:rPr>
          <w:sz w:val="20"/>
          <w:szCs w:val="20"/>
          <w:color w:val="auto"/>
        </w:rPr>
      </w:pPr>
    </w:p>
    <w:p>
      <w:pPr>
        <w:ind w:left="180" w:right="44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32"/>
        </w:trPr>
        <w:tc>
          <w:tcPr>
            <w:tcW w:w="20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20"/>
                <w:szCs w:val="20"/>
                <w:color w:val="auto"/>
              </w:rPr>
            </w:pPr>
          </w:p>
        </w:tc>
      </w:tr>
      <w:tr>
        <w:trPr>
          <w:trHeight w:val="410"/>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21,846</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22,209</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21,752</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r>
      <w:tr>
        <w:trPr>
          <w:trHeight w:val="661"/>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1,474</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0"/>
        </w:trPr>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668"/>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23,320</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24,046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23,447</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-1156970</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-744855</wp:posOffset>
            </wp:positionV>
            <wp:extent cx="713232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-316230</wp:posOffset>
            </wp:positionV>
            <wp:extent cx="71323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160"/>
            <w:col w:w="6160"/>
          </w:cols>
          <w:pgMar w:left="320" w:top="22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nine-month periods ended September 30, 2026, would have included an additional 3.7 million shares attributable to the exercise of outstanding options. For the three months and nine-months ended September 30, 2025, 3.2 million shares, would be included in the diluted earnings per share calculation.</w:t>
      </w:r>
    </w:p>
    <w:p>
      <w:pPr>
        <w:spacing w:after="0" w:line="172"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events that have been recognized in the financial statements. A valuation allowance is recognized to reduce a deferred tax asset if, based on the weight of all available evidence, it is more likely than not that some or all of the deferred tax asset will not be realized. When making this judgment, both positive and negative evidence is considered, with the most weight given to evidence that can be objectively verified. The recognition of deferred tax liabilities, however, does not require a similar more likely than not test for realization. They are recognized with the expectation that they will be settled in future periods when the related taxable temporary differences reverse. As of September 30, 2026 we have a net deferred tax liabilities of $402,000. Our net deferred tax liabilities of $402,000 consists of approximately $608,000 of net U.S. federal deferred tax liabilities and $206,000 of net state deferred tax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$3.1 million and $8.4 million for the three-months and nine-months ended on September 30, 2026, compared to income tax expense of $2.2 million and $6.4 million for the three-months and nine-months ended September 30, 2025, representing an effective income tax rate of 31% in both periods.</w:t>
      </w:r>
    </w:p>
    <w:p>
      <w:pPr>
        <w:spacing w:after="0" w:line="172"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Litigation. We are routinely involved in various legal proceedings resulting from our consumer finance activities and practices, both 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there can be no assurance as to the outcomes of the matters described above. We record at each measurement date our best estimate of probable incurred losses for legal contingencies, if any. The amount of losses that may ultimately be incurred cannot be estimated with certainty. However, based on such information as is available to us, the Company is not currently a party to any such material proceedings.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legal proceedings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and nine months ended September 30, 2026, and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fair values of financial assets and liabilities, excluding assets carried at fair value, on September 30, 2026 and December 31, 2025,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7"/>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5,147</w:t>
            </w:r>
          </w:p>
        </w:tc>
        <w:tc>
          <w:tcPr>
            <w:tcW w:w="2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5,147</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174,964</w:t>
            </w:r>
          </w:p>
        </w:tc>
        <w:tc>
          <w:tcPr>
            <w:tcW w:w="220" w:type="dxa"/>
            <w:vAlign w:val="bottom"/>
            <w:shd w:val="clear" w:color="auto" w:fill="EEEEEE"/>
          </w:tcPr>
          <w:p>
            <w:pPr>
              <w:spacing w:after="0"/>
              <w:rPr>
                <w:sz w:val="18"/>
                <w:szCs w:val="18"/>
                <w:color w:val="auto"/>
              </w:rPr>
            </w:pPr>
          </w:p>
        </w:tc>
        <w:tc>
          <w:tcPr>
            <w:tcW w:w="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174,964</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174,964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735,840</w:t>
            </w:r>
          </w:p>
        </w:tc>
        <w:tc>
          <w:tcPr>
            <w:tcW w:w="220" w:type="dxa"/>
            <w:vAlign w:val="bottom"/>
            <w:shd w:val="clear" w:color="auto" w:fill="EEEEEE"/>
          </w:tcPr>
          <w:p>
            <w:pPr>
              <w:spacing w:after="0"/>
              <w:rPr>
                <w:sz w:val="18"/>
                <w:szCs w:val="18"/>
                <w:color w:val="auto"/>
              </w:rPr>
            </w:pPr>
          </w:p>
        </w:tc>
        <w:tc>
          <w:tcPr>
            <w:tcW w:w="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735,840</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735,840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14,376</w:t>
            </w:r>
          </w:p>
        </w:tc>
        <w:tc>
          <w:tcPr>
            <w:tcW w:w="2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14,376</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190,665</w:t>
            </w:r>
          </w:p>
        </w:tc>
        <w:tc>
          <w:tcPr>
            <w:tcW w:w="220" w:type="dxa"/>
            <w:vAlign w:val="bottom"/>
            <w:shd w:val="clear" w:color="auto" w:fill="EEEEEE"/>
          </w:tcPr>
          <w:p>
            <w:pPr>
              <w:spacing w:after="0"/>
              <w:rPr>
                <w:sz w:val="18"/>
                <w:szCs w:val="18"/>
                <w:color w:val="auto"/>
              </w:rPr>
            </w:pPr>
          </w:p>
        </w:tc>
        <w:tc>
          <w:tcPr>
            <w:tcW w:w="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189,323</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189,323</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3,458,537</w:t>
            </w:r>
          </w:p>
        </w:tc>
        <w:tc>
          <w:tcPr>
            <w:tcW w:w="2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3,435,163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3,435,163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28,850</w:t>
            </w:r>
          </w:p>
        </w:tc>
        <w:tc>
          <w:tcPr>
            <w:tcW w:w="220" w:type="dxa"/>
            <w:vAlign w:val="bottom"/>
            <w:shd w:val="clear" w:color="auto" w:fill="EEEEEE"/>
          </w:tcPr>
          <w:p>
            <w:pPr>
              <w:spacing w:after="0"/>
              <w:rPr>
                <w:sz w:val="18"/>
                <w:szCs w:val="18"/>
                <w:color w:val="auto"/>
              </w:rPr>
            </w:pPr>
          </w:p>
        </w:tc>
        <w:tc>
          <w:tcPr>
            <w:tcW w:w="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28,850</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28,850</w:t>
            </w:r>
          </w:p>
        </w:tc>
        <w:tc>
          <w:tcPr>
            <w:tcW w:w="0" w:type="dxa"/>
            <w:vAlign w:val="bottom"/>
          </w:tcPr>
          <w:p>
            <w:pPr>
              <w:spacing w:after="0"/>
              <w:rPr>
                <w:sz w:val="1"/>
                <w:szCs w:val="1"/>
                <w:color w:val="auto"/>
              </w:rPr>
            </w:pPr>
          </w:p>
        </w:tc>
      </w:tr>
      <w:tr>
        <w:trPr>
          <w:trHeight w:val="446"/>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7"/>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6,322</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165,885</w:t>
            </w:r>
          </w:p>
        </w:tc>
        <w:tc>
          <w:tcPr>
            <w:tcW w:w="2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165,885</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165,885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324,871</w:t>
            </w:r>
          </w:p>
        </w:tc>
        <w:tc>
          <w:tcPr>
            <w:tcW w:w="2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11,994</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142,982</w:t>
            </w:r>
          </w:p>
        </w:tc>
        <w:tc>
          <w:tcPr>
            <w:tcW w:w="2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152,607</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152,607</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2,986,574</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2,985,961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2,985,961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28,986</w:t>
            </w:r>
          </w:p>
        </w:tc>
        <w:tc>
          <w:tcPr>
            <w:tcW w:w="2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Company’s one reportable segment, it provides indirect vehicle financing to motor vehicle dealer’s less credit- worthy borrowers. The Company’s revenue primarily consists of interest income and is derived from the interest recorded on contracts the Company has purchased. The revenue generated from any individual borrower is deemed to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9, 2026, we amended our two-year revolving credit agreement with Capital One, N.A. to increase the capacity of the facility. The amendment applies to both Capital One, N.A. and the subordinate lender, and increases the total capacity of the facility from $390 million to $518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2026, we completed our fourth securitization of 2026. In the transaction, qualified institutional buyers purchased $767.85 million of asset-backed notes secured by $797.36 million in automobile receivables originated by CPS. The sold notes, issued by CPS Auto Receivables Trust 2026-D, consist of five classes. Ratings of the notes were provided by Moody’s and DBRS Morningstar, and were based on the structure of the transaction, the historical performance of similar receivables and CPS’s experience as a servicer. The weighted average interest rate on the notes is approximately 6.68%.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charge-offs and recovery rates;</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enforce rights under contracts;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revenues or expenses;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provisions for credit losses;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expected industry and general economic trends;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accrued losses for legal contingencies;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anticipated deferred tax assets;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estimates of taxable income;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service and repay our debt;</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8" w:lineRule="exact"/>
        <w:rPr>
          <w:rFonts w:ascii="Arial" w:cs="Arial" w:eastAsia="Arial" w:hAnsi="Arial"/>
          <w:sz w:val="18"/>
          <w:szCs w:val="18"/>
          <w:b w:val="1"/>
          <w:bCs w:val="1"/>
          <w:color w:val="auto"/>
        </w:rPr>
      </w:pPr>
    </w:p>
    <w:p>
      <w:pPr>
        <w:ind w:left="680" w:hanging="335"/>
        <w:spacing w:after="0" w:line="259" w:lineRule="auto"/>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general economic conditions;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performance of our automobile contracts;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increases in interest rates;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competition;</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decisions by courts or regulators;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changes with respect to consumer finance;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the market for used vehicles;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levels of cash releases from existing pools of contracts;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on which we are able to finance contract purchases;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breach in the security of our systems; and</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to a lesser extent, originate loans directly to consumers for the refinancing of an existing loan from other lenders secured by an automobile and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September 30, 2026, we have originated a total of approximately $26.8 billion of automobile contracts from dealers, and to a lesser degree, by originating loans secured by automobiles directly with consumers. Our recent history of contract purchase volumes and managed portfolio levels are shown in the table below. Managed portfolio comprises both contracts we owned and those we were servicing for third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20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ind w:left="98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Contracts</w:t>
            </w: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00" w:type="dxa"/>
            <w:vAlign w:val="bottom"/>
          </w:tcPr>
          <w:p>
            <w:pPr>
              <w:spacing w:after="0"/>
              <w:rPr>
                <w:sz w:val="16"/>
                <w:szCs w:val="16"/>
                <w:color w:val="auto"/>
              </w:rPr>
            </w:pPr>
          </w:p>
        </w:tc>
      </w:tr>
      <w:tr>
        <w:trPr>
          <w:trHeight w:val="23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in Period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209"/>
        </w:trPr>
        <w:tc>
          <w:tcPr>
            <w:tcW w:w="50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00" w:type="dxa"/>
            <w:vAlign w:val="bottom"/>
            <w:shd w:val="clear" w:color="auto" w:fill="EEEEEE"/>
          </w:tcPr>
          <w:p>
            <w:pPr>
              <w:spacing w:after="0"/>
              <w:rPr>
                <w:sz w:val="18"/>
                <w:szCs w:val="18"/>
                <w:color w:val="auto"/>
              </w:rPr>
            </w:pPr>
          </w:p>
        </w:tc>
      </w:tr>
      <w:tr>
        <w:trPr>
          <w:trHeight w:val="216"/>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1,681,941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3,665,725</w:t>
            </w: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1,638,326</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3,898,425</w:t>
            </w:r>
          </w:p>
        </w:tc>
        <w:tc>
          <w:tcPr>
            <w:tcW w:w="100" w:type="dxa"/>
            <w:vAlign w:val="bottom"/>
            <w:shd w:val="clear" w:color="auto" w:fill="EEEEEE"/>
          </w:tcPr>
          <w:p>
            <w:pPr>
              <w:spacing w:after="0"/>
              <w:rPr>
                <w:sz w:val="18"/>
                <w:szCs w:val="18"/>
                <w:color w:val="auto"/>
              </w:rPr>
            </w:pPr>
          </w:p>
        </w:tc>
      </w:tr>
      <w:tr>
        <w:trPr>
          <w:trHeight w:val="234"/>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2,106,180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4,840,861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1994 we have conducted 110 term securitizations of automobile contracts that we originated. As of September 30, 2026, 19 of those securitizations are active and all are structured as secured financings. We generally conduct our securitizations on a quarterly basis, near the beginning of each calendar quarter, resulting in four securitizations per calendar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682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5"/>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2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Receivables Pledged</w:t>
            </w:r>
          </w:p>
        </w:tc>
        <w:tc>
          <w:tcPr>
            <w:tcW w:w="100" w:type="dxa"/>
            <w:vAlign w:val="bottom"/>
          </w:tcPr>
          <w:p>
            <w:pPr>
              <w:spacing w:after="0"/>
              <w:rPr>
                <w:sz w:val="16"/>
                <w:szCs w:val="16"/>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Term</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in Term</w:t>
            </w:r>
          </w:p>
        </w:tc>
      </w:tr>
      <w:tr>
        <w:trPr>
          <w:trHeight w:val="238"/>
        </w:trPr>
        <w:tc>
          <w:tcPr>
            <w:tcW w:w="1200" w:type="dxa"/>
            <w:vAlign w:val="bottom"/>
          </w:tcPr>
          <w:p>
            <w:pPr>
              <w:spacing w:after="0"/>
              <w:rPr>
                <w:sz w:val="20"/>
                <w:szCs w:val="20"/>
                <w:color w:val="auto"/>
              </w:rPr>
            </w:pPr>
          </w:p>
        </w:tc>
        <w:tc>
          <w:tcPr>
            <w:tcW w:w="5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Securitizations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10"/>
        </w:trPr>
        <w:tc>
          <w:tcPr>
            <w:tcW w:w="1200" w:type="dxa"/>
            <w:vAlign w:val="bottom"/>
          </w:tcPr>
          <w:p>
            <w:pPr>
              <w:spacing w:after="0"/>
              <w:rPr>
                <w:sz w:val="18"/>
                <w:szCs w:val="18"/>
                <w:color w:val="auto"/>
              </w:rPr>
            </w:pPr>
          </w:p>
        </w:tc>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100" w:type="dxa"/>
            <w:vAlign w:val="bottom"/>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1,533,854</w:t>
            </w:r>
          </w:p>
        </w:tc>
        <w:tc>
          <w:tcPr>
            <w:tcW w:w="100" w:type="dxa"/>
            <w:vAlign w:val="bottom"/>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1,727,785</w:t>
            </w: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Nine months ended September 30, 2026</w:t>
            </w:r>
          </w:p>
        </w:tc>
        <w:tc>
          <w:tcPr>
            <w:tcW w:w="1540" w:type="dxa"/>
            <w:vAlign w:val="bottom"/>
            <w:shd w:val="clear" w:color="auto" w:fill="EEEEEE"/>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1,613,347</w:t>
            </w: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As of September 30, 2026 our short-term funding capacity was $898.0 million over two credit facilities. The first credit facility was established in May 2012.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2026, we amended our two-year revolving credit agreement with Capital One, N.A. to increase the capacity of the facility. The amendment applies to both Capital One, N.A. and the subordinate lender, and increases the total capacity of the facility from $390 million to $518 million. This facility has a two-year revolving period to October 2027, with an optional amortization period through April 2029.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have also completed financings of our residual interests in other securitizations that we and our affiliates previously sponsored. Most recently, in August 2026, we completed an $80 million securitization of residual interests from previously issued securitizations. In this transaction, a qualified institutional buyer purchased $80.0 million of asset-backed notes. The notes are secured by residual interests in four CPS securitizations issued between April 2022 and April 2023, as well as an 80% interest in a CPS affiliate that owns the residual interests in three CPS securitizations issued between July 2023 and April 2026. The sold notes (“2026-2 Notes”), issued by CPS Auto Securitization Trust 2026-2, consist of a single class with a coupon of 10.25%.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 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warehouse credit facilities and our residual interest financings contain various financial covenants requiring certain minimum financial ratios.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September 30, 2026 we were in compliance with all such financial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September 30, 2026, with the three months ended September 30, 2025</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September 30, 2026, our revenues were $131.9 million, an increase of $23.5 million, or 21.7%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108.4 million. The primary reason for the increase in revenues is the increase in interest income resulting from the increase in the average outstanding balance of finance receivables measured at fair value. Revenues for the three months ended September 30, 2026, did not include a mark to the recorded value of the finance receivables measured at fair value.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no marks to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September 30, 2026, increased $21.9 million, or 20.5% to $129.1 million from $107.2 million in the prior year. The primary reason for the increase in interest income is the 22.2% increase in the average balance of our loan portfolio over the prior year period. The interest yield on our total loan portfolio decreased to 11.3% from 11.4% in the prior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September 30, 2026 and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0"/>
                <w:szCs w:val="20"/>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4,576,289</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129,082</w:t>
            </w:r>
          </w:p>
        </w:tc>
        <w:tc>
          <w:tcPr>
            <w:tcW w:w="174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11.3%   $</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3,745,325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107,166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was $2.8 million for the three months ended September 30, 2026, compared to $1.3 million for the comparable period in 2025. This $1.6 million increase was primarily driven by the dealer recoveries collected for the three months ending September 30, 2026. These dealer recoveries were $1.4 million for the quarter ended September 30, 2026. There were no dealer recoveries in the prior year period. The Company engaged a third party that identifies discrepancies in the values of the vehicles that have been repossessed and sold at auction. The third party attempts to collect the amount of the discrepancy from the dealers and remits the amounts collected to the Company net of fees charged.</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expenses, employee costs, sales and general and administrative expenses. Interest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volume of automobile contracts we purchased during the trailing 12-month period and the use of our warehouse facilities and asset-backed securitizations to finance those contracts and on the interest rates on these facilities.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$121.8 million for the three months ended September 30, 2026, compared to $101.4 million for the prior period, an increase of $20.4 million, or 20.2%. The increase is primarily due to increases in interest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$24.9 million during the three months ended September 30, 2026, compared to $22.5 million for the same quarter in the prior year, an increase of $2.4 million, or 10.7%. The table below summarizes our employees by category as well as contract purchases and units in our managed portfolio as of, and for the three-month periods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815.3</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34,513</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16,832</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4,840.9</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3,898.4</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260,125</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220,284</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headcount within our Servicing and Origination staff throughout the three-month periods ended, September 30, 2026, were the largest contributing factors to the increase to employee costs from the three-month period ended, September 30, 2025 to September 30,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$15.6 million, an increase of $2.9 million from $12.7 million in the prior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2026, was $70.5 million and represented 57.9% of total operating expenses, compared to $59.1 million in the previous year, when it was 58.3% of total operating expenses. The $11.4 million increase in interest expense compared to the prior year period was largely due to increases in the average balance of our securitization trust debt, warehouse credit line debt and residual interest financing debt.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$6.7 million for the three months ended September 30, 2026, compared to the prior period. The average balance of securitization trust debt increased to $3,609.0 million for the three months ended September 30, 2026, compared to $3,039.5 million for the three months ended September 30, 2025. The annualized average rate on our securitization trust debt was 6.0% for the three months ended September 30, 2026, compared to 6.3%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09"/>
        </w:trPr>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Borders>
              <w:top w:val="single" w:sz="8" w:color="EEEEEE"/>
            </w:tcBorders>
            <w:shd w:val="clear" w:color="auto" w:fill="EEEEEE"/>
          </w:tcPr>
          <w:p>
            <w:pPr>
              <w:spacing w:after="0"/>
              <w:rPr>
                <w:sz w:val="18"/>
                <w:szCs w:val="18"/>
                <w:color w:val="auto"/>
              </w:rPr>
            </w:pPr>
          </w:p>
        </w:tc>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June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September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May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2026</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5.18%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2026</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5.51%</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2026</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5.90%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$3.5 million to $10.3 million for the three months ended September 30, 2026, compared to $6.7 million in the prior year period. The increase was primarily due to the higher utilization of our credit lines during the quarter compared to last year. The average balance of our warehouse debt was $510.9 million during the three months ended September 30, 2026, compared to $284.6 million for the same period in 2025. The annualized average rate on our credit line debt was 8.0% for the three months ended September 30, 2026, compared to 9.4% in the prior year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$673,000 for the three months ended September 30, 2026. The average balance of the outstanding subordinated debt was $28.7 million for the three months September 30, 2026, compared to $29.0 million for the prior year period. The average yield of subordinated notes is 9.4% for the three months ended September 30, 2026, compared to 10.0% in the prior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March 2025, March 2026, and again in August 2026, we completed a securitization of residual interests from other previously issued securitizations in the amount of $50 million, $50 million, $65 million, $50 million, and $80 million, respectively. Interest expense for these residual interest financings was $5.3 million for the three months ended September 30, 2026, compared to $4.1 million for the same period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6"/>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69"/>
        </w:trPr>
        <w:tc>
          <w:tcPr>
            <w:tcW w:w="220" w:type="dxa"/>
            <w:vAlign w:val="bottom"/>
            <w:tcBorders>
              <w:top w:val="single" w:sz="8" w:color="EEEEEE"/>
            </w:tcBorders>
            <w:shd w:val="clear" w:color="auto" w:fill="EEEEEE"/>
          </w:tcPr>
          <w:p>
            <w:pPr>
              <w:spacing w:after="0"/>
              <w:rPr>
                <w:sz w:val="14"/>
                <w:szCs w:val="14"/>
                <w:color w:val="auto"/>
              </w:rPr>
            </w:pPr>
          </w:p>
        </w:tc>
        <w:tc>
          <w:tcPr>
            <w:tcW w:w="2260" w:type="dxa"/>
            <w:vAlign w:val="bottom"/>
            <w:tcBorders>
              <w:top w:val="single" w:sz="8" w:color="EEEEEE"/>
            </w:tcBorders>
            <w:gridSpan w:val="4"/>
            <w:shd w:val="clear" w:color="auto" w:fill="EEEEEE"/>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4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100" w:type="dxa"/>
            <w:vAlign w:val="bottom"/>
            <w:tcBorders>
              <w:top w:val="single" w:sz="8" w:color="auto"/>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200" w:type="dxa"/>
            <w:vAlign w:val="bottom"/>
            <w:tcBorders>
              <w:top w:val="single" w:sz="8" w:color="auto"/>
            </w:tcBorders>
            <w:shd w:val="clear" w:color="auto" w:fill="EEEEEE"/>
          </w:tcPr>
          <w:p>
            <w:pPr>
              <w:spacing w:after="0"/>
              <w:rPr>
                <w:sz w:val="14"/>
                <w:szCs w:val="14"/>
                <w:color w:val="auto"/>
              </w:rPr>
            </w:pPr>
          </w:p>
        </w:tc>
        <w:tc>
          <w:tcPr>
            <w:tcW w:w="1100" w:type="dxa"/>
            <w:vAlign w:val="bottom"/>
            <w:tcBorders>
              <w:top w:val="single" w:sz="8" w:color="auto"/>
              <w:right w:val="single" w:sz="8" w:color="EEEEEE"/>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12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08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20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4,576,289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3,745,325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107,166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510,927</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284,638</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6,710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157,775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165,000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3,609,043</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54,269</w:t>
            </w:r>
          </w:p>
        </w:tc>
        <w:tc>
          <w:tcPr>
            <w:tcW w:w="14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3,039,536</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47,581</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28,656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28,976</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EEEEEE"/>
            </w:tcBorders>
            <w:shd w:val="clear" w:color="auto" w:fill="000000"/>
          </w:tcPr>
          <w:p>
            <w:pPr>
              <w:spacing w:after="0" w:line="20" w:lineRule="exact"/>
              <w:rPr>
                <w:sz w:val="1"/>
                <w:szCs w:val="1"/>
                <w:color w:val="auto"/>
              </w:rPr>
            </w:pPr>
          </w:p>
        </w:tc>
        <w:tc>
          <w:tcPr>
            <w:tcW w:w="1480" w:type="dxa"/>
            <w:vAlign w:val="bottom"/>
            <w:gridSpan w:val="3"/>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34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237"/>
        </w:trPr>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4,306,401</w:t>
            </w:r>
          </w:p>
        </w:tc>
        <w:tc>
          <w:tcPr>
            <w:tcW w:w="200" w:type="dxa"/>
            <w:vAlign w:val="bottom"/>
            <w:shd w:val="clear" w:color="auto" w:fill="EEEEEE"/>
          </w:tcPr>
          <w:p>
            <w:pPr>
              <w:spacing w:after="0"/>
              <w:rPr>
                <w:sz w:val="20"/>
                <w:szCs w:val="20"/>
                <w:color w:val="auto"/>
              </w:rPr>
            </w:pPr>
          </w:p>
        </w:tc>
        <w:tc>
          <w:tcPr>
            <w:tcW w:w="11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70,519</w:t>
            </w:r>
          </w:p>
        </w:tc>
        <w:tc>
          <w:tcPr>
            <w:tcW w:w="1480" w:type="dxa"/>
            <w:vAlign w:val="bottom"/>
            <w:gridSpan w:val="3"/>
            <w:vMerge w:val="continue"/>
            <w:shd w:val="clear" w:color="auto" w:fill="EEEEEE"/>
          </w:tcPr>
          <w:p>
            <w:pPr>
              <w:spacing w:after="0"/>
              <w:rPr>
                <w:sz w:val="20"/>
                <w:szCs w:val="20"/>
                <w:color w:val="auto"/>
              </w:rPr>
            </w:pP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3,518,150</w:t>
            </w:r>
          </w:p>
        </w:tc>
        <w:tc>
          <w:tcPr>
            <w:tcW w:w="20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59,098</w:t>
            </w:r>
          </w:p>
        </w:tc>
        <w:tc>
          <w:tcPr>
            <w:tcW w:w="220" w:type="dxa"/>
            <w:vAlign w:val="bottom"/>
            <w:vMerge w:val="continue"/>
            <w:shd w:val="clear" w:color="auto" w:fill="EEEEEE"/>
          </w:tcPr>
          <w:p>
            <w:pPr>
              <w:spacing w:after="0"/>
              <w:rPr>
                <w:sz w:val="20"/>
                <w:szCs w:val="20"/>
                <w:color w:val="auto"/>
              </w:rPr>
            </w:pPr>
          </w:p>
        </w:tc>
        <w:tc>
          <w:tcPr>
            <w:tcW w:w="134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58,563</w:t>
            </w:r>
          </w:p>
        </w:tc>
        <w:tc>
          <w:tcPr>
            <w:tcW w:w="140" w:type="dxa"/>
            <w:vAlign w:val="bottom"/>
            <w:tcBorders>
              <w:bottom w:val="single" w:sz="8" w:color="EEEEEE"/>
            </w:tcBorders>
            <w:shd w:val="clear" w:color="auto" w:fill="EEEEEE"/>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48,068</w:t>
            </w:r>
          </w:p>
        </w:tc>
        <w:tc>
          <w:tcPr>
            <w:tcW w:w="220" w:type="dxa"/>
            <w:vAlign w:val="bottom"/>
            <w:tcBorders>
              <w:bottom w:val="single" w:sz="8" w:color="EEEEEE"/>
            </w:tcBorders>
            <w:shd w:val="clear" w:color="auto" w:fill="EEEEEE"/>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197"/>
        </w:trPr>
        <w:tc>
          <w:tcPr>
            <w:tcW w:w="248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9"/>
        </w:trPr>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60" w:type="dxa"/>
            <w:vAlign w:val="bottom"/>
            <w:gridSpan w:val="9"/>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r>
      <w:tr>
        <w:trPr>
          <w:trHeight w:val="238"/>
        </w:trPr>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9"/>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2025</w:t>
            </w:r>
          </w:p>
        </w:tc>
      </w:tr>
      <w:tr>
        <w:trPr>
          <w:trHeight w:val="201"/>
        </w:trPr>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7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r>
      <w:tr>
        <w:trPr>
          <w:trHeight w:val="238"/>
        </w:trPr>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09"/>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jc w:val="right"/>
              <w:ind w:right="2720"/>
              <w:spacing w:after="0" w:line="176" w:lineRule="exact"/>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200" w:type="dxa"/>
            <w:vAlign w:val="bottom"/>
            <w:tcBorders>
              <w:top w:val="single" w:sz="8" w:color="EEEEEE"/>
            </w:tcBorders>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80" w:type="dxa"/>
            <w:vAlign w:val="bottom"/>
            <w:tcBorders>
              <w:top w:val="single" w:sz="8" w:color="EEEEEE"/>
            </w:tcBorders>
            <w:gridSpan w:val="2"/>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720" w:type="dxa"/>
            <w:vAlign w:val="bottom"/>
            <w:tcBorders>
              <w:top w:val="single" w:sz="8" w:color="EEEEEE"/>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EEEEEE"/>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23,060</w:t>
            </w:r>
          </w:p>
        </w:tc>
        <w:tc>
          <w:tcPr>
            <w:tcW w:w="220" w:type="dxa"/>
            <w:vAlign w:val="bottom"/>
            <w:tcBorders>
              <w:top w:val="single" w:sz="8" w:color="EEEEEE"/>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2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76"/>
        </w:trPr>
        <w:tc>
          <w:tcPr>
            <w:tcW w:w="2200" w:type="dxa"/>
            <w:vAlign w:val="bottom"/>
          </w:tcPr>
          <w:p>
            <w:pPr>
              <w:spacing w:after="0"/>
              <w:rPr>
                <w:sz w:val="15"/>
                <w:szCs w:val="15"/>
                <w:color w:val="auto"/>
              </w:rPr>
            </w:pPr>
          </w:p>
        </w:tc>
        <w:tc>
          <w:tcPr>
            <w:tcW w:w="4680" w:type="dxa"/>
            <w:vAlign w:val="bottom"/>
            <w:gridSpan w:val="6"/>
          </w:tcPr>
          <w:p>
            <w:pPr>
              <w:jc w:val="right"/>
              <w:ind w:right="258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5,331</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1,420</w:t>
            </w:r>
          </w:p>
        </w:tc>
      </w:tr>
      <w:tr>
        <w:trPr>
          <w:trHeight w:val="216"/>
        </w:trPr>
        <w:tc>
          <w:tcPr>
            <w:tcW w:w="2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9,395</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220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3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4680" w:type="dxa"/>
            <w:vAlign w:val="bottom"/>
            <w:gridSpan w:val="6"/>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10,495</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8,521</w:t>
            </w:r>
          </w:p>
        </w:tc>
        <w:tc>
          <w:tcPr>
            <w:tcW w:w="2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1,974</w:t>
            </w:r>
          </w:p>
        </w:tc>
      </w:tr>
      <w:tr>
        <w:trPr>
          <w:trHeight w:val="20"/>
        </w:trPr>
        <w:tc>
          <w:tcPr>
            <w:tcW w:w="22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3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fair value method of accounting, we recognize interest income net of expected credit losses. Thus, no provision for credit loss expense is recorded for finance receivables measured at fair value. Finance receivables acquired before 2018 are recorded at cost, and both their total balance and activity is immaterial.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 based on volume of contract purchases. Sales expense increased by $3.5 to $9.1 million during the three months ended September 30, 2026, from $5.7 million for the same quarter in 2025. We purchased $815.3 million of new contracts during the three months ended September 30, 2026, compared to $391.1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were $1.5 million for the three months ending September 30, 2026, which is up from $1.2 million in the third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$265,000 compared to $207,000 in the previous 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we recorded income tax expense of $3.1 million, representing a 31% effective tax rate. In the prior period, our income tax expense was $2.2 million, representing a 31% effective tax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nine months ended September 30, 2026 with the nine months ended September 30,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nine months ended September 30, 2026, our revenues were $365.6 million, an increase of $40.6 million, or 12.5%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$325.1 million. The primary reason for the increase in revenues is the increase in interest income resulting from the increase in the average outstanding balance of finance receivables measured at fair value. Revenues for the nine months ended September 30, 2026, did not include a mark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no marks to finance receivables measured at fair value. There was a $6.5 million mark up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nine months ended September 30, 2026 increased $41.5 million, or 13.2%, to $355.9 million from $314.5 million in the prior year. The primary reason for the increase in interest income is the 14.7% increase in the average balance of our loan portfolio over the prior year period. The interest yield on our total loan portfolio decreased from 11.4% in the prior year to 11.3%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nine months ended September 30, 2026 and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0"/>
                <w:szCs w:val="20"/>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4,205,328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355,915</w:t>
            </w:r>
          </w:p>
        </w:tc>
        <w:tc>
          <w:tcPr>
            <w:tcW w:w="178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3,666,975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314,462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$9.7 million for the nine months ended September 30, 2026 compared to $4.1 million for the comparable period in 2025. This $5.6 million increase was primarily driven by the dealer recoveries collected for the nine months ended September 30, 2026. These dealer recoveries were $4.0 million for the nine months ended September 30, 2026. There were no dealer recoveries in the prior year period.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employee costs, sales and general and administrative expenses. Interest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were $338.5 million for the nine months ended September 30, 2026, compared to $304.3 million for the prior period, an increase of $34.2 million, or 11.2%. The increase is primarily due to increases in interest expense. To a lesser extent, increases in sales expense also contributed to the increase in operating expenses during the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$71.3 million during the nine months ended September 30, 2026 compared to $71.9 million for the same period in the prior year. The table below summarizes our employees by category as well as contract purchases and units in our managed portfolio as of, and for the nine-month periods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2,106.2</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1,275.3</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91,289</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56,861</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4,840.9</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3,898.4</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260,125</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220,284</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headcount within our Servicing and Originations staff throughout the nine-month periods ended, September 30, 2026, and the decrease in the average employee cost of our Servicing staff from September 30, 2025, were the largest contributing factors to the increase in headcount and decrease to employee costs from the nine-month period ended, September 30, 2025 to September 30,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$43.1 million for the nine months ended September 30, 2026, an increase of $5.5 from $37.7 million in the prior 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2026 was $194.8 million, compared to $172.7 million in the previous year, an increase of $22.1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$14.9 million for the nine months ended September 30, 2026 compared to the prior period. The average balance of securitization trust debt increased to $3,336.2 million for the nine months ended September 30, 2026 compared to $2,904.4 million for the nine months ended September 30, 2025. The annualized average rate on our securitization trust debt was 6.1% for the nine months ended September 30, 2026 compared to 6.3%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Borders>
              <w:top w:val="single" w:sz="8" w:color="EEEEEE"/>
            </w:tcBorders>
            <w:shd w:val="clear" w:color="auto" w:fill="EEEEEE"/>
          </w:tcPr>
          <w:p>
            <w:pPr>
              <w:spacing w:after="0"/>
              <w:rPr>
                <w:sz w:val="18"/>
                <w:szCs w:val="18"/>
                <w:color w:val="auto"/>
              </w:rPr>
            </w:pPr>
          </w:p>
        </w:tc>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June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September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May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2026</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5.18%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2026</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5.51%</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2026</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5.90%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$4.1 million to $25.6 million for the nine months ended September 30, 2026, compared to $21.4 million in the prior year period. The average balance of our warehouse debt was $411.7 million during the nine months ended September 30, 2026, compared to $304.6 million for the same period in 2025. The annualized average rate on our credit line debt was 8.3% for the nine months ended September 30, 2026, compared to 9.4% in the prior 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$2.0 million for the nine months ended September 30, 2026. The average balance of the outstanding subordinated debt increased by $481,000 to $28.5 million for the nine months ended September 30, 2026, compared to $28.0 million for the prior year. The average yield of subordinated notes was 9.5% in the current compare to 9.8%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March 2025, March 2026, and again in August 2026, we completed a securitization of residual interests from other previously issued securitizations in the amount of $50 million, $50 million, $65 million, $50 million, and $80 million, respectively. Interest expense on the residual interest financing was $14.2 million for the nine months ended September 30, 2026 compared to $11.0 million for the same period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69"/>
        </w:trPr>
        <w:tc>
          <w:tcPr>
            <w:tcW w:w="220" w:type="dxa"/>
            <w:vAlign w:val="bottom"/>
            <w:tcBorders>
              <w:top w:val="single" w:sz="8" w:color="EEEEEE"/>
            </w:tcBorders>
            <w:shd w:val="clear" w:color="auto" w:fill="EEEEEE"/>
          </w:tcPr>
          <w:p>
            <w:pPr>
              <w:spacing w:after="0"/>
              <w:rPr>
                <w:sz w:val="14"/>
                <w:szCs w:val="14"/>
                <w:color w:val="auto"/>
              </w:rPr>
            </w:pPr>
          </w:p>
        </w:tc>
        <w:tc>
          <w:tcPr>
            <w:tcW w:w="2260" w:type="dxa"/>
            <w:vAlign w:val="bottom"/>
            <w:tcBorders>
              <w:top w:val="single" w:sz="8" w:color="EEEEEE"/>
            </w:tcBorders>
            <w:gridSpan w:val="4"/>
            <w:shd w:val="clear" w:color="auto" w:fill="EEEEEE"/>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4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100" w:type="dxa"/>
            <w:vAlign w:val="bottom"/>
            <w:tcBorders>
              <w:top w:val="single" w:sz="8" w:color="auto"/>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200" w:type="dxa"/>
            <w:vAlign w:val="bottom"/>
            <w:tcBorders>
              <w:top w:val="single" w:sz="8" w:color="auto"/>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8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2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08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20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4,205,328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355,916</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3,666,975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411,696</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25,551</w:t>
            </w: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304,568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21,439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162,717</w:t>
            </w: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14,192</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146,429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3,336,168</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153,064</w:t>
            </w: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2,904,437</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138,182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28,474</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27,993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EEEEEE"/>
          </w:tcPr>
          <w:p>
            <w:pPr>
              <w:spacing w:after="0" w:line="20" w:lineRule="exact"/>
              <w:rPr>
                <w:sz w:val="1"/>
                <w:szCs w:val="1"/>
                <w:color w:val="auto"/>
              </w:rPr>
            </w:pPr>
          </w:p>
        </w:tc>
        <w:tc>
          <w:tcPr>
            <w:tcW w:w="1460" w:type="dxa"/>
            <w:vAlign w:val="bottom"/>
            <w:gridSpan w:val="3"/>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34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237"/>
        </w:trPr>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3,939,055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194,833</w:t>
            </w:r>
          </w:p>
        </w:tc>
        <w:tc>
          <w:tcPr>
            <w:tcW w:w="80" w:type="dxa"/>
            <w:vAlign w:val="bottom"/>
            <w:vMerge w:val="continue"/>
            <w:shd w:val="clear" w:color="auto" w:fill="EEEEEE"/>
          </w:tcPr>
          <w:p>
            <w:pPr>
              <w:spacing w:after="0"/>
              <w:rPr>
                <w:sz w:val="20"/>
                <w:szCs w:val="20"/>
                <w:color w:val="auto"/>
              </w:rPr>
            </w:pPr>
          </w:p>
        </w:tc>
        <w:tc>
          <w:tcPr>
            <w:tcW w:w="1460" w:type="dxa"/>
            <w:vAlign w:val="bottom"/>
            <w:gridSpan w:val="3"/>
            <w:vMerge w:val="continue"/>
            <w:shd w:val="clear" w:color="auto" w:fill="EEEEEE"/>
          </w:tcPr>
          <w:p>
            <w:pPr>
              <w:spacing w:after="0"/>
              <w:rPr>
                <w:sz w:val="20"/>
                <w:szCs w:val="20"/>
                <w:color w:val="auto"/>
              </w:rPr>
            </w:pP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3,383,427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172,720</w:t>
            </w:r>
          </w:p>
        </w:tc>
        <w:tc>
          <w:tcPr>
            <w:tcW w:w="220" w:type="dxa"/>
            <w:vAlign w:val="bottom"/>
            <w:vMerge w:val="continue"/>
            <w:shd w:val="clear" w:color="auto" w:fill="EEEEEE"/>
          </w:tcPr>
          <w:p>
            <w:pPr>
              <w:spacing w:after="0"/>
              <w:rPr>
                <w:sz w:val="20"/>
                <w:szCs w:val="20"/>
                <w:color w:val="auto"/>
              </w:rPr>
            </w:pPr>
          </w:p>
        </w:tc>
        <w:tc>
          <w:tcPr>
            <w:tcW w:w="134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161,083</w:t>
            </w: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141,742</w:t>
            </w:r>
          </w:p>
        </w:tc>
        <w:tc>
          <w:tcPr>
            <w:tcW w:w="220" w:type="dxa"/>
            <w:vAlign w:val="bottom"/>
            <w:tcBorders>
              <w:bottom w:val="single" w:sz="8" w:color="EEEEEE"/>
            </w:tcBorders>
            <w:shd w:val="clear" w:color="auto" w:fill="EEEEEE"/>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78"/>
        </w:trPr>
        <w:tc>
          <w:tcPr>
            <w:tcW w:w="24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Ratio of average interest earning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9"/>
        </w:trPr>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2025</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right"/>
              <w:ind w:right="9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7"/>
                <w:szCs w:val="17"/>
                <w:color w:val="auto"/>
              </w:rPr>
            </w:pPr>
          </w:p>
        </w:tc>
        <w:tc>
          <w:tcPr>
            <w:tcW w:w="1740" w:type="dxa"/>
            <w:vAlign w:val="bottom"/>
            <w:gridSpan w:val="2"/>
          </w:tcPr>
          <w:p>
            <w:pPr>
              <w:jc w:val="center"/>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240" w:type="dxa"/>
            <w:vAlign w:val="bottom"/>
          </w:tcPr>
          <w:p>
            <w:pPr>
              <w:spacing w:after="0"/>
              <w:rPr>
                <w:sz w:val="17"/>
                <w:szCs w:val="17"/>
                <w:color w:val="auto"/>
              </w:rPr>
            </w:pPr>
          </w:p>
        </w:tc>
        <w:tc>
          <w:tcPr>
            <w:tcW w:w="134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gridSpan w:val="2"/>
          </w:tcPr>
          <w:p>
            <w:pPr>
              <w:spacing w:after="0"/>
              <w:rPr>
                <w:sz w:val="17"/>
                <w:szCs w:val="17"/>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to Volume</w:t>
            </w:r>
          </w:p>
        </w:tc>
        <w:tc>
          <w:tcPr>
            <w:tcW w:w="240" w:type="dxa"/>
            <w:vAlign w:val="bottom"/>
          </w:tcPr>
          <w:p>
            <w:pPr>
              <w:spacing w:after="0"/>
              <w:rPr>
                <w:sz w:val="20"/>
                <w:szCs w:val="20"/>
                <w:color w:val="auto"/>
              </w:rPr>
            </w:pPr>
          </w:p>
        </w:tc>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09"/>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7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120" w:type="dxa"/>
            <w:vAlign w:val="bottom"/>
            <w:tcBorders>
              <w:bottom w:val="single" w:sz="8" w:color="EEEEEE"/>
            </w:tcBorders>
            <w:gridSpan w:val="2"/>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41,454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47,737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(6,283)</w:t>
            </w:r>
          </w:p>
        </w:tc>
      </w:tr>
      <w:tr>
        <w:trPr>
          <w:trHeight w:val="196"/>
        </w:trPr>
        <w:tc>
          <w:tcPr>
            <w:tcW w:w="172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4,112</w:t>
            </w:r>
          </w:p>
        </w:tc>
        <w:tc>
          <w:tcPr>
            <w:tcW w:w="1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8,685</w:t>
            </w:r>
          </w:p>
        </w:tc>
        <w:tc>
          <w:tcPr>
            <w:tcW w:w="24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(4,572)</w:t>
            </w: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3,144</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shd w:val="clear" w:color="auto" w:fill="EEEEEE"/>
          </w:tcPr>
          <w:p>
            <w:pPr>
              <w:spacing w:after="0"/>
              <w:rPr>
                <w:sz w:val="18"/>
                <w:szCs w:val="18"/>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14,882</w:t>
            </w:r>
          </w:p>
        </w:tc>
        <w:tc>
          <w:tcPr>
            <w:tcW w:w="1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22,426</w:t>
            </w:r>
          </w:p>
        </w:tc>
        <w:tc>
          <w:tcPr>
            <w:tcW w:w="24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(7,544)</w:t>
            </w:r>
          </w:p>
        </w:tc>
      </w:tr>
      <w:tr>
        <w:trPr>
          <w:trHeight w:val="229"/>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17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22,113</w:t>
            </w:r>
          </w:p>
        </w:tc>
        <w:tc>
          <w:tcPr>
            <w:tcW w:w="34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31,756</w:t>
            </w:r>
          </w:p>
        </w:tc>
        <w:tc>
          <w:tcPr>
            <w:tcW w:w="3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1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19,341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Sales expense increased to $24.0 million during the nine months ended September 30, 2026 from $17.3 million in the same period in 2025. We purchased $2,106.2 million of new contracts during the nine months ended September 30, 2026 compared to $1,275.3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$4.4 million for the nine months ending September 30, 2026, which is up from $4.0 million for the same period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$739,000 compared to $705,000 in the previous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we recorded income tax expense of $8.4 million, representing a 31% effective tax rate. In the prior period, our income tax expense was $6.4 million, representing a 31%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7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252,657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4,711,049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212,509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3,760,315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3,778,647</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31-60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16,392</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298,060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247,940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272,499</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61-90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7,291</w:t>
            </w: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125,033</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6,924</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111,396</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7,163</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118,304</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57,406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56,223</w:t>
            </w:r>
          </w:p>
        </w:tc>
        <w:tc>
          <w:tcPr>
            <w:tcW w:w="0" w:type="dxa"/>
            <w:vAlign w:val="bottom"/>
          </w:tcPr>
          <w:p>
            <w:pPr>
              <w:spacing w:after="0"/>
              <w:rPr>
                <w:sz w:val="1"/>
                <w:szCs w:val="1"/>
                <w:color w:val="auto"/>
              </w:rPr>
            </w:pPr>
          </w:p>
        </w:tc>
      </w:tr>
      <w:tr>
        <w:trPr>
          <w:trHeight w:val="209"/>
        </w:trPr>
        <w:tc>
          <w:tcPr>
            <w:tcW w:w="3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27,539</w:t>
            </w:r>
          </w:p>
        </w:tc>
        <w:tc>
          <w:tcPr>
            <w:tcW w:w="2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480,498</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418,008</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447,026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98,671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7,173</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111,152</w:t>
            </w:r>
          </w:p>
        </w:tc>
        <w:tc>
          <w:tcPr>
            <w:tcW w:w="0" w:type="dxa"/>
            <w:vAlign w:val="bottom"/>
          </w:tcPr>
          <w:p>
            <w:pPr>
              <w:spacing w:after="0"/>
              <w:rPr>
                <w:sz w:val="1"/>
                <w:szCs w:val="1"/>
                <w:color w:val="auto"/>
              </w:rPr>
            </w:pPr>
          </w:p>
        </w:tc>
      </w:tr>
      <w:tr>
        <w:trPr>
          <w:trHeight w:val="178"/>
        </w:trPr>
        <w:tc>
          <w:tcPr>
            <w:tcW w:w="3280" w:type="dxa"/>
            <w:vAlign w:val="bottom"/>
            <w:tcBorders>
              <w:top w:val="single" w:sz="8" w:color="EEEEEE"/>
            </w:tcBorders>
            <w:shd w:val="clear" w:color="auto" w:fill="EEEEEE"/>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2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0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34,086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579,169</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32,652</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524,915</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34,070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558,178</w:t>
            </w:r>
          </w:p>
        </w:tc>
        <w:tc>
          <w:tcPr>
            <w:tcW w:w="0" w:type="dxa"/>
            <w:vAlign w:val="bottom"/>
          </w:tcPr>
          <w:p>
            <w:pPr>
              <w:spacing w:after="0"/>
              <w:rPr>
                <w:sz w:val="1"/>
                <w:szCs w:val="1"/>
                <w:color w:val="auto"/>
              </w:rPr>
            </w:pPr>
          </w:p>
        </w:tc>
      </w:tr>
      <w:tr>
        <w:trPr>
          <w:trHeight w:val="20"/>
        </w:trPr>
        <w:tc>
          <w:tcPr>
            <w:tcW w:w="3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 gross</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10.90%</w:t>
            </w:r>
          </w:p>
        </w:tc>
        <w:tc>
          <w:tcPr>
            <w:tcW w:w="16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10.20%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as a percentage of gross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12.29%</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one extension, accruing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38,681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722,408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674,431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714,015</w:t>
            </w:r>
          </w:p>
        </w:tc>
        <w:tc>
          <w:tcPr>
            <w:tcW w:w="0" w:type="dxa"/>
            <w:vAlign w:val="bottom"/>
          </w:tcPr>
          <w:p>
            <w:pPr>
              <w:spacing w:after="0"/>
              <w:rPr>
                <w:sz w:val="1"/>
                <w:szCs w:val="1"/>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accruing</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61,563</w:t>
            </w:r>
          </w:p>
        </w:tc>
        <w:tc>
          <w:tcPr>
            <w:tcW w:w="16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1,032,423</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50,593</w:t>
            </w:r>
          </w:p>
        </w:tc>
        <w:tc>
          <w:tcPr>
            <w:tcW w:w="16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794,733</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53,041</w:t>
            </w: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850,629</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100,244</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1,754,831</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1,469,164</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 non-accrual</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29,606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45,848</w:t>
            </w:r>
          </w:p>
        </w:tc>
        <w:tc>
          <w:tcPr>
            <w:tcW w:w="0" w:type="dxa"/>
            <w:vAlign w:val="bottom"/>
          </w:tcPr>
          <w:p>
            <w:pPr>
              <w:spacing w:after="0"/>
              <w:rPr>
                <w:sz w:val="1"/>
                <w:szCs w:val="1"/>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non-accrual (4)</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5,357</w:t>
            </w:r>
          </w:p>
        </w:tc>
        <w:tc>
          <w:tcPr>
            <w:tcW w:w="16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78,818</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5,183</w:t>
            </w:r>
          </w:p>
        </w:tc>
        <w:tc>
          <w:tcPr>
            <w:tcW w:w="16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75,779</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5,285</w:t>
            </w: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77,351</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EEEEEE"/>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2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108,424</w:t>
            </w:r>
          </w:p>
        </w:tc>
        <w:tc>
          <w:tcPr>
            <w:tcW w:w="240" w:type="dxa"/>
            <w:vAlign w:val="bottom"/>
            <w:tcBorders>
              <w:bottom w:val="single" w:sz="8" w:color="EEEEEE"/>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121,396</w:t>
            </w:r>
          </w:p>
        </w:tc>
        <w:tc>
          <w:tcPr>
            <w:tcW w:w="220" w:type="dxa"/>
            <w:vAlign w:val="bottom"/>
            <w:tcBorders>
              <w:bottom w:val="single" w:sz="8" w:color="EEEEEE"/>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2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107,569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1,863,255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1,590,560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1,687,843</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3" w:lineRule="auto"/>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8"/>
        <w:spacing w:after="0" w:line="256" w:lineRule="auto"/>
        <w:tabs>
          <w:tab w:leader="none" w:pos="26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9"/>
                <w:szCs w:val="19"/>
                <w:color w:val="auto"/>
              </w:rPr>
            </w:pPr>
          </w:p>
        </w:tc>
        <w:tc>
          <w:tcPr>
            <w:tcW w:w="1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14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4,576,289</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3,745,325</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3,693,796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(2)</w:t>
            </w: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38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7" w:lineRule="exact"/>
        <w:rPr>
          <w:rFonts w:ascii="Times New Roman" w:cs="Times New Roman" w:eastAsia="Times New Roman" w:hAnsi="Times New Roman"/>
          <w:sz w:val="18"/>
          <w:szCs w:val="18"/>
          <w:i w:val="1"/>
          <w:iCs w:val="1"/>
          <w:color w:val="auto"/>
        </w:rPr>
      </w:pPr>
    </w:p>
    <w:p>
      <w:pPr>
        <w:jc w:val="both"/>
        <w:ind w:firstLine="8"/>
        <w:spacing w:after="0" w:line="253" w:lineRule="auto"/>
        <w:tabs>
          <w:tab w:leader="none" w:pos="257"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2026, and September 30, 2025, percentages represent three months ended September 30, 2026, and September 30, 2025, annualized. December 31, 2025, represents 12 months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an obligor will not be permitted more than two such extensions in any 12-month period and no more than eight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jc w:val="both"/>
        <w:ind w:firstLine="8"/>
        <w:spacing w:after="0" w:line="252" w:lineRule="auto"/>
        <w:tabs>
          <w:tab w:leader="none" w:pos="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September 30, 2026, for accounts that received extensions from 2014 through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Active or Paid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Active 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Charged Off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Charged Off</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 at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Paid Off at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Charged Off &gt;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&gt; 6 Months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&lt;= 6 Months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Avg Months to</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Period of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Extensions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6 Months After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Charge Off</w:t>
            </w:r>
          </w:p>
        </w:tc>
        <w:tc>
          <w:tcPr>
            <w:tcW w:w="0" w:type="dxa"/>
            <w:vAlign w:val="bottom"/>
          </w:tcPr>
          <w:p>
            <w:pPr>
              <w:spacing w:after="0"/>
              <w:rPr>
                <w:sz w:val="1"/>
                <w:szCs w:val="1"/>
                <w:color w:val="auto"/>
              </w:rPr>
            </w:pPr>
          </w:p>
        </w:tc>
      </w:tr>
      <w:tr>
        <w:trPr>
          <w:trHeight w:val="234"/>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Extension</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Granted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Extension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Post Extension</w:t>
            </w:r>
          </w:p>
        </w:tc>
        <w:tc>
          <w:tcPr>
            <w:tcW w:w="0" w:type="dxa"/>
            <w:vAlign w:val="bottom"/>
          </w:tcPr>
          <w:p>
            <w:pPr>
              <w:spacing w:after="0"/>
              <w:rPr>
                <w:sz w:val="1"/>
                <w:szCs w:val="1"/>
                <w:color w:val="auto"/>
              </w:rPr>
            </w:pPr>
          </w:p>
        </w:tc>
      </w:tr>
      <w:tr>
        <w:trPr>
          <w:trHeight w:val="209"/>
        </w:trPr>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25,773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10,417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14,486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870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53,319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21,929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30,059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80,897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34,901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43,019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2,977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133,847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54,577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68,434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10,836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121,531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55,466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53,892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12,173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71,548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40,260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23,382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7,906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83,170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53,344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25,576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47,010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30,811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14,963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56,142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32,944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21,244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1,954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83,113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47,330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32,524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3,259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90,484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61,296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26,547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2,641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110,200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92,466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13,959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3,775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We consider accounts that have had extensions and were active or paid off as of September 30, 2026, to be successful. Successful extensions result in continued payments of interest and principal (including payment in full in many cases). Without extension, however, the account may have defaulted, and we would have likely incurred a substantial loss and no additional interest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34"/>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11,378</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9,409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9,183</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247,045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212,219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210,100</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26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tcPr>
          <w:p>
            <w:pPr>
              <w:spacing w:after="0"/>
              <w:rPr>
                <w:sz w:val="24"/>
                <w:szCs w:val="24"/>
                <w:color w:val="auto"/>
              </w:rPr>
            </w:pPr>
          </w:p>
        </w:tc>
        <w:tc>
          <w:tcPr>
            <w:tcW w:w="262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color w:val="auto"/>
              </w:rPr>
              <w:t>September 30, 2025</w:t>
            </w:r>
          </w:p>
        </w:tc>
        <w:tc>
          <w:tcPr>
            <w:tcW w:w="60" w:type="dxa"/>
            <w:vAlign w:val="bottom"/>
          </w:tcPr>
          <w:p>
            <w:pPr>
              <w:spacing w:after="0"/>
              <w:rPr>
                <w:sz w:val="24"/>
                <w:szCs w:val="24"/>
                <w:color w:val="auto"/>
              </w:rPr>
            </w:pPr>
          </w:p>
        </w:tc>
        <w:tc>
          <w:tcPr>
            <w:tcW w:w="254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91"/>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gridSpan w:val="4"/>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Contracts</w:t>
            </w:r>
          </w:p>
        </w:tc>
        <w:tc>
          <w:tcPr>
            <w:tcW w:w="180" w:type="dxa"/>
            <w:vAlign w:val="bottom"/>
          </w:tcPr>
          <w:p>
            <w:pPr>
              <w:spacing w:after="0"/>
              <w:rPr>
                <w:sz w:val="20"/>
                <w:szCs w:val="20"/>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3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gridSpan w:val="6"/>
          </w:tcPr>
          <w:p>
            <w:pPr>
              <w:jc w:val="right"/>
              <w:ind w:right="33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40,649</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752,014</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39,662</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720,048</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41,504</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759,863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26,116</w:t>
            </w:r>
          </w:p>
        </w:tc>
        <w:tc>
          <w:tcPr>
            <w:tcW w:w="1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468,989</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23,521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404,496</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24,171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421,363</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16,775</w:t>
            </w:r>
          </w:p>
        </w:tc>
        <w:tc>
          <w:tcPr>
            <w:tcW w:w="1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288,481</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14,574</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236,989</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14,963</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246,175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10,751</w:t>
            </w:r>
          </w:p>
        </w:tc>
        <w:tc>
          <w:tcPr>
            <w:tcW w:w="1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172,805</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8,828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134,431</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146,777</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7,136</w:t>
            </w:r>
          </w:p>
        </w:tc>
        <w:tc>
          <w:tcPr>
            <w:tcW w:w="1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106,334</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5,199</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65,084</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5,754</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77,884</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6,142</w:t>
            </w:r>
          </w:p>
        </w:tc>
        <w:tc>
          <w:tcPr>
            <w:tcW w:w="18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74,632</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3,654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29,513</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3,948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35,781</w:t>
            </w:r>
          </w:p>
        </w:tc>
      </w:tr>
      <w:tr>
        <w:trPr>
          <w:trHeight w:val="223"/>
        </w:trPr>
        <w:tc>
          <w:tcPr>
            <w:tcW w:w="328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107,569</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1,863,255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95,438</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1,590,561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99,830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1,687,843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Owned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252,657</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4,711,049</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212,509</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3,760,315</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212,718</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3,778,647</w:t>
            </w:r>
          </w:p>
        </w:tc>
      </w:tr>
      <w:tr>
        <w:trPr>
          <w:trHeight w:val="196"/>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Contracts originated since January 2018 are accounted for at fair value and the economic impact of late payments is incorporated into the estimated net yield on those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nine-month period ended September 30, 2026 was $284.5 million, an increase of $71.3 million, compared to net cash provided by operating activities for the nine-month period ended September 30, 2025 of $213.2 million. Net cash from operating activities is generally provided by net income from operations adjusted for significant non-cash items such as marks to finance receivables measured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$1,191.1 million for the nine months ended September 30, 2026 compared to $492.3 million in the prior year period. Net cash used in investing activities generally relates to new purchases of automobile contracts net of principal payments and other proceeds received during the period. Purchases of finance receivables excluding acquisition fees were $2,067.9 million and $1,275.7 million during the first nine months of 2026 and 2025,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was $914.5 million compared to $293.5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2026, we issued $1,576.6 million in new securitization trust debt compared to $1,280.7 million for the same period in 2025. We repaid $1,103.5 million in securitization trust debt in the nine months ended September 30, 2026 compared to repayments of securitization trust debt of $957.6 million in the prior year period. In the nine months ended September 30, 2026, we had net advances on warehouse lines of credit of $412.5 million, compared to net repayments from warehouse lines of credit of $72.3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September 30, 2026, we had unrestricted cash of $5.1 million and $158.3 million aggregate available borrowings under our two warehouse credit facilities (assuming the availability of sufficient eligible collateral). As of September 30, 2026, we had approximately $14.1 million of such eligible collateral. Our plans to manage our liquidity include maintaining our rate of automobile contract purchases at a level that matches our available capital, and, as appropriate, minimizing our operating costs. During the nine-month period ended September 30, 2026, we completed three securitizations aggregating $1,576.6 million of notes sold.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In addition, from time to time, we have also completed financings of our residual interests in other securitizations that we and our affiliates previously sponsored. There can be no assurance that collections from the related trusts will continue to generate sufficient cash.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events of default were to be accompanied by acceleration of such other indebtedness. As of September 30, 2026, we were in compliance with all such financial covenants.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September 30, 2026, we had approximately $4,413.9 million of debt outstanding. Such debt consisted primarily of $3,458.5 million of securitization trust debt, and also included $735.8 million of warehouse lines of credit, $190.7 million of residual interest financing debt and $28.9 million in subordinated renewable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16, 2026.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2026, we had approximately $4,413.9 million debt outstanding. Such debt consisted primarily of $3,458.5 million of securitization trust debt and $735.8 million of debt from warehouse lines of credit. Our securitization trust debt has increased by $472.0 million while our warehouse lines of credit debt has also increased by $411.0 million since December 31, 2025 (each net of deferred financing costs). Since 2005, we have offered renewable subordinated notes to the public on a continuous basis, and such notes have maturities that range from six months to 10 years. We had $28.9 million and $29.0 million in subordinated renewable notes outstanding at September 30, 2026, and December 31, 2025, respectively. In June 2021, March 2024, March 2025, March 2026, and again in August 2026, we completed a securitization of residual interests from other previously issued securitizations in the amounts of $50 million, $50 million, $65 million, $50 million, and $80 million, respectively. As of September 30, 2026, $190.7 million of the residual interest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4" w:lineRule="exact"/>
        <w:rPr>
          <w:rFonts w:ascii="Arial" w:cs="Arial" w:eastAsia="Arial" w:hAnsi="Arial"/>
          <w:sz w:val="18"/>
          <w:szCs w:val="18"/>
          <w:b w:val="1"/>
          <w:bCs w:val="1"/>
          <w:color w:val="auto"/>
        </w:rPr>
      </w:pPr>
    </w:p>
    <w:p>
      <w:pPr>
        <w:ind w:left="780" w:right="20" w:hanging="259"/>
        <w:spacing w:after="0" w:line="281" w:lineRule="auto"/>
        <w:tabs>
          <w:tab w:leader="none" w:pos="78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amounts available for working capital, capital expenditures and other general corporate purposes.</w:t>
      </w:r>
    </w:p>
    <w:p>
      <w:pPr>
        <w:spacing w:after="0" w:line="162" w:lineRule="exact"/>
        <w:rPr>
          <w:rFonts w:ascii="Arial" w:cs="Arial" w:eastAsia="Arial" w:hAnsi="Arial"/>
          <w:sz w:val="18"/>
          <w:szCs w:val="18"/>
          <w:b w:val="1"/>
          <w:bCs w:val="1"/>
          <w:color w:val="auto"/>
        </w:rPr>
      </w:pPr>
    </w:p>
    <w:p>
      <w:pPr>
        <w:ind w:left="780" w:hanging="259"/>
        <w:spacing w:after="0"/>
        <w:tabs>
          <w:tab w:leader="none" w:pos="78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4" w:lineRule="exact"/>
        <w:rPr>
          <w:rFonts w:ascii="Arial" w:cs="Arial" w:eastAsia="Arial" w:hAnsi="Arial"/>
          <w:sz w:val="18"/>
          <w:szCs w:val="18"/>
          <w:b w:val="1"/>
          <w:bCs w:val="1"/>
          <w:color w:val="auto"/>
        </w:rPr>
      </w:pPr>
    </w:p>
    <w:p>
      <w:pPr>
        <w:ind w:left="780" w:hanging="259"/>
        <w:spacing w:after="0"/>
        <w:tabs>
          <w:tab w:leader="none" w:pos="78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4" w:lineRule="exact"/>
        <w:rPr>
          <w:rFonts w:ascii="Arial" w:cs="Arial" w:eastAsia="Arial" w:hAnsi="Arial"/>
          <w:sz w:val="18"/>
          <w:szCs w:val="18"/>
          <w:b w:val="1"/>
          <w:bCs w:val="1"/>
          <w:color w:val="auto"/>
        </w:rPr>
      </w:pPr>
    </w:p>
    <w:p>
      <w:pPr>
        <w:ind w:left="780" w:hanging="259"/>
        <w:spacing w:after="0"/>
        <w:tabs>
          <w:tab w:leader="none" w:pos="78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ability to borrow additional funds.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the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2026, we repurchased 404,908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8"/>
        </w:trPr>
        <w:tc>
          <w:tcPr>
            <w:tcW w:w="38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60" w:type="dxa"/>
            <w:vAlign w:val="bottom"/>
          </w:tcPr>
          <w:p>
            <w:pPr>
              <w:spacing w:after="0"/>
              <w:rPr>
                <w:sz w:val="20"/>
                <w:szCs w:val="20"/>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2026</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59,016</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9.53</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59,016</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3,079,819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2026</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286,751</w:t>
            </w: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286,751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10,395,004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2026</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59,141</w:t>
            </w: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9.48</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59,141</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9,834,275</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404,908</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340" w:hanging="332"/>
        <w:spacing w:after="0" w:line="253" w:lineRule="auto"/>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August 2026, our board of directors authorized the purchase of an additional $10 million of our common stock. Through September 30, 2026, our board of directors had authorized the purchase of up to $148.2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no director or officer adopted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98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Auto Receivables Trust 2026-C Purchase Agreement dated July 1, 2026, between registrant and CPS Receivables Five LLC</w:t>
            </w:r>
            <w:r>
              <w:rPr>
                <w:rFonts w:ascii="Times New Roman" w:cs="Times New Roman" w:eastAsia="Times New Roman" w:hAnsi="Times New Roman"/>
                <w:sz w:val="18"/>
                <w:szCs w:val="18"/>
                <w:color w:val="000000"/>
              </w:rPr>
              <w:t>**(filed</w:t>
            </w:r>
          </w:p>
        </w:tc>
      </w:tr>
      <w:tr>
        <w:trPr>
          <w:trHeight w:val="218"/>
        </w:trPr>
        <w:tc>
          <w:tcPr>
            <w:tcW w:w="1360" w:type="dxa"/>
            <w:vAlign w:val="bottom"/>
          </w:tcPr>
          <w:p>
            <w:pPr>
              <w:spacing w:after="0"/>
              <w:rPr>
                <w:sz w:val="18"/>
                <w:szCs w:val="18"/>
                <w:color w:val="auto"/>
              </w:rPr>
            </w:pPr>
          </w:p>
        </w:tc>
        <w:tc>
          <w:tcPr>
            <w:tcW w:w="89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herewith)</w:t>
            </w:r>
          </w:p>
        </w:tc>
        <w:tc>
          <w:tcPr>
            <w:tcW w:w="960" w:type="dxa"/>
            <w:vAlign w:val="bottom"/>
            <w:gridSpan w:val="2"/>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Amendment dated July 9, 2026 to Amended and Restated Credit Agreement amongst registrant, Page Eight Funding LLC, Citibank,</w:t>
            </w:r>
          </w:p>
        </w:tc>
      </w:tr>
      <w:tr>
        <w:trPr>
          <w:trHeight w:val="196"/>
        </w:trPr>
        <w:tc>
          <w:tcPr>
            <w:tcW w:w="1360" w:type="dxa"/>
            <w:vAlign w:val="bottom"/>
          </w:tcPr>
          <w:p>
            <w:pPr>
              <w:spacing w:after="0"/>
              <w:rPr>
                <w:sz w:val="17"/>
                <w:szCs w:val="17"/>
                <w:color w:val="auto"/>
              </w:rPr>
            </w:pP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N.A., CAFCO, LLC, Charta, LLC, Ciesco, LLC, CRC Funding, LLC, ABF Auto Holdings 2024-1, LLC, and Oaktree Diversified</w:t>
            </w:r>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Income Fund Inc.</w:t>
            </w:r>
            <w:r>
              <w:rPr>
                <w:rFonts w:ascii="Times New Roman" w:cs="Times New Roman" w:eastAsia="Times New Roman" w:hAnsi="Times New Roman"/>
                <w:sz w:val="18"/>
                <w:szCs w:val="18"/>
                <w:color w:val="000000"/>
              </w:rPr>
              <w:t>**(filed herewith)</w:t>
            </w: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gridSpan w:val="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60" w:hanging="1352"/>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firstLine="31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175" w:lineRule="exact"/>
        <w:rPr>
          <w:rFonts w:ascii="Times New Roman" w:cs="Times New Roman" w:eastAsia="Times New Roman" w:hAnsi="Times New Roman"/>
          <w:sz w:val="18"/>
          <w:szCs w:val="18"/>
          <w:color w:val="auto"/>
        </w:rPr>
      </w:pPr>
    </w:p>
    <w:p>
      <w:pPr>
        <w:ind w:left="540" w:hanging="221"/>
        <w:spacing w:after="0"/>
        <w:tabs>
          <w:tab w:leader="none" w:pos="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25"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By:</w:t>
        <w:tab/>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25"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By:</w:t>
        <w:tab/>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45"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7"/>
          <w:szCs w:val="17"/>
          <w:i w:val="1"/>
          <w:iCs w:val="1"/>
          <w:color w:val="auto"/>
        </w:rPr>
        <w:t>Execution Version</w:t>
      </w:r>
    </w:p>
    <w:p>
      <w:pPr>
        <w:spacing w:after="0" w:line="23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HAS BEEN EXCLUDED FROM THE EXHIBIT BECAUSE IT BOTH (I) IS NOT MATERIAL AND (II) WOULD BE COMPETITIVELY HARMFUL IF PUBLICLY DISCLOSED. SUCH EXCLUDED INFORMATION HAS BEEN MARKED WITH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RECEIVABLES PURCHASE AGREEMENT</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Seller,</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CPS RECEIVABLES FIVE LLC, as</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Dated as of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1185545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742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414"/>
        </w:trPr>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CERTAIN DEFINITIONS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 by or Consent of Noteholders or Securityholders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AND SALE OF RECEIVABLES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and Sale of Receivables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Closing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 of the Purchaser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 of the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 of the Purchaser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 of the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 OF THE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Protection of Right, Title and Interest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Liens or Interests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Expenses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Receivable Files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Non-Petition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MISCELLANEOUS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 of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Events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Seller’s Assignment of Purchased Receivables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6.4</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Conveyance as Sale of Receivables Not Financing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6.5</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Accountants’ Letters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6.8</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6.9</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Expenses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tbl>
      <w:tblPr>
        <w:tblLayout w:type="fixed"/>
        <w:tblInd w:w="18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of the Seller and the Purchaser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 and Cross-References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Waiver of Jury Trial; Jurisdiction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Intention of Parties Regarding Delaware Securitization Act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A - Form of Assignment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B - Schedule of Receivables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C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RECEIVABLES PURCHASE AGREEMENT dated as of July 1, 2026 by and between CONSUMER PORTFOLIO SERVICES, INC., a California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having its principal executive office at 3800 Howard Hughes Pkwy., Suite 1400, Las Vegas, NV 89169, and CPS RECEIVABLES FIVE LLC, a Delaware limited liability company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having its principal executive office at 3800 Howard Hughes Pkwy., Suite 1400, Las Vegas, NV 89169.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the regular course of its business, the Seller purchases and services through its auto loan programs certain motor vehicle retail installment sale contracts and promissory notes and security agreements secured by new and used automobiles, light trucks, vans and minivans acquired by it from motor vehicle dealers and independent finance companies, or originates loans to purchasers of such vehicles evidenced by promissory notes and security agreements; and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Seller and the Purchaser wish to set forth the terms pursuant to which the Receivables (as hereinafter defined), are to be sold by the Seller to the Purchaser, which Receivables will be transferred by the Purchaser to CPS Auto Receivables Trust 2026-C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pursuant to the Sale and Servicing Agreement (as hereinafter defined), which will transfer the Receivables to the Grantor Trust (as hereinafter defined) pursuant to the Grantor Trust Agreement (as hereinafter defined), which will issue a certificate of beneficial ownership in the Grantor Trust to the Trust (the “</w:t>
      </w:r>
      <w:r>
        <w:rPr>
          <w:rFonts w:ascii="Times New Roman" w:cs="Times New Roman" w:eastAsia="Times New Roman" w:hAnsi="Times New Roman"/>
          <w:sz w:val="18"/>
          <w:szCs w:val="18"/>
          <w:u w:val="single" w:color="auto"/>
          <w:color w:val="auto"/>
        </w:rPr>
        <w:t>Grantor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which will be transferred pursuant to the Sale and Servicing Agreement (as hereinafter defined) to the Trust, which will issue notes under the Indenture (as hereinafter defined) representing indebtedness of the Trust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certificates under the Trust Agreement (as hereinafter defined) representing beneficial interests in the Trust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other good and valuable consideration, and the mutual terms and covenants contained herein, the parties hereto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Terms not defined in this Receivables Purchase Agreement shall have the meaning set forth in the Sale and Servicing Agreement and if not defined therein, shall have the meanings set forth in the Indenture. As used in this Receivables Purchase Agreement, the following terms shall, unless the context otherwise requires, have the following meanings (such meanings to be equally applicable to the singular and plural forms of the terms defined):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means, collectively, this Receivables Purchase Agreement and the Assignment.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means the Assignment dated the Closing Date, by the Seller to the Purchaser, relating to the purchase of the Receivables and certain other property related thereto by the Purchaser from the Seller pursuant to this Receivables Purchase Agreement, which shall be in substantially the form attached hereto as Exhibit 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Authoritative Copy</w:t>
      </w:r>
      <w:r>
        <w:rPr>
          <w:rFonts w:ascii="Times New Roman" w:cs="Times New Roman" w:eastAsia="Times New Roman" w:hAnsi="Times New Roman"/>
          <w:sz w:val="18"/>
          <w:szCs w:val="18"/>
          <w:color w:val="auto"/>
        </w:rPr>
        <w:t>” means, with respect to any Electronic Contract that constitutes Electronic Chattel Paper, a copy of such Electronic Contract that is unique, identifiable and, except as otherwise provided in Section 9-105 of the UCC, unalterable, any perceivable rendering of which is marked “View of Authoritative Copy” and has no watermark or other marking that would indicate that it is a “copy” or “duplicate” or not an original or not an “authoritative” copy.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July 22,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CPS</w:t>
      </w:r>
      <w:r>
        <w:rPr>
          <w:rFonts w:ascii="Times New Roman" w:cs="Times New Roman" w:eastAsia="Times New Roman" w:hAnsi="Times New Roman"/>
          <w:sz w:val="18"/>
          <w:szCs w:val="18"/>
          <w:color w:val="auto"/>
        </w:rPr>
        <w:t>” means Consumer Portfolio Services, Inc., a California corporation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means the close of business on June 30, 2026.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means, as applicable (a) “electronic chattel paper” as defined in Section 9-102(a)(31) of the UCC of a Pre-2022 UCC Jurisdiction, or (b) an electronic copy of a record evidencing chattel paper within the meaning of Section 9-314A of the UCC of a Revised UCC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Chattel Paper Condition</w:t>
      </w:r>
      <w:r>
        <w:rPr>
          <w:rFonts w:ascii="Times New Roman" w:cs="Times New Roman" w:eastAsia="Times New Roman" w:hAnsi="Times New Roman"/>
          <w:sz w:val="18"/>
          <w:szCs w:val="18"/>
          <w:color w:val="auto"/>
        </w:rPr>
        <w:t xml:space="preserve">” (i) the delivery to the Indenture Trustee and the Placement Agents of a legal opinion from a nationally recognized law firm to the effect that the Grantor Trust’s security interest in any Receivables that constitute electronic chattel paper under the UCC has been perfected by control pursuant to Section 9-105 of the UCC and (ii) the delivery by the Issuer or the Indenture Trustee of an executed MECCA Joinder pursuant to the Master Electronic Collateral Control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to the Sale and Servicing Agreement, by the Grantor Trust, as contract owner, the Issuer and the Indenture Trustee as secured party.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Contract</w:t>
      </w:r>
      <w:r>
        <w:rPr>
          <w:rFonts w:ascii="Times New Roman" w:cs="Times New Roman" w:eastAsia="Times New Roman" w:hAnsi="Times New Roman"/>
          <w:sz w:val="18"/>
          <w:szCs w:val="18"/>
          <w:color w:val="auto"/>
        </w:rPr>
        <w:t>” means a Contract that was electronically executed and authenticated; provided, that an Electronic Contract that has been Exported shall not constitute an Electronic Contract.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Vault Provider</w:t>
      </w:r>
      <w:r>
        <w:rPr>
          <w:rFonts w:ascii="Times New Roman" w:cs="Times New Roman" w:eastAsia="Times New Roman" w:hAnsi="Times New Roman"/>
          <w:sz w:val="18"/>
          <w:szCs w:val="18"/>
          <w:color w:val="auto"/>
        </w:rPr>
        <w:t>” means eOriginal,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PPM</w:t>
      </w:r>
      <w:r>
        <w:rPr>
          <w:rFonts w:ascii="Times New Roman" w:cs="Times New Roman" w:eastAsia="Times New Roman" w:hAnsi="Times New Roman"/>
          <w:sz w:val="18"/>
          <w:szCs w:val="18"/>
          <w:color w:val="auto"/>
        </w:rPr>
        <w:t>” means the Confidential Private Placement Memorandum dated July 14, 2026, relating to the private placement of the Notes and any amendment or supplement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Trust</w:t>
      </w:r>
      <w:r>
        <w:rPr>
          <w:rFonts w:ascii="Times New Roman" w:cs="Times New Roman" w:eastAsia="Times New Roman" w:hAnsi="Times New Roman"/>
          <w:sz w:val="18"/>
          <w:szCs w:val="18"/>
          <w:color w:val="auto"/>
        </w:rPr>
        <w:t>” means CPS Auto Receivables Grantor Trust 2026-C, governed by the Grantor Trust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Trust Agreement</w:t>
      </w:r>
      <w:r>
        <w:rPr>
          <w:rFonts w:ascii="Times New Roman" w:cs="Times New Roman" w:eastAsia="Times New Roman" w:hAnsi="Times New Roman"/>
          <w:sz w:val="18"/>
          <w:szCs w:val="18"/>
          <w:color w:val="auto"/>
        </w:rPr>
        <w:t>” means the Amended and Restated Trust Agreement dated as of July 22, 2026, by and between the Trust, as depositor, Computershare Trust Company, N.A., as grantor trust trustee, paying agent and certificate registrar, and Wilmington Trust, National Association, as Delaware trustee, as such agreement may be further amended, supplemented or otherwise modified from time to time in accordance with the terms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the Indenture dated as of July 1, 2026, between CPS Auto Receivables Trust 2026-C, as issuer, and Computershare Trust Company, National Association, as indenture trustee, as the same may be amended, supplemented or otherwise modified from time to time in accordance with the terms thereof.</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 Certificate</w:t>
      </w:r>
      <w:r>
        <w:rPr>
          <w:rFonts w:ascii="Times New Roman" w:cs="Times New Roman" w:eastAsia="Times New Roman" w:hAnsi="Times New Roman"/>
          <w:sz w:val="17"/>
          <w:szCs w:val="17"/>
          <w:color w:val="auto"/>
        </w:rPr>
        <w:t>” means, with respect to a Financed Vehicle, an original certificate of title, certificate of lien or other notification (paper or electronic) issued by the Registrar of Titles of the applicable state (or by a third-party service provider authorized by the Registrar of Titles) to a secured party that indicates that the lien of the secured party on the Financed Vehicle is recorded with the State for purposes of establishing the existence and priority of a secured party’s Lien on the Financed Vehicle. In any jurisdiction in which the original certificate of title is required to be given to the registered owner of the Financed Vehicle, the term “Lien Certificate” shall mean only a certificate or notification, paper or electronic, issued to a secured party.</w:t>
      </w:r>
    </w:p>
    <w:p>
      <w:pPr>
        <w:spacing w:after="0" w:line="1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Memorandum</w:t>
      </w:r>
      <w:r>
        <w:rPr>
          <w:rFonts w:ascii="Times New Roman" w:cs="Times New Roman" w:eastAsia="Times New Roman" w:hAnsi="Times New Roman"/>
          <w:sz w:val="18"/>
          <w:szCs w:val="18"/>
          <w:color w:val="auto"/>
        </w:rPr>
        <w:t>” means the Final PPM and the Preliminary PPM, collectively. “</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means the purchaser or co-purchasers of a Financed Vehicle or any other Person who owes or may be liable for payments under a Receivable.</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means a certificate signed by the chairman of the board, the president, any vice chairman of the board, any vice president, the treasurer, the controller or assistant treasurer or any assistant controller, secretary or assistant secretary of CPS, the Seller or the Servicer, as appropriate.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Receivable</w:t>
      </w:r>
      <w:r>
        <w:rPr>
          <w:rFonts w:ascii="Times New Roman" w:cs="Times New Roman" w:eastAsia="Times New Roman" w:hAnsi="Times New Roman"/>
          <w:sz w:val="18"/>
          <w:szCs w:val="18"/>
          <w:color w:val="auto"/>
        </w:rPr>
        <w:t>” means a Receivable, the Obligor of which at the time of application is the debtor in a Federal, State or other bankruptcy, insolvency or similar proceeding, provided that a Receivable shall no longer be considered a Post-Petition Receivable upon the related Obligor receiving a discharge in the related proceeding.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“Preliminary PPM</w:t>
      </w:r>
      <w:r>
        <w:rPr>
          <w:rFonts w:ascii="Times New Roman" w:cs="Times New Roman" w:eastAsia="Times New Roman" w:hAnsi="Times New Roman"/>
          <w:sz w:val="18"/>
          <w:szCs w:val="18"/>
          <w:color w:val="auto"/>
        </w:rPr>
        <w:t>” means the Confidential Preliminary Private Placement Memorandum dated July 9, 2026, relating to the private placement of the Notes and any amendment or supplement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Pre-2022 UCC Jurisdiction</w:t>
      </w:r>
      <w:r>
        <w:rPr>
          <w:rFonts w:ascii="Times New Roman" w:cs="Times New Roman" w:eastAsia="Times New Roman" w:hAnsi="Times New Roman"/>
          <w:sz w:val="18"/>
          <w:szCs w:val="18"/>
          <w:color w:val="auto"/>
        </w:rPr>
        <w:t>” means (i) a jurisdiction that has not enacted the 2022 Amendments, or (ii) a jurisdiction that has enacted the 2022 Amendments, but which amendments are not fully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CPS Receivables Five LLC, a Delaware limited liability company, and its successors and assigns.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means each retail installment sale contract or promissory note and security agreement for a Financed Vehicle transferred to the Purchaser pursuant to the Assignment, which shall be listed on the Schedule of Receivables, and all rights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means this Receivables Purchase Agreement, as this agreement may be amended, supplemented or otherwise modified from time to time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Price</w:t>
      </w:r>
      <w:r>
        <w:rPr>
          <w:rFonts w:ascii="Times New Roman" w:cs="Times New Roman" w:eastAsia="Times New Roman" w:hAnsi="Times New Roman"/>
          <w:sz w:val="18"/>
          <w:szCs w:val="18"/>
          <w:color w:val="auto"/>
        </w:rPr>
        <w:t>” means $734,512,586.22.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 Event</w:t>
      </w:r>
      <w:r>
        <w:rPr>
          <w:rFonts w:ascii="Times New Roman" w:cs="Times New Roman" w:eastAsia="Times New Roman" w:hAnsi="Times New Roman"/>
          <w:sz w:val="18"/>
          <w:szCs w:val="18"/>
          <w:color w:val="auto"/>
        </w:rPr>
        <w:t xml:space="preserve">” shall mean any event that obligates the Seller to repurchase a Receivable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Revised UCC Jurisdiction</w:t>
      </w:r>
      <w:r>
        <w:rPr>
          <w:rFonts w:ascii="Times New Roman" w:cs="Times New Roman" w:eastAsia="Times New Roman" w:hAnsi="Times New Roman"/>
          <w:sz w:val="18"/>
          <w:szCs w:val="18"/>
          <w:color w:val="auto"/>
        </w:rPr>
        <w:t>” means a jurisdiction that has enacted the 2022 Amendments, which amendments are fully in effect.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Servicing Agreement</w:t>
      </w:r>
      <w:r>
        <w:rPr>
          <w:rFonts w:ascii="Times New Roman" w:cs="Times New Roman" w:eastAsia="Times New Roman" w:hAnsi="Times New Roman"/>
          <w:sz w:val="18"/>
          <w:szCs w:val="18"/>
          <w:color w:val="auto"/>
        </w:rPr>
        <w:t>” means the Sale and Servicing Agreement dated as of July 1, 2026, among the Trust as issuer, CPS Receivables Five LLC, as seller, Consumer Portfolio Services, Inc., individually and as servicer, the Grantor Trust and Computershare Trust Company, National Association, as indenture trustee, custodian and backup servicer, as such agreement may be amended, supplemented or otherwise modified from time to time in accordance with the terms thereof.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Receivables</w:t>
      </w:r>
      <w:r>
        <w:rPr>
          <w:rFonts w:ascii="Times New Roman" w:cs="Times New Roman" w:eastAsia="Times New Roman" w:hAnsi="Times New Roman"/>
          <w:sz w:val="18"/>
          <w:szCs w:val="18"/>
          <w:color w:val="auto"/>
        </w:rPr>
        <w:t xml:space="preserve">” means the schedule of Receivables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Schedule of Receivables may be in electronic format), as amended or supplemented from time to time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means CPS, in its capacity as seller of the Receivables and the other Transferred Property relating thereto,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means CPS, in its capacity as Servicer of the Receivables, and its successors and assigns.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Skip Receivable</w:t>
      </w:r>
      <w:r>
        <w:rPr>
          <w:rFonts w:ascii="Times New Roman" w:cs="Times New Roman" w:eastAsia="Times New Roman" w:hAnsi="Times New Roman"/>
          <w:sz w:val="18"/>
          <w:szCs w:val="18"/>
          <w:color w:val="auto"/>
        </w:rPr>
        <w:t>” means a Receivable (i) that is delinquent as of the Closing Date; and (ii) with respect to which CPS (a) has concluded that the address or telephone number of the related Obligor maintained by CPS as of the Closing Date is incorrect and CPS has not been able to obtain revised contact information for such Obligor and (b) has designated the status of the Receivable as “A07” or “F07” in accordance with its servicing procedures.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Property</w:t>
      </w:r>
      <w:r>
        <w:rPr>
          <w:rFonts w:ascii="Times New Roman" w:cs="Times New Roman" w:eastAsia="Times New Roman" w:hAnsi="Times New Roman"/>
          <w:sz w:val="18"/>
          <w:szCs w:val="18"/>
          <w:color w:val="auto"/>
        </w:rPr>
        <w:t>” shall have the meaning specified in Section 2.1(a).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Chattel Paper</w:t>
      </w:r>
      <w:r>
        <w:rPr>
          <w:rFonts w:ascii="Times New Roman" w:cs="Times New Roman" w:eastAsia="Times New Roman" w:hAnsi="Times New Roman"/>
          <w:sz w:val="18"/>
          <w:szCs w:val="18"/>
          <w:color w:val="auto"/>
        </w:rPr>
        <w:t>” means, as applicable, (a) “tangible chattel paper” under and as defined in Section 9-102(a)(79) of the UCC of a Pre-2022 UCC Jurisdiction or (b) a tangible copy of a record evidencing chattel paper within the meaning of 9-314A of the UCC of a Revised UCC Jurisdiction. For the avoidance of doubt, any Electronic Chattel Paper which was been Exported, the printed copy of the Contract shall constitute Tangible Chattel Paper.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means CPS Auto Receivables Trust 2026-C, governed by the Trust Agreement.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means the Amended and Restated Trust Agreement dated as of July 22, 2026, by and between CPS Receivables Five LLC, as depositor, and Wilmington Trust, National Association, as owner trustee, as such agreement may be further amended, supplemented or otherwise modified from time to time in accordance with the terms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relevant jurisdictions.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Unless the context otherwise requires:</w:t>
      </w:r>
    </w:p>
    <w:p>
      <w:pPr>
        <w:spacing w:after="0" w:line="225" w:lineRule="exact"/>
        <w:rPr>
          <w:sz w:val="20"/>
          <w:szCs w:val="20"/>
          <w:color w:val="auto"/>
        </w:rPr>
      </w:pPr>
    </w:p>
    <w:p>
      <w:pPr>
        <w:ind w:left="660" w:firstLine="644"/>
        <w:spacing w:after="0" w:line="282" w:lineRule="auto"/>
        <w:tabs>
          <w:tab w:leader="none" w:pos="19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designated “Articles,” “Sections,” “Subsections” and other subdivisions are to the designated Articles, Sections, Subsections and other subdivisions of this instrument as originally executed.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Receivables Purchase Agreement as a whole and not to any particular Article, Section, Subsection or other subdivision.</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herein has the meaning assigned to it in accordance with generally accepted accounting principles as in effect from time to time;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Action by or Consent of Noteholders or Securityholders</w:t>
      </w:r>
      <w:r>
        <w:rPr>
          <w:rFonts w:ascii="Times New Roman" w:cs="Times New Roman" w:eastAsia="Times New Roman" w:hAnsi="Times New Roman"/>
          <w:sz w:val="18"/>
          <w:szCs w:val="18"/>
          <w:color w:val="auto"/>
        </w:rPr>
        <w:t>. Whenever any provision of this Receivables Purchase Agreement refers to action to be taken, or consented to, by Noteholders or Securityholders, such provision shall be deemed to refer to Noteholders or, as the case may be, Securityholders of record as of the Record Date immediately preceding the date on which such action is to be taken, or consented to, by Noteholders, or as the case may be, Securityholders. Any Note owned by the Seller or any Affiliate thereof, during the time such Note is so owned by them, shall be without voting or consent rights with respect to such Note for any purpose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OF RECEIVABLES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Receivables</w:t>
      </w:r>
      <w:r>
        <w:rPr>
          <w:rFonts w:ascii="Times New Roman" w:cs="Times New Roman" w:eastAsia="Times New Roman" w:hAnsi="Times New Roman"/>
          <w:sz w:val="18"/>
          <w:szCs w:val="18"/>
          <w:color w:val="auto"/>
        </w:rPr>
        <w:t>. On the Closing Date, subject to the terms and conditions of this Receivables Purchase Agreement, the Seller agrees to sell to the Purchaser, and the Purchaser agrees to purchase from the Seller, without recourse (subject to the obligations in this Receivables Purchase Agreement and the Sale and Servicing Agreement), all of the Seller’s right, title and interest in, to and under the Receivables and the other Transferred Property relating thereto. The conveyance to the Purchaser of the Receivables and other Transferred Property relating thereto is intended as a sale free and clear of all Liens and it is intended that the Initial Transferred Property and other property of the Purchaser shall be an absolute conveyance and shall not be part of the Seller’s estate in the event of the filing of a bankruptcy petition by or against the Seller under any bankruptcy law.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ind w:firstLine="644"/>
        <w:spacing w:after="0" w:line="261"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Receivables</w:t>
      </w:r>
      <w:r>
        <w:rPr>
          <w:rFonts w:ascii="Times New Roman" w:cs="Times New Roman" w:eastAsia="Times New Roman" w:hAnsi="Times New Roman"/>
          <w:sz w:val="18"/>
          <w:szCs w:val="18"/>
          <w:color w:val="auto"/>
        </w:rPr>
        <w:t>. On the Closing Date and simultaneously with the transactions to be consummated pursuant to the Trust Agreement, the Indenture and the Sale and Servicing Agreement, the Seller shall sell, transfer, assign, grant, set over and otherwise convey to the Purchaser, without recourse (subject to the obligations herein and in the Sale and Servicing Agreement), all right, title and interest of the Seller in, to and under:</w:t>
      </w:r>
    </w:p>
    <w:p>
      <w:pPr>
        <w:spacing w:after="0" w:line="179" w:lineRule="exact"/>
        <w:rPr>
          <w:rFonts w:ascii="Times New Roman" w:cs="Times New Roman" w:eastAsia="Times New Roman" w:hAnsi="Times New Roman"/>
          <w:sz w:val="18"/>
          <w:szCs w:val="18"/>
          <w:color w:val="auto"/>
        </w:rPr>
      </w:pPr>
    </w:p>
    <w:p>
      <w:pPr>
        <w:ind w:left="640" w:firstLine="652"/>
        <w:spacing w:after="0" w:line="282" w:lineRule="auto"/>
        <w:tabs>
          <w:tab w:leader="none" w:pos="19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Receivables listed in the Schedule of Receivables and all monies received thereunder after the Cutoff Date and all Net Liquidation Proceeds and Recoveries received with respect to such Receivables after the Cutoff Date;</w:t>
      </w:r>
    </w:p>
    <w:p>
      <w:pPr>
        <w:spacing w:after="0" w:line="161" w:lineRule="exact"/>
        <w:rPr>
          <w:rFonts w:ascii="Times New Roman" w:cs="Times New Roman" w:eastAsia="Times New Roman" w:hAnsi="Times New Roman"/>
          <w:sz w:val="18"/>
          <w:szCs w:val="18"/>
          <w:color w:val="auto"/>
        </w:rPr>
      </w:pPr>
    </w:p>
    <w:p>
      <w:pPr>
        <w:ind w:left="640" w:firstLine="652"/>
        <w:spacing w:after="0" w:line="312" w:lineRule="auto"/>
        <w:tabs>
          <w:tab w:leader="none" w:pos="193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interests in the Financed Vehicles granted by the related Obligors pursuant to the Receivables and any other interest of the Seller in such Financed Vehicles, including, without limitation, the Lien Certificates with respect to Financed Vehicles;</w:t>
      </w:r>
    </w:p>
    <w:p>
      <w:pPr>
        <w:spacing w:after="0" w:line="139" w:lineRule="exact"/>
        <w:rPr>
          <w:rFonts w:ascii="Times New Roman" w:cs="Times New Roman" w:eastAsia="Times New Roman" w:hAnsi="Times New Roman"/>
          <w:sz w:val="17"/>
          <w:szCs w:val="17"/>
          <w:color w:val="auto"/>
        </w:rPr>
      </w:pPr>
    </w:p>
    <w:p>
      <w:pPr>
        <w:ind w:left="640" w:right="20" w:firstLine="652"/>
        <w:spacing w:after="0" w:line="282" w:lineRule="auto"/>
        <w:tabs>
          <w:tab w:leader="none" w:pos="19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from claims on any physical damage, credit life and credit accident and health insurance policies or certificates relating to the Financed Vehicles securing the Receivables or the Obligors thereunder;</w:t>
      </w:r>
    </w:p>
    <w:p>
      <w:pPr>
        <w:spacing w:after="0" w:line="161"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from recourse against Dealers with respect to the Receivables;</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9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for the costs of extended service contracts with respect to Financed Vehicles securing the Receivables, refunds of unearned premiums with respect to credit life and credit accident and health insurance policies or certificates covering an Obligor or Financed Vehicle or an Obligor’s obligations with respect to a Receivable or a Financed Vehicle and any recourse to Dealers for any of the foregoing;</w:t>
      </w:r>
    </w:p>
    <w:p>
      <w:pPr>
        <w:spacing w:after="0" w:line="179"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File related to each Receivable;</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9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(including the right to receive future Net Liquidation Proceeds) that secures a Receivable that has been acquired by or on behalf of the Seller, pursuant to a liquidation of such Receivable; and</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9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insurance proceeds, condemnation awards, rights to payment of any and every kind and other forms of obligations and receivables, instruments and other property which at any time constitute all or part of or are included in the proceeds of any of the foregoing (collectively, the “</w:t>
      </w:r>
      <w:r>
        <w:rPr>
          <w:rFonts w:ascii="Times New Roman" w:cs="Times New Roman" w:eastAsia="Times New Roman" w:hAnsi="Times New Roman"/>
          <w:sz w:val="18"/>
          <w:szCs w:val="18"/>
          <w:u w:val="single" w:color="auto"/>
          <w:color w:val="auto"/>
        </w:rPr>
        <w:t>Initial Transferred Property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44"/>
        <w:spacing w:after="0" w:line="258"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Purchase Price</w:t>
      </w:r>
      <w:r>
        <w:rPr>
          <w:rFonts w:ascii="Times New Roman" w:cs="Times New Roman" w:eastAsia="Times New Roman" w:hAnsi="Times New Roman"/>
          <w:sz w:val="18"/>
          <w:szCs w:val="18"/>
          <w:color w:val="auto"/>
        </w:rPr>
        <w:t xml:space="preserve">. In consideration for the Receivables and other Transferred Property described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Purchaser shall, on the Closing Date, pay to the Seller the Receivables Purchase Price. An amount equal to [***] of the Receivables Purchase Price shall be paid to the Seller in cash. The remaining [***] of the Receivables Purchase Price shall be deemed paid and returned to the Purchaser and be considered a contribution to the Purchaser’s capital. The portion of the Receivables Purchase Price to be paid in cash shall be by federal wire transfer (same day) funds.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54" w:name="page55"/>
    <w:bookmarkEnd w:id="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sale and purchase of the Initial Receivables shall take place at a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at the offices of Alston &amp; Bird LLP, 2200 Ross Avenue, 23rd Floor, Dallas, Texas 75201 on the Closing Date, simultaneously with the closings under: (a) the Grantor Trust Agreement pursuant to which the Purchaser will convey all of its right, title and interest in, to and under the Initial Receivables and the Initial Transferred Property to the Grantor Trust in exchange for the Grantor Trust Certificate representing the beneficial interest in the Grantor Trust Estate, (b) the Sale and Servicing Agreement pursuant to which the Purchaser will convey all of its right, title and interest in, to and under in the Grantor Trust Certificate and its rights under the Grantor Trust Agreement to the Trust for the benefit of the Securityholders, (C) the Trust Agreement pursuant to which the Trust shall be formed and the Certificates will be issued, and (d) the Indenture pursuant to which the Trust will issue the Notes.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to the Seller as of the date hereof and as of the Closing Date (which representations and warranties shall survive the Closing Date):</w:t>
      </w:r>
    </w:p>
    <w:p>
      <w:pPr>
        <w:spacing w:after="0" w:line="162" w:lineRule="exact"/>
        <w:rPr>
          <w:sz w:val="20"/>
          <w:szCs w:val="20"/>
          <w:color w:val="auto"/>
        </w:rPr>
      </w:pPr>
    </w:p>
    <w:p>
      <w:pPr>
        <w:jc w:val="both"/>
        <w:ind w:left="660" w:firstLine="644"/>
        <w:spacing w:after="0" w:line="261" w:lineRule="auto"/>
        <w:tabs>
          <w:tab w:leader="none" w:pos="19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Purchaser has been duly formed and is validly existing as a limited liability company solely under the laws of the State of Delaware, in good standing thereunder, with power and authority to own its properties and to conduct its business as such properties shall be currently owned and such business is presently conducted, and had at all relevant times, and shall have, power, authority and legal right to acquire and own the Receivables.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The Purchaser is duly qualified to do business as a foreign limited liability company in good standing, and has obtained all necessary licenses and approvals in all jurisdictions in which the ownership or lease of property or the conduct of its business or the consummation of any of the transactions contemplated by the Basic Documents shall require such qualifications.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The Purchaser has the power and authority to execute and deliver the Agreements and to carry out their respective terms and the execution, delivery and performance of the Agreements have been duly authorized by the Purchaser by all necessary entity action.</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w:t>
      </w:r>
      <w:r>
        <w:rPr>
          <w:rFonts w:ascii="Times New Roman" w:cs="Times New Roman" w:eastAsia="Times New Roman" w:hAnsi="Times New Roman"/>
          <w:sz w:val="18"/>
          <w:szCs w:val="18"/>
          <w:color w:val="auto"/>
        </w:rPr>
        <w:t>. The Agreements shall constitute a legal, valid and binding obligations of the Purchaser enforceable in accordance with their respective terms.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the Purchaser of the Agreements and the consummation of the transactions contemplated hereby and thereby and the fulfillment of the terms hereof and thereof do not conflict with, result in a breach of any of the terms and provisions of, nor constitute (with or without notice or lapse of time or both) a default under, the certificate of formation or limited liability company agreement of the Purchaser, or any indenture, agreement, mortgage, deed of trust, or other instrument to which the Purchaser is a party or by which it is bound or to which any of its properties are subject; nor result in the creation or imposition of any lien upon any of its properties pursuant to the terms of any indenture, agreement, mortgage, deed of trust, or other instrument (other than the Basic Documents); nor violate any law, order, rule or regulation applicable to the Purchaser of any court or of any Federal or State regulatory body, administrative agency or other governmental instrumentality having jurisdiction over the Purchaser or its properties.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ind w:left="4" w:firstLine="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There are no proceedings or investigations pending, or to the Purchaser’s best knowledge, threatened, before any court, regulatory body, administrative agency or other governmental instrumentality having jurisdiction over the Purchaser or its properties:</w:t>
      </w:r>
    </w:p>
    <w:p>
      <w:pPr>
        <w:jc w:val="both"/>
        <w:ind w:left="4" w:hanging="4"/>
        <w:spacing w:after="0" w:line="253"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the invalidity of the Agreements, any other Basic Document or the Securities; (B) seeking to prevent the issuance of the Securities or the consummation of any of the transactions contemplated by the Agreements or the other Basic Documents; (C) seeking any determination or ruling that might materially and adversely affect the performance by the Purchaser of its obligations under, or the validity or enforceability of, the Agreements, the other Basic Documents or the Securities; or (D) relating to the Purchaser and which might adversely affect the Federal or State income, excise, franchise or similar tax attributes of the Securities.</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No consent, approval, authorization or order of or declaration or filing with any governmental authority is required to be obtained by the Purchaser for the issuance or sale of the Securities or the consummation of the other transactions contemplated by the Agreements, the Trust Agreement, the Indenture or the Sale and Servicing Agreement or any other Basic Document, except such as have been duly made or obtained.</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Assignment</w:t>
      </w:r>
      <w:r>
        <w:rPr>
          <w:rFonts w:ascii="Times New Roman" w:cs="Times New Roman" w:eastAsia="Times New Roman" w:hAnsi="Times New Roman"/>
          <w:sz w:val="18"/>
          <w:szCs w:val="18"/>
          <w:color w:val="auto"/>
        </w:rPr>
        <w:t>. Each Receivable has been validly assigned by the Purchaser to the Issuer on the Closing Date pursuant to the Sale and Servicing Agreement; and no Receivable has or will have been sold, transferred, assigned or pledged by the Purchaser to any Person other than the Issuer.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Representations and Warranties of the 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represents and warrants to the Purchaser as of the date hereof and as of the Closing Date (which representations and warranties shall survive the Closing Date):</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9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Seller has been duly incorporated and is validly existing as a corporation in good standing under the laws of the State of California, with power and authority to own its properties and to conduct its business as such properties shall be currently owned and such business is presently conducted and had at all relevant times, and shall have, power, authority and legal right to acquire, own and service the Receivables.</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19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The Seller is duly qualified to do business as a foreign corporation in good standing, and has obtained all necessary licenses and approvals in all jurisdictions in which the ownership or lease of property or the conduct of its business or the consummation of any of the transactions contemplated by the Basic Documents (including the origination and the servicing of the Receivables as required by the Sale and Servicing Agreement) shall require such qualifications, except where such failure would not have a material adverse effect on the Seller, or impair in any material respect any Receivable.</w:t>
      </w:r>
    </w:p>
    <w:p>
      <w:pPr>
        <w:spacing w:after="0" w:line="183"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9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The Seller has the power and authority to execute and deliver the Agreements and to carry out their terms; the Seller has full power and authority to sell and assign the property sold and assigned to the Purchaser and has duly authorized such sale and assignment to the Purchaser by all necessary corporate action; and the execution, delivery and performance of the Agreements have been duly authorized by the Seller by all necessary corporate action.</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9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Sale; Binding Obligation</w:t>
      </w:r>
      <w:r>
        <w:rPr>
          <w:rFonts w:ascii="Times New Roman" w:cs="Times New Roman" w:eastAsia="Times New Roman" w:hAnsi="Times New Roman"/>
          <w:sz w:val="18"/>
          <w:szCs w:val="18"/>
          <w:color w:val="auto"/>
        </w:rPr>
        <w:t xml:space="preserve">. This Receivables Purchase Agreement effects a valid sale, transfer and assignment of the Receivables and the other Transferred Property conveyed to the Purchaser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enforceable against creditors of and purchasers from the Seller; and this Agreement shall constitute a legal, valid and binding obligation of the Seller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56" w:name="page57"/>
    <w:bookmarkEnd w:id="56"/>
    <w:p>
      <w:pPr>
        <w:jc w:val="both"/>
        <w:ind w:left="180" w:firstLine="652"/>
        <w:spacing w:after="0" w:line="254" w:lineRule="auto"/>
        <w:tabs>
          <w:tab w:leader="none" w:pos="14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the Seller of the Agreements and the consummation of the transactions contemplated hereby and thereby and the fulfillment of the terms hereof and thereof do not conflict with, result in any breach of any of the terms and provisions of, nor constitute (with or without notice or lapse of time or both) a default under, the articles of incorporation, as amended, or by-laws of the Seller, or any indenture, agreement, mortgage, deed of trust, or other instrument to which the Seller is a party or by which it is bound or to which any of its properties are subject; nor result in the creation or imposition of any lien upon any of its properties pursuant to the terms of any such indenture, agreement, mortgage, deed of trust, or other instrument (other than the Basic Documents); nor violate any law, order, rule or regulation applicable to the Seller of any court or of any Federal or State regulatory body, administrative agency or other governmental instrumentality having jurisdiction over the Seller or its properties.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4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There are no proceedings or investigations pending, or to the Seller’s best knowledge, threatened, before any court, regulatory body, administrative agency, or other governmental instrumentality having jurisdiction over the Seller or its properties: (A) asserting the invalidity of the Agreements, the other Basic Documents or the Securities; (B) seeking to prevent the issuance of the Securities or the consummation of any of the transactions contemplated by the Agreements or the other Basic Documents;</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4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any determination or ruling that might materially and adversely affect the performance by the Seller of its obligations under, or the validity or enforceability of, the Agreements, the other Basic Documents or the Securities; or (D) relating to the Seller and which might adversely affect the Federal or State income, excise, franchise or similar tax attributes of the Securities.</w:t>
      </w:r>
    </w:p>
    <w:p>
      <w:pPr>
        <w:spacing w:after="0" w:line="18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No consent, approval, authorization or order of or declaration or filing with any governmental authority is required for the issuance or sale of the Securities or the consummation of the other transactions contemplated by this Receivables Purchase Agreement, the Trust Agreement, the Grantor Trust Agreement, the Indenture, the Sale and Servicing Agreement or any other Basic Document, except such as have been duly made or obtained.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Seller is able to and does pay its liabilities as they mature. The Seller is not in default under any obligation to pay money to any Person except for matters being disputed in good faith which do not involve an obligation of the Seller on a promissory note. The Seller will not use the proceeds from the transactions contemplated by the Agreements to give any preference to any creditor or class of creditors, and this transaction will not leave the Seller with remaining assets that are unreasonably small compared to its ongoing operations.</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Fraudulent Conveyance</w:t>
      </w:r>
      <w:r>
        <w:rPr>
          <w:rFonts w:ascii="Times New Roman" w:cs="Times New Roman" w:eastAsia="Times New Roman" w:hAnsi="Times New Roman"/>
          <w:sz w:val="18"/>
          <w:szCs w:val="18"/>
          <w:color w:val="auto"/>
        </w:rPr>
        <w:t>. The Seller is not selling the Receivables to the Purchaser with any intent to hinder, delay or defraud any of its creditors; the Seller will not be rendered insolvent as a result of the sale of the Receivables to the Purchaser.</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Statements and Reports</w:t>
      </w:r>
      <w:r>
        <w:rPr>
          <w:rFonts w:ascii="Times New Roman" w:cs="Times New Roman" w:eastAsia="Times New Roman" w:hAnsi="Times New Roman"/>
          <w:sz w:val="18"/>
          <w:szCs w:val="18"/>
          <w:color w:val="auto"/>
        </w:rPr>
        <w:t>. The officer’s certificates, statements, reports and other documents prepared by the Seller and furnished by the Seller to the Purchaser, the Indenture Trustee or the Placement Agents pursuant to this Receivables Purchase Agreement or any other Basic Document to which it is a party, and in connection with the transactions contemplated hereby and thereby, when taken as a whole, do not contain any untrue statement of material fact or omit to state a material fact necessary to make the statements contained herein or therein not misleading.</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Intention</w:t>
      </w:r>
      <w:r>
        <w:rPr>
          <w:rFonts w:ascii="Times New Roman" w:cs="Times New Roman" w:eastAsia="Times New Roman" w:hAnsi="Times New Roman"/>
          <w:sz w:val="18"/>
          <w:szCs w:val="18"/>
          <w:color w:val="auto"/>
        </w:rPr>
        <w:t>. The Receivables and the other Transferred Property are being transferred with the intention of removing them from Seller’s estate pursuant to Section 541 of the United States Bankruptcy Code, as the same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57" w:name="page58"/>
    <w:bookmarkEnd w:id="57"/>
    <w:p>
      <w:pPr>
        <w:jc w:val="both"/>
        <w:ind w:left="-460" w:firstLine="644"/>
        <w:spacing w:after="0" w:line="258" w:lineRule="auto"/>
        <w:tabs>
          <w:tab w:leader="none" w:pos="8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makes the following representations and warranties as to the Receivables and the other Transferred Property relating thereto on which the Purchaser relies in accepting the Receivables and the other Transferred Property relating thereto. Such representations and warranties speak as of the Closing Date, but shall survive the sale, transfer, and assignment of the Receivables and the other Transferred Property relating thereto to the Purchaser and the subsequent assignments and transfers pursuant to the Sale and Servicing Agreement and Grantor Trust Agreement, and the pledge of the Grantor Trust Certificate to the Indenture Trustee:</w:t>
      </w:r>
    </w:p>
    <w:p>
      <w:pPr>
        <w:spacing w:after="0" w:line="183"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Characteristics of Receivables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13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Receivable (1) has been originated in the United States of America by CPS or a Dealer for the retail sale of a Financed Vehicle in the ordinary course of CPS’s or such Dealer’s business (and CPS or such Dealer had all necessary licenses and permits to originate such Receivable in the state where such Dealer was located or where the Receivable was originated), has been fully and properly executed by the parties thereto, has been purchased or originated by the Seller in connection with the related Obligor’s purchase of the related Financed Vehicle and has been validly assigned by such Dealer to the Seller, if not originated by CPS, and has been validly assigned from the Seller to the Purchaser in accordance with its terms,</w:t>
      </w:r>
    </w:p>
    <w:p>
      <w:pPr>
        <w:spacing w:after="0" w:line="5" w:lineRule="exact"/>
        <w:rPr>
          <w:rFonts w:ascii="Times New Roman" w:cs="Times New Roman" w:eastAsia="Times New Roman" w:hAnsi="Times New Roman"/>
          <w:sz w:val="18"/>
          <w:szCs w:val="18"/>
          <w:color w:val="auto"/>
        </w:rPr>
      </w:pPr>
    </w:p>
    <w:p>
      <w:pPr>
        <w:jc w:val="both"/>
        <w:ind w:left="8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created a valid, subsisting, and enforceable first priority perfected security interest in favor of the Seller in the Financed Vehicle, which security interest has been assigned by the Seller to the Purchaser pursuant to this Receivables Purchase Agreement, which in turn has assigned such security interest to the Grantor Trust, (3) contains customary and enforceable provisions such that the rights and remedies of the holder or assignee thereof shall be adequate for realization against the collateral of the benefits of the security including, without limitation, a right of repossession following a default, (4) provides for level monthly scheduled payments in U.S. dollars that fully amortize the Amount Financed over the original term (except for the last scheduled payment, which may be different from the level monthly payment) and yield interest at the Annual Percentage Rate, (5) has an Annual Percentage Rate of not less than [***] and not greater than [***], (6) is a Simple Interest Receivable, (7) if originated by a Dealer, was sold by such Dealer without any fraud or misrepresentation on the part of such Dealer, (8) is denominated in U.S. dollars and (9) provides, in the case of a prepayment, for the full payment of the Principal Balance thereof plus accrued interest through the date of prepayment based on the Annual Percentage Rate of the Receivable.</w:t>
      </w:r>
    </w:p>
    <w:p>
      <w:pPr>
        <w:spacing w:after="0" w:line="192"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13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of the aggregate Principal Balance of the Receivables as of the Cutoff Date represents financing of used automobiles, light trucks, vans or minivans; the remainder of the Receivables represent financing of new vehicles; approximately [***] of the aggregate Principal Balance of the Receivables as of the Cutoff Date were originated under the CPS Preferred Program; approximately [***] of the aggregate Principal Balance of the Receivables as of the Cutoff Date were originated under the CPS Alpha Program; approximately [***] of the aggregate Principal Balance of the Receivables as of the Cutoff Date were originated under the CPS Delta Program; approximately [***] of the Receivables as of the Cutoff Date were originated under the CPS First-Time Buyer Program; approximately [***] of the aggregate Principal Balance of the Receivables as of the Cutoff Date were originated under the CPS Standard Program; approximately [***] of the aggregate Principal Balance of the Receivables as of the Cutoff Date were originated under the CPS Super Alpha Program; approximately [***] of the aggregate Principal Balance of the Receivables as of the Cutoff Date were originated under the CPS Alpha Plus Program; all of the Receivables were acquired by the Seller; approximately [***] of the aggregate Principal Balance of the Receivables as of the Cutoff Date were Post-Petition Receivables; each Receivable has a final scheduled payment due no later than [***] and each Receivable was originated on or before the Cutoff Date.</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Receivables Characteristics</w:t>
      </w:r>
      <w:r>
        <w:rPr>
          <w:rFonts w:ascii="Times New Roman" w:cs="Times New Roman" w:eastAsia="Times New Roman" w:hAnsi="Times New Roman"/>
          <w:sz w:val="18"/>
          <w:szCs w:val="18"/>
          <w:color w:val="auto"/>
        </w:rPr>
        <w:t>. (A) As of the Cutoff Date, no Receivable is more than [***] [***] contractually past due with respect to any Scheduled Receivable Payment, and no extensions were granted by the Servicer to satisfy such representation; and (B) as of the Closing Date, (I) no Receivable is a Skip Receivable and (II) no Receivable is more than [***] [***] contractually past due with respect to any Scheduled Receivable Payment.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58" w:name="page59"/>
    <w:bookmarkEnd w:id="58"/>
    <w:p>
      <w:pPr>
        <w:jc w:val="both"/>
        <w:ind w:left="180" w:firstLine="652"/>
        <w:spacing w:after="0" w:line="266"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of Receivables; Selection Procedures</w:t>
      </w:r>
      <w:r>
        <w:rPr>
          <w:rFonts w:ascii="Times New Roman" w:cs="Times New Roman" w:eastAsia="Times New Roman" w:hAnsi="Times New Roman"/>
          <w:sz w:val="18"/>
          <w:szCs w:val="18"/>
          <w:color w:val="auto"/>
        </w:rPr>
        <w:t xml:space="preserve">. The information with respect to the Receivables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is true and correct in all material respects as of the close of business on the Cutoff Date; and no selection procedures adverse to the Securityholders have been utilized in selecting the Receivables.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Each Receivable, the sale of the Financed Vehicle and the sale of any physical damage, credit life, credit accident and health insurance and extended warranties or service contracts (A) complied at the time the related Receivable was originated or made and at the Closing Date complies in all material respects with all requirements of applicable Federal, State, and local laws, and regulations thereunder including, without limitation, usury laws, the Federal Truth-in-Lending Act, the Equal Credit Opportunity Act, the Fair Credit Reporting Act, the Fair Debt Collection Practices Act, the Federal Trade Commission Act, the Magnuson-Moss Warranty Act, the Federal Reserve Board’s Regulations B and Z, the Servicemembers Civil Relief Act, the Military Reservist Relief Act, the Texas Consumer Credit Code, the California Automobile Sales Finance Act and State adaptations of the National Consumer Act and of the Uniform Consumer Credit Code, and all other applicable consumer credit laws and equal credit opportunity and disclosure laws, and (B) without limiting the generality of the foregoing, is not subject to liabilities or is not rendered unenforceable based on general theories of contract limitation or relief including, without limitation, theories based on unconscionable, deceptive, unfair, or predatory sales or financing practices.</w:t>
      </w:r>
    </w:p>
    <w:p>
      <w:pPr>
        <w:spacing w:after="0" w:line="19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 Obligor</w:t>
      </w:r>
      <w:r>
        <w:rPr>
          <w:rFonts w:ascii="Times New Roman" w:cs="Times New Roman" w:eastAsia="Times New Roman" w:hAnsi="Times New Roman"/>
          <w:sz w:val="18"/>
          <w:szCs w:val="18"/>
          <w:color w:val="auto"/>
        </w:rPr>
        <w:t>. None of the Receivables are due from the United States of America or any State or from any agency, department, or instrumentality of the United States of America or any State.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 in Financed Vehicle</w:t>
      </w:r>
      <w:r>
        <w:rPr>
          <w:rFonts w:ascii="Times New Roman" w:cs="Times New Roman" w:eastAsia="Times New Roman" w:hAnsi="Times New Roman"/>
          <w:sz w:val="18"/>
          <w:szCs w:val="18"/>
          <w:color w:val="auto"/>
        </w:rPr>
        <w:t>. Immediately subsequent to the sale, assignment and transfer thereof to the Purchaser, each Receivable shall be secured by a validly perfected first priority security interest in the Financed Vehicle in favor of the Seller as secured party, which security interest has been validly assigned by the Seller to the Purchaser and by the Purchaser to the Grantor Trust, and such assigned security interest is prior to all other liens upon and security interests in such Financed Vehicle that now exist or may hereafter arise or be created (except, as to priority, for any tax liens or mechanics’ liens that may arise after the Cutoff Date).</w:t>
      </w:r>
    </w:p>
    <w:p>
      <w:pPr>
        <w:spacing w:after="0" w:line="183"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in Force</w:t>
      </w:r>
      <w:r>
        <w:rPr>
          <w:rFonts w:ascii="Times New Roman" w:cs="Times New Roman" w:eastAsia="Times New Roman" w:hAnsi="Times New Roman"/>
          <w:sz w:val="18"/>
          <w:szCs w:val="18"/>
          <w:color w:val="auto"/>
        </w:rPr>
        <w:t>. No Receivable has been satisfied, subordinated or rescinded, nor has any Financed Vehicle been released from the lien granted by the related Receivable in whole or in part.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Except as permitted under Section 4.2 of the Sale and Servicing Agreement and clause (ix) below, no provision of a Receivable has been waived.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Amendments</w:t>
      </w:r>
      <w:r>
        <w:rPr>
          <w:rFonts w:ascii="Times New Roman" w:cs="Times New Roman" w:eastAsia="Times New Roman" w:hAnsi="Times New Roman"/>
          <w:sz w:val="18"/>
          <w:szCs w:val="18"/>
          <w:color w:val="auto"/>
        </w:rPr>
        <w:t>. The terms of the related Contract have not been waived, altered, amended or modified (including, without limitation, extensions) in any respect, except by instruments or documents identified in the Receivable File with respect thereto, and no such waiver, alteration, amendment or modification has caused such Receivable to fail to meet all of the representations, warranties, and conditions set forth herein with respect thereto. Such Contract constitutes the entire agreement between the Seller and the related Obligor.</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Defenses</w:t>
      </w:r>
      <w:r>
        <w:rPr>
          <w:rFonts w:ascii="Times New Roman" w:cs="Times New Roman" w:eastAsia="Times New Roman" w:hAnsi="Times New Roman"/>
          <w:sz w:val="18"/>
          <w:szCs w:val="18"/>
          <w:color w:val="auto"/>
        </w:rPr>
        <w:t>. No right of rescission, setoff, counterclaim or defense exists or has been asserted or threatened with respect to any Receivable. The operation of the terms of any Receivable or the exercise of any right thereunder will not render such Receivable unenforceable in whole or in part and such Receivable is not subject to any such right of rescission, setoff, counterclaim, or defense.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Liens</w:t>
      </w:r>
      <w:r>
        <w:rPr>
          <w:rFonts w:ascii="Times New Roman" w:cs="Times New Roman" w:eastAsia="Times New Roman" w:hAnsi="Times New Roman"/>
          <w:sz w:val="18"/>
          <w:szCs w:val="18"/>
          <w:color w:val="auto"/>
        </w:rPr>
        <w:t>. As of the Cutoff Date, (a) there are no liens or claims existing or that have been filed for work, labor, storage or materials relating to a Financed Vehicle that are prior to, or equal or coordinate with, the security interest in the Financed Vehicle granted by the Receivable and (b) there is no lien against the related Financed Vehicle for delinquent taxes.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59" w:name="page60"/>
    <w:bookmarkEnd w:id="59"/>
    <w:p>
      <w:pPr>
        <w:jc w:val="both"/>
        <w:ind w:left="180" w:firstLine="652"/>
        <w:spacing w:after="0" w:line="256"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Repossession</w:t>
      </w:r>
      <w:r>
        <w:rPr>
          <w:rFonts w:ascii="Times New Roman" w:cs="Times New Roman" w:eastAsia="Times New Roman" w:hAnsi="Times New Roman"/>
          <w:sz w:val="18"/>
          <w:szCs w:val="18"/>
          <w:color w:val="auto"/>
        </w:rPr>
        <w:t>. Except for payment delinquencies continuing for a period of not more than thirty days as of the Cutoff Date, no default, breach, violation or event permitting acceleration under the terms of any Receivable has occurred; and no continuing condition that with notice or the lapse of time, or both, would constitute a default, breach, violation or event permitting acceleration under the terms of any Receivable has arisen; and the Seller shall not waive and has not waived any of the foregoing (except in a manner consistent with Section 4.2 of the Sale and Servicing Agreement and clause (ix) above); and no Financed Vehicle shall have been repossessed or assigned for repossession as of the Cutoff Date.</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73" w:lineRule="auto"/>
        <w:tabs>
          <w:tab w:leader="none" w:pos="147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 Other</w:t>
      </w:r>
      <w:r>
        <w:rPr>
          <w:rFonts w:ascii="Times New Roman" w:cs="Times New Roman" w:eastAsia="Times New Roman" w:hAnsi="Times New Roman"/>
          <w:sz w:val="17"/>
          <w:szCs w:val="17"/>
          <w:color w:val="auto"/>
        </w:rPr>
        <w:t>. (A) Each Obligor has obtained insurance covering the Financed Vehicle as of the execution of the Receivable insuring against loss and damage due to fire, theft, transportation, collision and other risks generally covered by comprehensive and collision coverage, and each Receivable requires the Obligor to obtain and maintain such insurance naming the Seller and its successors and assigns as loss payee or an additional insured, (B) each Receivable that finances the cost of premiums for credit life and credit accident and health insurance is covered by an insurance policy or certificate of insurance naming the Seller as policyholder (creditor) under each such insurance policy and certificate of insurance and (C) as to each Receivable that finances the cost of an extended service contract, the respective Financed Vehicle which secures the Receivable is covered by an extended service contract.</w:t>
      </w:r>
    </w:p>
    <w:p>
      <w:pPr>
        <w:spacing w:after="0" w:line="171" w:lineRule="exact"/>
        <w:rPr>
          <w:rFonts w:ascii="Times New Roman" w:cs="Times New Roman" w:eastAsia="Times New Roman" w:hAnsi="Times New Roman"/>
          <w:sz w:val="17"/>
          <w:szCs w:val="17"/>
          <w:color w:val="auto"/>
        </w:rPr>
      </w:pPr>
    </w:p>
    <w:p>
      <w:pPr>
        <w:jc w:val="both"/>
        <w:ind w:left="180" w:firstLine="652"/>
        <w:spacing w:after="0" w:line="254"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It is the intention of the Seller that the transfer and assignment herein contemplated constitute a sale of the Receivables and the Transferred Property from the Seller to the Purchaser and that the beneficial interest in and title to such Receivables and the Transferred Property not be part of the Seller’s estate in the event of the filing of a bankruptcy petition by or against the Seller under any bankruptcy law. No Receivable or other Transferred Property has been sold, transferred, assigned, or pledged by the Seller to any Person other than the Purchaser. Immediately prior to the transfer and assignment herein contemplated, the Seller had good and marketable title to each Receivable and the Transferred Property and was the sole owner thereof, free and clear of all liens, claims, encumbrances, security interests, and rights of others, and, immediately upon the transfer thereof, the Purchaser for the benefit of the Securityholders shall have good and marketable title to each such Receivable and will be the sole owner thereof, free and clear of all liens, encumbrances, security interests, and rights of others, and the transfer has been perfected under the UCC.</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Lawful Assignment</w:t>
      </w:r>
      <w:r>
        <w:rPr>
          <w:rFonts w:ascii="Times New Roman" w:cs="Times New Roman" w:eastAsia="Times New Roman" w:hAnsi="Times New Roman"/>
          <w:sz w:val="18"/>
          <w:szCs w:val="18"/>
          <w:color w:val="auto"/>
        </w:rPr>
        <w:t>. No Receivable has been originated in, or is subject to the laws of, any jurisdiction under which the sale, transfer, and assignment of such Receivable under any of the Agreements would be unlawful, void, or voidable. The Seller has not entered into any agreement with any account debtor that prohibits, restricts or conditions the assignment of any portion of the Receivables.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Filings Made</w:t>
      </w:r>
      <w:r>
        <w:rPr>
          <w:rFonts w:ascii="Times New Roman" w:cs="Times New Roman" w:eastAsia="Times New Roman" w:hAnsi="Times New Roman"/>
          <w:sz w:val="18"/>
          <w:szCs w:val="18"/>
          <w:color w:val="auto"/>
        </w:rPr>
        <w:t>. As of the Closing Date or within ten (10) days thereafter, all filings (including, without limitation, UCC filings) necessary in any jurisdiction to give (a) the Purchaser a first priority perfected security interest in the Receivables and the other Transferred Property, (b) the Trust a first priority perfected security interest in the Trust Property and (c) the Indenture Trustee a first priority perfected security interest in the Collateral have been made, taken or performed.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 File; One Original</w:t>
      </w:r>
      <w:r>
        <w:rPr>
          <w:rFonts w:ascii="Times New Roman" w:cs="Times New Roman" w:eastAsia="Times New Roman" w:hAnsi="Times New Roman"/>
          <w:sz w:val="18"/>
          <w:szCs w:val="18"/>
          <w:color w:val="auto"/>
        </w:rPr>
        <w:t>. The Seller has delivered to Purchaser a complete Receivable File with respect to each Receivable. There is only one original executed copy of each Receivable, or, in the case of Receivables constituting Electronic Chattel Paper a single Authoritative Copy of each electronic record constituting or forming a part of such Receivable.</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Each Contract constitutes Tangible Chattel Paper or, subject to the satisfaction of the Electronic Chattel Paper Condition, Electronic Chattel Paper.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60" w:name="page61"/>
    <w:bookmarkEnd w:id="60"/>
    <w:p>
      <w:pPr>
        <w:jc w:val="both"/>
        <w:ind w:left="180" w:firstLine="652"/>
        <w:spacing w:after="0" w:line="255" w:lineRule="auto"/>
        <w:tabs>
          <w:tab w:leader="none" w:pos="147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Documents</w:t>
      </w:r>
      <w:r>
        <w:rPr>
          <w:rFonts w:ascii="Times New Roman" w:cs="Times New Roman" w:eastAsia="Times New Roman" w:hAnsi="Times New Roman"/>
          <w:sz w:val="18"/>
          <w:szCs w:val="18"/>
          <w:color w:val="auto"/>
        </w:rPr>
        <w:t>. The Lien Certificate with respect to each Financed Vehicle shows, or if a new or replacement Lien Certificate is being applied for with respect to such Financed Vehicle, the Lien Certificate will be received within [***] [***] and will show, the Seller named as the original secured party under the related Receivable as the holder of a first priority security interest in such Financed Vehicle; provided that Lien Certificates related to up to [***] of the Receivables (by Principal Balance) may be received within</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6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Trust has the same rights as such secured party has or would have (if such secured party were still the owner of the Receivable) against all parties claiming an interest in such Financed Vehicle, and such rights have been validly pledged to the Indenture Trustee pursuant to the Indenture. With respect to each Receivable for which the Lien Certificate has not yet been returned from the Registrar of Titles, the Seller has, or has received written evidence from the related Dealer that the related Dealer has, applied for such Lien Certificate showing the Seller as first lienholder.</w:t>
      </w:r>
    </w:p>
    <w:p>
      <w:pPr>
        <w:spacing w:after="0" w:line="186"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and Binding Obligation of Obligor</w:t>
      </w:r>
      <w:r>
        <w:rPr>
          <w:rFonts w:ascii="Times New Roman" w:cs="Times New Roman" w:eastAsia="Times New Roman" w:hAnsi="Times New Roman"/>
          <w:sz w:val="18"/>
          <w:szCs w:val="18"/>
          <w:color w:val="auto"/>
        </w:rPr>
        <w:t>. Each Receivable is the legal, valid and binding obligation in writing of the Obligor thereunder and is enforceable in accordance with its terms, except only as such enforcement may be limited by bankruptcy, insolvency or similar laws affecting the enforcement of creditors’ rights generally or by general equitable principles, and all parties to such contract had full legal capacity to execute and deliver such contract and all other documents related thereto and to grant the security interest purported to be granted thereby.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Characteristics of Obligors</w:t>
      </w:r>
      <w:r>
        <w:rPr>
          <w:rFonts w:ascii="Times New Roman" w:cs="Times New Roman" w:eastAsia="Times New Roman" w:hAnsi="Times New Roman"/>
          <w:sz w:val="18"/>
          <w:szCs w:val="18"/>
          <w:color w:val="auto"/>
        </w:rPr>
        <w:t>. As of the date of each Obligor’s application for financing of the vehicle purchase from which the related Receivable arises, such Obligor was domiciled in the United States. As of the Closing Date, no Obligor is or will be, to the knowledge of CPS, the subject of any Federal, State or other bankruptcy, insolvency or similar proceeding other than an Obligor related to a Post-Petition Receivable.</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Origination Date</w:t>
      </w:r>
      <w:r>
        <w:rPr>
          <w:rFonts w:ascii="Times New Roman" w:cs="Times New Roman" w:eastAsia="Times New Roman" w:hAnsi="Times New Roman"/>
          <w:sz w:val="18"/>
          <w:szCs w:val="18"/>
          <w:color w:val="auto"/>
        </w:rPr>
        <w:t>. Each Called Receivable has an origination date on or after October 30, 2020, and each Receivable that is not a Called Receivable has an origination date on or after January 8, 2025.</w:t>
      </w:r>
    </w:p>
    <w:p>
      <w:pPr>
        <w:spacing w:after="0" w:line="161" w:lineRule="exact"/>
        <w:rPr>
          <w:rFonts w:ascii="Times New Roman" w:cs="Times New Roman" w:eastAsia="Times New Roman" w:hAnsi="Times New Roman"/>
          <w:sz w:val="18"/>
          <w:szCs w:val="18"/>
          <w:color w:val="auto"/>
        </w:rPr>
      </w:pPr>
    </w:p>
    <w:p>
      <w:pPr>
        <w:jc w:val="both"/>
        <w:ind w:left="180" w:right="20" w:firstLine="652"/>
        <w:spacing w:after="0" w:line="261"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of Receivables</w:t>
      </w:r>
      <w:r>
        <w:rPr>
          <w:rFonts w:ascii="Times New Roman" w:cs="Times New Roman" w:eastAsia="Times New Roman" w:hAnsi="Times New Roman"/>
          <w:sz w:val="18"/>
          <w:szCs w:val="18"/>
          <w:color w:val="auto"/>
        </w:rPr>
        <w:t>. Each Receivable has an original term to maturity of not more than [***] [***]; the weighted average original term to maturity of the Initial Receivables was [***] [***] as of the Cutoff Date; the remaining term to maturity of each Receivable was [***] [***] or less as of the applicable Cutoff Date; the weighted average remaining term to maturity of the Initial Receivables was [***] [***] as of the Cutoff Date.</w:t>
      </w:r>
    </w:p>
    <w:p>
      <w:pPr>
        <w:spacing w:after="0" w:line="179"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Receivable Payments</w:t>
      </w:r>
      <w:r>
        <w:rPr>
          <w:rFonts w:ascii="Times New Roman" w:cs="Times New Roman" w:eastAsia="Times New Roman" w:hAnsi="Times New Roman"/>
          <w:sz w:val="18"/>
          <w:szCs w:val="18"/>
          <w:color w:val="auto"/>
        </w:rPr>
        <w:t>. Each Receivable has an original Principal Balance of not more than [***].</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Origination of Receivables</w:t>
      </w:r>
      <w:r>
        <w:rPr>
          <w:rFonts w:ascii="Times New Roman" w:cs="Times New Roman" w:eastAsia="Times New Roman" w:hAnsi="Times New Roman"/>
          <w:sz w:val="18"/>
          <w:szCs w:val="18"/>
          <w:color w:val="auto"/>
        </w:rPr>
        <w:t>. Based on the billing address of the Obligors and the Principal Balances as of the Cutoff Date, [***], [***] and [***], and [***] of the Receivables (by Principal Balance) had Obligors residing in the States of [***], [***], [***], and [***], respectively. As of the Cutoff Date, no other state represented more than [***] of the Receivables (by Principal Balance).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Post-Office Box</w:t>
      </w:r>
      <w:r>
        <w:rPr>
          <w:rFonts w:ascii="Times New Roman" w:cs="Times New Roman" w:eastAsia="Times New Roman" w:hAnsi="Times New Roman"/>
          <w:sz w:val="18"/>
          <w:szCs w:val="18"/>
          <w:color w:val="auto"/>
        </w:rPr>
        <w:t>. On or prior to the next billing period after the applicable Cutoff Date, the Seller will notify each Obligor to make payments with respect to its respective Receivable after the applicable Cutoff Date directly to the Post Office Box or to a Servicer-controlled account as provided for in the Sale and Servicing Agreement, and will provide each Obligor with a monthly statement in order to enable such Obligor to make payments in such manner.</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Receivable Files</w:t>
      </w:r>
      <w:r>
        <w:rPr>
          <w:rFonts w:ascii="Times New Roman" w:cs="Times New Roman" w:eastAsia="Times New Roman" w:hAnsi="Times New Roman"/>
          <w:sz w:val="18"/>
          <w:szCs w:val="18"/>
          <w:color w:val="auto"/>
        </w:rPr>
        <w:t>. A complete Receivable File with respect to each Receivable has been or prior to the Closing Date, will be delivered to the Custodian at the location listed in Schedule B to the Sale and Servicing Agreement.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21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Casualty and Impounding</w:t>
      </w:r>
      <w:r>
        <w:rPr>
          <w:rFonts w:ascii="Times New Roman" w:cs="Times New Roman" w:eastAsia="Times New Roman" w:hAnsi="Times New Roman"/>
          <w:sz w:val="18"/>
          <w:szCs w:val="18"/>
          <w:color w:val="auto"/>
        </w:rPr>
        <w:t>. No Financed Vehicle has suffered a Casualty and CPS has not received notice that any Financed Vehicle has been impounded.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61" w:name="page62"/>
    <w:bookmarkEnd w:id="61"/>
    <w:p>
      <w:pPr>
        <w:ind w:left="180" w:right="20" w:firstLine="652"/>
        <w:spacing w:after="0" w:line="282"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Balance/Number of Contracts</w:t>
      </w:r>
      <w:r>
        <w:rPr>
          <w:rFonts w:ascii="Times New Roman" w:cs="Times New Roman" w:eastAsia="Times New Roman" w:hAnsi="Times New Roman"/>
          <w:sz w:val="18"/>
          <w:szCs w:val="18"/>
          <w:color w:val="auto"/>
        </w:rPr>
        <w:t>. As of the Cutoff Date, the aggregate Principal Balance of the Receivables was [***]. As of the Cutoff Date, the Receivables are evidenced by [***] Contracts.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Amount Advanced</w:t>
      </w:r>
      <w:r>
        <w:rPr>
          <w:rFonts w:ascii="Times New Roman" w:cs="Times New Roman" w:eastAsia="Times New Roman" w:hAnsi="Times New Roman"/>
          <w:sz w:val="18"/>
          <w:szCs w:val="18"/>
          <w:color w:val="auto"/>
        </w:rPr>
        <w:t>. The full amount of each Receivable has been advanced to each Obligor, and there are no requirements for future advances thereunder. The Obligor with respect to each Receivable does not have any option under the terms of the related Contract to borrow from any person additional funds secured by the Financed Vehicle.</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Neither the Seller nor the Purchaser has done anything to convey any right to any Person that would result in such Person having a right to payments due under any Receivables or otherwise to impair the rights of the Purchaser, the Issuer or the Securityholders in any Receivable or the proceeds hereof.</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Not Assumable</w:t>
      </w:r>
      <w:r>
        <w:rPr>
          <w:rFonts w:ascii="Times New Roman" w:cs="Times New Roman" w:eastAsia="Times New Roman" w:hAnsi="Times New Roman"/>
          <w:sz w:val="18"/>
          <w:szCs w:val="18"/>
          <w:color w:val="auto"/>
        </w:rPr>
        <w:t>. No Receivable is assumable by another Person in a manner that would release the Obligor thereof from such Obligor’s obligations to the Seller or the Purchaser with respect to such Receivable.</w:t>
      </w:r>
    </w:p>
    <w:p>
      <w:pPr>
        <w:spacing w:after="0" w:line="161" w:lineRule="exact"/>
        <w:rPr>
          <w:rFonts w:ascii="Times New Roman" w:cs="Times New Roman" w:eastAsia="Times New Roman" w:hAnsi="Times New Roman"/>
          <w:sz w:val="18"/>
          <w:szCs w:val="18"/>
          <w:color w:val="auto"/>
        </w:rPr>
      </w:pPr>
    </w:p>
    <w:p>
      <w:pPr>
        <w:jc w:val="both"/>
        <w:ind w:left="180" w:right="20" w:firstLine="652"/>
        <w:spacing w:after="0" w:line="266"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w:t>
      </w:r>
      <w:r>
        <w:rPr>
          <w:rFonts w:ascii="Times New Roman" w:cs="Times New Roman" w:eastAsia="Times New Roman" w:hAnsi="Times New Roman"/>
          <w:sz w:val="18"/>
          <w:szCs w:val="18"/>
          <w:color w:val="auto"/>
        </w:rPr>
        <w:t>. The servicing of each Receivable and the collection practices relating thereto have been lawful and in accordance with the standards set forth in the Sale and Servicing Agreement; other than the Servicer and the Backup Servicer under the Sale and Servicing Agreement, no other Person has the right to service the Receivables.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Illinois Receivables</w:t>
      </w:r>
      <w:r>
        <w:rPr>
          <w:rFonts w:ascii="Times New Roman" w:cs="Times New Roman" w:eastAsia="Times New Roman" w:hAnsi="Times New Roman"/>
          <w:sz w:val="18"/>
          <w:szCs w:val="18"/>
          <w:color w:val="auto"/>
        </w:rPr>
        <w:t>. (a) The Seller does not own a substantial interest in the business of a Dealer within the meaning of Illinois Sales Finance Agency Act Rules and Regulations, Section 160.230(1) and (b) with respect to each Receivable originated in the State of Illinois, (i) the printed or typed portion of the related form of Receivable complies with the requirements of 815 ILCS 375/3(b) and (ii) the Seller has not, and for so long as such Receivable is outstanding shall not, place or cause to be placed on the related Financed Vehicle any collateral protection insurance in violation of 815 ILCS 180/10.</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California Receivables</w:t>
      </w:r>
      <w:r>
        <w:rPr>
          <w:rFonts w:ascii="Times New Roman" w:cs="Times New Roman" w:eastAsia="Times New Roman" w:hAnsi="Times New Roman"/>
          <w:sz w:val="18"/>
          <w:szCs w:val="18"/>
          <w:color w:val="auto"/>
        </w:rPr>
        <w:t>. Each Receivable originated in the State of California has been, and at all times during the term of the Sale and Servicing Agreement will be, serviced by the Servicer in compliance with Cal. Civil Code § 2981, et seq.</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Creation of Security Interest</w:t>
      </w:r>
      <w:r>
        <w:rPr>
          <w:rFonts w:ascii="Times New Roman" w:cs="Times New Roman" w:eastAsia="Times New Roman" w:hAnsi="Times New Roman"/>
          <w:sz w:val="18"/>
          <w:szCs w:val="18"/>
          <w:color w:val="auto"/>
        </w:rPr>
        <w:t>. The Agreements create a valid and continuing security interest (as defined in the UCC) in the Transferred Property in favor of the Purchaser, which security interest is prior to all other Liens and is enforceable as such as against creditors of and purchasers from the Seller.</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of Security Interest in Financed Vehicles</w:t>
      </w:r>
      <w:r>
        <w:rPr>
          <w:rFonts w:ascii="Times New Roman" w:cs="Times New Roman" w:eastAsia="Times New Roman" w:hAnsi="Times New Roman"/>
          <w:sz w:val="18"/>
          <w:szCs w:val="18"/>
          <w:color w:val="auto"/>
        </w:rPr>
        <w:t>. The Seller has taken all steps necessary to perfect its security interest against the Obligors in the Financed Vehicles securing the Contracts.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of Security Interest in Trust Property</w:t>
      </w:r>
      <w:r>
        <w:rPr>
          <w:rFonts w:ascii="Times New Roman" w:cs="Times New Roman" w:eastAsia="Times New Roman" w:hAnsi="Times New Roman"/>
          <w:sz w:val="18"/>
          <w:szCs w:val="18"/>
          <w:color w:val="auto"/>
        </w:rPr>
        <w:t xml:space="preserve">. The Seller has caused, or will cause within ten (10) days after the Closing Date, the filing of all appropriate financing statements in the proper filing office in the appropriate jurisdictions under applicable law in order to perfect the security interest in the Trust Property granted to the Purchaser for the benefit of the Securityholders hereunder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Security Interests</w:t>
      </w:r>
      <w:r>
        <w:rPr>
          <w:rFonts w:ascii="Times New Roman" w:cs="Times New Roman" w:eastAsia="Times New Roman" w:hAnsi="Times New Roman"/>
          <w:sz w:val="18"/>
          <w:szCs w:val="18"/>
          <w:color w:val="auto"/>
        </w:rPr>
        <w:t xml:space="preserve">. Other than the security interest granted to the Purchaser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the Seller has not pledged, assigned, sold, granted a security interest in, or otherwise conveyed any of the Trust Property. The Seller has not authorized the filing of and is not aware of any financing statements filed against the Seller that include a description of collateral covering the Trust Property other than any financing statement relating to the security interest granted to the Purchaser hereunder or that has been terminated. The Seller is not aware of any judgment or tax lien filings against the Seller.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62" w:name="page63"/>
    <w:bookmarkEnd w:id="62"/>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Notations on Contracts; Financing Statement Disclosure</w:t>
      </w:r>
      <w:r>
        <w:rPr>
          <w:rFonts w:ascii="Times New Roman" w:cs="Times New Roman" w:eastAsia="Times New Roman" w:hAnsi="Times New Roman"/>
          <w:sz w:val="18"/>
          <w:szCs w:val="18"/>
          <w:color w:val="auto"/>
        </w:rPr>
        <w:t>. The Custodian has in its possession copies of all Contracts that constitute or evidence the Receivables. The Contracts that constitute or evidence the Receivables do not have any marks or notations indicating that they have been pledged, assigned or otherwise conveyed to any Person other than the Purchaser and/or Grantor Trust. All financing statements filed or to be filed against the Seller in favor of the Purchaser in connection herewith describing the Transferred Property contain a statement to the following effect: “A purchase of or security interest in any collateral described in this financing statement will violate the rights of the secured party.”</w:t>
      </w:r>
    </w:p>
    <w:p>
      <w:pPr>
        <w:spacing w:after="0" w:line="187"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xml:space="preserve"> Subject to the satisfaction of the Electronic Chattel Paper Condition, to the extent an Electronic Contract constitutes Electronic Chattel Paper, there is only one single Authoritative Copy of each electronic “record” constituting or forming a part of such Electronic Contract that is Electronic Chattel Paper, the record or records composing the Electronic Chattel Paper are created, stored and assigned in such a manner that (A) a single Authoritative Copy of the record or records exists which is unique, identifiable and unalterable (other than a revision that is readily identifiable as an authorized or unauthorized revision), (B) each copy of the Authoritative Copy and any copy of a copy is readily identifiable as a copy that is not the Authoritative Copy, (C) the Authoritative Copy has been communicated to and is maintained by the Custodian with an Electronic Vault Provider, (D) the Authoritative Copy does not have any stamps, marks or notations indicating that such Electronic Contract has been pledged, assigned or otherwise conveyed to any Person other than the Seller, the Custodian or the Indenture Trustee other than any such stamps, marks or notations that relate to a pledge, assignment, conveyance or other interest that has been that has been cancelled, terminated or voided, and</w:t>
      </w:r>
    </w:p>
    <w:p>
      <w:pPr>
        <w:spacing w:after="0" w:line="5" w:lineRule="exact"/>
        <w:rPr>
          <w:sz w:val="20"/>
          <w:szCs w:val="20"/>
          <w:color w:val="auto"/>
        </w:rPr>
      </w:pPr>
    </w:p>
    <w:p>
      <w:pPr>
        <w:ind w:left="1300" w:firstLine="4"/>
        <w:spacing w:after="0" w:line="260" w:lineRule="auto"/>
        <w:tabs>
          <w:tab w:leader="none" w:pos="15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 the Servicer, the Electronic Vault Provider or any other Person has communicated an Authoritative Copy of any such Electronic Contract to any Person other than the Custodian or the Indenture Trustee.</w:t>
      </w:r>
    </w:p>
    <w:p>
      <w:pPr>
        <w:spacing w:after="0" w:line="181"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Licenses and Approvals</w:t>
      </w:r>
      <w:r>
        <w:rPr>
          <w:rFonts w:ascii="Times New Roman" w:cs="Times New Roman" w:eastAsia="Times New Roman" w:hAnsi="Times New Roman"/>
          <w:sz w:val="18"/>
          <w:szCs w:val="18"/>
          <w:color w:val="auto"/>
        </w:rPr>
        <w:t>. CPS has obtained all necessary licenses and approvals in all jurisdictions in which the origination and purchase of installment promissory notes and security agreements and the sale thereof requires or shall require such licenses or approvals, except where the failure to obtain such licenses or approvals would not result in a material adverse effect on the value or marketability of any Receivable (including, without limitation, the enforceability or collectability of any Receivable).</w:t>
      </w:r>
    </w:p>
    <w:p>
      <w:pPr>
        <w:spacing w:after="0" w:line="180"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set forth above in paragraphs (xiv), (xvi) and (xviii) and in paragraphs (xxxvi) through (xlii) shall survive the termination of this Receivables Purchase Agreement and may not be waived in whole or in part.</w:t>
      </w:r>
    </w:p>
    <w:p>
      <w:pPr>
        <w:spacing w:after="0" w:line="162" w:lineRule="exact"/>
        <w:rPr>
          <w:sz w:val="20"/>
          <w:szCs w:val="20"/>
          <w:color w:val="auto"/>
        </w:rPr>
      </w:pPr>
    </w:p>
    <w:p>
      <w:pPr>
        <w:jc w:val="both"/>
        <w:ind w:left="660" w:firstLine="644"/>
        <w:spacing w:after="0" w:line="261" w:lineRule="auto"/>
        <w:tabs>
          <w:tab w:leader="none" w:pos="19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this Receivables Purchase Agreement shall not be construed as a warranty or guaranty by the Seller as to the future payments by any Obligor. The sale of the Receivables pursuant to this Receivables Purchase Agreement shall be “without recourse” except for the representations, warranties and covenants made by the Seller in this Receivables Purchase Agreement or the Sale and Servicing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Conditions to Obligation of the Purchaser</w:t>
      </w:r>
      <w:r>
        <w:rPr>
          <w:rFonts w:ascii="Times New Roman" w:cs="Times New Roman" w:eastAsia="Times New Roman" w:hAnsi="Times New Roman"/>
          <w:sz w:val="18"/>
          <w:szCs w:val="18"/>
          <w:color w:val="auto"/>
        </w:rPr>
        <w:t>. On the Closing Date, the obligation of the Purchaser to purchase the related Receivables is subject to the satisfaction of the following conditions:</w:t>
      </w:r>
    </w:p>
    <w:p>
      <w:pPr>
        <w:spacing w:after="0" w:line="162" w:lineRule="exact"/>
        <w:rPr>
          <w:sz w:val="20"/>
          <w:szCs w:val="20"/>
          <w:color w:val="auto"/>
        </w:rPr>
      </w:pPr>
    </w:p>
    <w:p>
      <w:pPr>
        <w:jc w:val="both"/>
        <w:ind w:left="660" w:firstLine="644"/>
        <w:spacing w:after="0" w:line="266" w:lineRule="auto"/>
        <w:tabs>
          <w:tab w:leader="none" w:pos="19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The representations and warranties of the Seller hereunder shall be true and correct on the Closing Date, with the same effect as if then made, and the Seller shall have performed all obligations to be performed by it hereunder on or prior to the Closing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Computer Files Marked</w:t>
      </w:r>
      <w:r>
        <w:rPr>
          <w:rFonts w:ascii="Times New Roman" w:cs="Times New Roman" w:eastAsia="Times New Roman" w:hAnsi="Times New Roman"/>
          <w:sz w:val="18"/>
          <w:szCs w:val="18"/>
          <w:color w:val="auto"/>
        </w:rPr>
        <w:t>. The Seller shall, at its own expense, on or prior to the Closing Date, indicate in its computer files that the related Receivables have been sold to the Purchaser pursuant to this Receivables Purchase Agreement and shall deliver to the Purchaser the Schedule of Receivables certified by the Chairman, the President, the Vice President or the Treasurer of the Seller to be true, correct and complete as of, and after giving effect to all transfers of Receivables on, the Closing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ind w:left="660" w:firstLine="644"/>
        <w:spacing w:after="0" w:line="282" w:lineRule="auto"/>
        <w:tabs>
          <w:tab w:leader="none" w:pos="19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 Files Delivered</w:t>
      </w:r>
      <w:r>
        <w:rPr>
          <w:rFonts w:ascii="Times New Roman" w:cs="Times New Roman" w:eastAsia="Times New Roman" w:hAnsi="Times New Roman"/>
          <w:sz w:val="18"/>
          <w:szCs w:val="18"/>
          <w:color w:val="auto"/>
        </w:rPr>
        <w:t>. The Seller shall, at its own expense, deliver the related Receivable Files to the Custodian at the offices specified in Schedule B to the Sale and Servicing Agreement on or prior to the Closing Date.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to be Delivered at Closing</w:t>
      </w:r>
      <w:r>
        <w:rPr>
          <w:rFonts w:ascii="Times New Roman" w:cs="Times New Roman" w:eastAsia="Times New Roman" w:hAnsi="Times New Roman"/>
          <w:sz w:val="18"/>
          <w:szCs w:val="18"/>
          <w:color w:val="auto"/>
        </w:rPr>
        <w:t>. Documents to be delivered by the Seller at the Closing, except as set forth below:</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Assignment</w:t>
      </w:r>
      <w:r>
        <w:rPr>
          <w:rFonts w:ascii="Times New Roman" w:cs="Times New Roman" w:eastAsia="Times New Roman" w:hAnsi="Times New Roman"/>
          <w:sz w:val="18"/>
          <w:szCs w:val="18"/>
          <w:color w:val="auto"/>
        </w:rPr>
        <w:t>. On the Closing Date, the Seller will execute and deliver the Assignment.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5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UCC-1 Filing</w:t>
      </w:r>
      <w:r>
        <w:rPr>
          <w:rFonts w:ascii="Times New Roman" w:cs="Times New Roman" w:eastAsia="Times New Roman" w:hAnsi="Times New Roman"/>
          <w:sz w:val="18"/>
          <w:szCs w:val="18"/>
          <w:color w:val="auto"/>
        </w:rPr>
        <w:t>. Within two (2) Business Days of the Closing Date, the Seller shall record and file, at its own expense, a UCC-1 financing statement in each jurisdiction in which required by applicable law, naming the Seller, as seller or debtor, and the Purchaser, as purchaser or secured party, and naming the Receivables and the other Transferred Property conveyed hereafter as collateral, meeting the requirements of the laws of each such jurisdiction and in such manner as is necessary to perfect the sale, transfer, assignment and conveyance of such Receivables and other Transferred Property to the Purchaser. The Seller shall deliver a file-stamped copy, or other evidence satisfactory to the Purchaser of such filing, to the Purchaser within 10 days of the Closing Date.</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5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UCC-2 Filing</w:t>
      </w:r>
      <w:r>
        <w:rPr>
          <w:rFonts w:ascii="Times New Roman" w:cs="Times New Roman" w:eastAsia="Times New Roman" w:hAnsi="Times New Roman"/>
          <w:sz w:val="18"/>
          <w:szCs w:val="18"/>
          <w:color w:val="auto"/>
        </w:rPr>
        <w:t>. After the Closing Date, the Seller shall cause to be recorded and filed, at its own expense, appropriate UCC-2 termination statements (or UCC-3 termination statements, as applicable in the relevant UCC jurisdiction) in each jurisdiction in which required by applicable law, meeting the requirements of the laws of each such jurisdiction and in such manner as is necessary to release the interest of any other Person in the related Receivables, including without limitation, the security interests in the Financed Vehicles securing the Receivables and any proceeds of such security interests or the Receivables. The Seller shall deliver a file-stamped copy, or other evidence satisfactory to the Purchaser of such filing, to the Purchaser at the Purchaser’s request.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5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Seller shall have delivered to the Purchaser and the Placement Agent the legal opinions of Alston &amp; Bird LLP and a legal opinion of the Seller’s General Counsel with respect to bankruptcy (including true sale and nonconsolidation), corporate, tax and such other matters as the Placement Agent shall request, in each case, dated the Closing Date and satisfactory in form and substance to the Placement Agent.</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On or prior to the Closing Date, the Seller shall deliver such other documents as the Purchaser may reasonably request.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Transactions</w:t>
      </w:r>
      <w:r>
        <w:rPr>
          <w:rFonts w:ascii="Times New Roman" w:cs="Times New Roman" w:eastAsia="Times New Roman" w:hAnsi="Times New Roman"/>
          <w:sz w:val="18"/>
          <w:szCs w:val="18"/>
          <w:color w:val="auto"/>
        </w:rPr>
        <w:t>. The transactions contemplated by the Trust Agreement, the Indenture, the Grantor Trust Agreement, the Sale and Servicing Agreement and the Placement Agency Agreement shall be consummated on the Closing Date.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Conditions to Obligation of the Seller</w:t>
      </w:r>
      <w:r>
        <w:rPr>
          <w:rFonts w:ascii="Times New Roman" w:cs="Times New Roman" w:eastAsia="Times New Roman" w:hAnsi="Times New Roman"/>
          <w:sz w:val="18"/>
          <w:szCs w:val="18"/>
          <w:color w:val="auto"/>
        </w:rPr>
        <w:t>. The obligation of the Seller to sell the Receivables to the Purchaser is subject to the satisfaction of the following conditions.</w:t>
      </w:r>
    </w:p>
    <w:p>
      <w:pPr>
        <w:spacing w:after="0" w:line="162" w:lineRule="exact"/>
        <w:rPr>
          <w:sz w:val="20"/>
          <w:szCs w:val="20"/>
          <w:color w:val="auto"/>
        </w:rPr>
      </w:pPr>
    </w:p>
    <w:p>
      <w:pPr>
        <w:jc w:val="both"/>
        <w:ind w:left="660" w:firstLine="644"/>
        <w:spacing w:after="0" w:line="266" w:lineRule="auto"/>
        <w:tabs>
          <w:tab w:leader="none" w:pos="19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The representations and warranties of the Purchaser hereunder shall be true and correct on the Closing Date, with the same effect as if then made, and the Seller shall have performed all obligations to be performed by it hereunder on or prior to the Closing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Purchase Price</w:t>
      </w:r>
      <w:r>
        <w:rPr>
          <w:rFonts w:ascii="Times New Roman" w:cs="Times New Roman" w:eastAsia="Times New Roman" w:hAnsi="Times New Roman"/>
          <w:sz w:val="18"/>
          <w:szCs w:val="18"/>
          <w:color w:val="auto"/>
        </w:rPr>
        <w:t xml:space="preserve">. On the Closing Date, the Purchaser will deliver to the Seller the Receivables Purchase Price as provided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Seller hereby directs the Purchaser to wire such purchase price pursuant to wire instructions to be delivered to the Purchaser on or prior to the Closing 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SELLER</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Seller agrees with the Purchaser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conflicts with any provision of the Sale and Servicing Agreement, the Sale and Servicing Agreement shall govern: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Protection of Right, Title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9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xml:space="preserve">. The Seller shall cause all financing statements and continuation statements and any other necessary documents covering the right, title and interest of the Purchaser in, to and under the Receivables and the other Transferred Property to be promptly filed, and at all times to be kept recorded, registered and filed, all in such manner and in such places as may be required by law fully to preserve and protect the right, title and interest of the Purchaser hereunder, of the Trust under the Sale and Servicing Agreement and of the Indenture Trustee under the Indenture to the Receivables and the other Transferred Property. The Seller shall deliver to the Purchaser file stamped copies of, or filing receipts for, any document recorded, registered or filed as provided above, as soon as available following such recordation, registration or filing. The Purchaser shall cooperate fully with the Seller in connection with the obligations set forth above and will execute any and all documents reasonably required to fulfill the intent of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In the event the Seller fails to perform its obligations under this subsection, the Purchaser or the Indenture Trustee may do so at the expense of the Seller. In furtherance of the foregoing, the Seller hereby authorizes the Purchaser and the Indenture Trustee to file a record or records (as defined in the applicable UCC), including, without limitation, financing statements, in all jurisdictions and with all filing offices as each may determine, in its sole and reasonable discretion, are necessary or advisable to perfect the security interest granted by the Seller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and Other Changes</w:t>
      </w:r>
      <w:r>
        <w:rPr>
          <w:rFonts w:ascii="Times New Roman" w:cs="Times New Roman" w:eastAsia="Times New Roman" w:hAnsi="Times New Roman"/>
          <w:sz w:val="18"/>
          <w:szCs w:val="18"/>
          <w:color w:val="auto"/>
        </w:rPr>
        <w:t xml:space="preserve">. At least 60 days prior to the date the Seller makes any change in its name, identity, corporate structure or jurisdiction of organization which would make any financing statement or continuation statement filed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seriously misleading within the applicable provisions of the UCC or any title statute, the Seller shall give the Indenture Trustee and the Purchaser written notice of any such change and no later than the effective date thereof, shall file appropriate amendments to all previously filed financing statements or continuation statements. At least 60 days prior to the date of any relocation of its principal executive office, the Seller shall give the Indenture Trustee and the Purchaser written notice thereof if, as a result of such relocation, the applicable provisions of the UCC would require the filing of any amendment of any previously filed financing or continuation statement or of any new financing statement and the Seller shall no later than the effective date thereof, file any such amendment or new financing statement. The Seller shall at all times maintain each office from which it shall service Receivables, and its jurisdiction of organization, within the United States of America.</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and Records</w:t>
      </w:r>
      <w:r>
        <w:rPr>
          <w:rFonts w:ascii="Times New Roman" w:cs="Times New Roman" w:eastAsia="Times New Roman" w:hAnsi="Times New Roman"/>
          <w:sz w:val="18"/>
          <w:szCs w:val="18"/>
          <w:color w:val="auto"/>
        </w:rPr>
        <w:t>. The Seller shall maintain accounts and records as to each Receivable accurately and in sufficient detail to permit the reader thereof to know at any time the status of such Receivable, including payments and recoveries made and payments owing (and the nature of each).</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Computer Systems</w:t>
      </w:r>
      <w:r>
        <w:rPr>
          <w:rFonts w:ascii="Times New Roman" w:cs="Times New Roman" w:eastAsia="Times New Roman" w:hAnsi="Times New Roman"/>
          <w:sz w:val="18"/>
          <w:szCs w:val="18"/>
          <w:color w:val="auto"/>
        </w:rPr>
        <w:t>. The Seller shall maintain its computer systems so that, from and after the time of sale hereunder of the Receivables to the Purchaser, the Seller’s master computer records (including any back-up archives) that refer to a Receivable shall indicate clearly the interest of the Purchaser in such Receivable and that such Receivable is owned by the Purchaser. Indication of the Purchaser’s ownership of a Receivable shall be deleted from or modified on the Seller’s computer systems when, and only when, the Receivable shall have been paid in full or repurchased.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Other Receivables</w:t>
      </w:r>
      <w:r>
        <w:rPr>
          <w:rFonts w:ascii="Times New Roman" w:cs="Times New Roman" w:eastAsia="Times New Roman" w:hAnsi="Times New Roman"/>
          <w:sz w:val="18"/>
          <w:szCs w:val="18"/>
          <w:color w:val="auto"/>
        </w:rPr>
        <w:t>. If at any time the Seller shall propose to sell, grant a security interest in, or otherwise transfer any interest in any automobile or light duty truck receivables (other than the Receivables) to any prospective purchaser, lender, or other transferee, the Seller shall give to such prospective purchaser, lender, or other transferee computer tapes, records, or print-outs (including any restored from back-up archives) that, if they shall refer in any manner whatsoever to any Receivable, shall indicate clearly that such Receivable has been sold and is owned by the Purchaser unless such Receivable has been paid in full or repurchased.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ind w:left="660" w:firstLine="644"/>
        <w:spacing w:after="0" w:line="282" w:lineRule="auto"/>
        <w:tabs>
          <w:tab w:leader="none" w:pos="19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Records</w:t>
      </w:r>
      <w:r>
        <w:rPr>
          <w:rFonts w:ascii="Times New Roman" w:cs="Times New Roman" w:eastAsia="Times New Roman" w:hAnsi="Times New Roman"/>
          <w:sz w:val="18"/>
          <w:szCs w:val="18"/>
          <w:color w:val="auto"/>
        </w:rPr>
        <w:t>. The Seller shall permit the Purchaser and its agents at any time during normal business hours to inspect, audit, and make copies of and abstracts from the Seller’s records regarding any Receivable.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82" w:lineRule="auto"/>
        <w:tabs>
          <w:tab w:leader="none" w:pos="19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 of Receivables</w:t>
      </w:r>
      <w:r>
        <w:rPr>
          <w:rFonts w:ascii="Times New Roman" w:cs="Times New Roman" w:eastAsia="Times New Roman" w:hAnsi="Times New Roman"/>
          <w:sz w:val="18"/>
          <w:szCs w:val="18"/>
          <w:color w:val="auto"/>
        </w:rPr>
        <w:t>. Upon request, the Seller shall furnish to the Purchaser, within five Business Days, a list of all Receivables (by contract number and name of Obligor) then owned by the Purchaser, together with a reconciliation of such list to the Schedule of Receivables.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 Files</w:t>
      </w:r>
      <w:r>
        <w:rPr>
          <w:rFonts w:ascii="Times New Roman" w:cs="Times New Roman" w:eastAsia="Times New Roman" w:hAnsi="Times New Roman"/>
          <w:sz w:val="18"/>
          <w:szCs w:val="18"/>
          <w:color w:val="auto"/>
        </w:rPr>
        <w:t>. On or prior to the Closing Date, the Seller shall deliver, either in hardcopy or electronic format to the Custodian pursuant to Section 3.3 of the Sale and Servicing Agreement, a complete Receivable File with respect to each such Receivable to be kept, either in hardcopy or electronic format, at the locations listed in Schedule B to the Sale and Servicing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The Seller shall from time to time, at its expense, promptly execute and deliver all future instruments and documents (including, without limitation, powers of attorney for the benefit of the Servicer) and take all further action that may be necessary or desirable to permit the Servicer to perform its obligations under the Sale and Servicing Agreement, including, without limitation the Servicer’s obligation to preserve and maintain the perfected security interest in the Receivables and the Financed Vehicles.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Other Liens or Interests</w:t>
      </w:r>
      <w:r>
        <w:rPr>
          <w:rFonts w:ascii="Times New Roman" w:cs="Times New Roman" w:eastAsia="Times New Roman" w:hAnsi="Times New Roman"/>
          <w:sz w:val="18"/>
          <w:szCs w:val="18"/>
          <w:color w:val="auto"/>
        </w:rPr>
        <w:t>. Except for the conveyances hereunder and pursuant to the Sale and Servicing Agreement, the Seller will not sell, pledge, assign or transfer to any other Person, or grant, create, incur, assume or suffer to exist any lien on any interest therein, and the Seller shall defend the right, title, and interest of the Purchaser in, to and under the Receivables and the other Transferred Property against all claims of third parties claiming through or under the Seller.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Chief Executive Office</w:t>
      </w:r>
      <w:r>
        <w:rPr>
          <w:rFonts w:ascii="Times New Roman" w:cs="Times New Roman" w:eastAsia="Times New Roman" w:hAnsi="Times New Roman"/>
          <w:sz w:val="18"/>
          <w:szCs w:val="18"/>
          <w:color w:val="auto"/>
        </w:rPr>
        <w:t>. During the term of the Receivables, the Seller will maintain its chief executive office in one of the states within the United States, except Louisiana or Vermont.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Seller agrees to pay all reasonable costs and disbursements in connection with the perfection, as against all third parties, of the Purchaser’s right, title and interest in and to the Receivables.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Delivery of Receivable Files</w:t>
      </w:r>
      <w:r>
        <w:rPr>
          <w:rFonts w:ascii="Times New Roman" w:cs="Times New Roman" w:eastAsia="Times New Roman" w:hAnsi="Times New Roman"/>
          <w:sz w:val="18"/>
          <w:szCs w:val="18"/>
          <w:color w:val="auto"/>
        </w:rPr>
        <w:t xml:space="preserve">. On or prior to the Closing Date, the Seller shall deliver the Receivable Files for the Receivables to the Custodian at the location specified in Schedule B to the Sale and Servicing Agreement. The Seller shall have until the last day of the second Collection Period following receipt from the Custodian of notification, pursuant to Section 3.4 of the Sale and Servicing Agreement, that there has been a failure to deliver a file with respect to a Receivable or that a file is unrelated to the Receivables identified in Schedule A to the Sale and Servicing Agreement or that any of the documents referred to in Section 3.3 of the Sale and Servicing Agreement are not contained in a Receivable File, to deliver such file or any of the aforementioned documents required to be included in such Receivable File to the Custodian. Unless such defect with respect to such Receivable File shall have been cured by the last day of the second Collection Period following discovery thereof by the Custodian, the Seller hereby agrees to repurchase any such Receivable as of such last day. In consideration of the purchase of the Receivable, the Seller shall remit the Purchase Amount in the manner specified in the Sale and Servicing Agreement. The sole remedy hereunder of the Indenture Trustee, the Trust, the Grantor Trust or the Securityholders with respect to a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to require the Seller to repurchase the Receivable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Section 3.4 of the Sale and Servicing Agreement and to provide the indemnity required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and Section 3.4 of the Sale and Servicing Agreement. Upon receipt of the Purchase Amount, the Indenture Trustee shall cause the Custodian to release to the Seller or its designee the related Receivable File and the Grantor Trustee shall execute and deliver all instruments of transfer or assignment, without recourse, as are prepared by the Seller and delivered to the Grantor Trustee and are necessary to vest in the Seller or such designee title to the Receivable.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9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 of remedies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with respect to a breach of any representations and warranties contained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Seller shall indemnify the Purchaser for any cost, expense, loss, damage, claim or liability as a result of the failure of a Receivable to be originated in compliance with all requirements of law and for any breach of any of its representations and warranties contained herein.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any and all costs, expenses, losses, damages, claims, and liabilities, arising out of or resulting from the use, ownership, or operation by the Seller or any Affiliate thereof of a Financed Vehicle.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any and all taxes, except for taxes on the net income of the Purchaser, that may at any time be asserted against the Purchaser with respect to the transactions contemplated herein, including, without limitation, any sales, gross receipts, general corporation, tangible personal property, privilege, or license taxes, and costs and expenses in defending against the same.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any and all costs, expenses, losses, damages, claims and liabilities to the extent that such cost, expense, loss, damage, claim or liability arose out of, or was imposed upon the Purchaser through, the negligence, willful misfeasance, or bad faith of the Seller in the performance of its duties under this Receivables Purchase Agreement, or by reason of reckless disregard of the Seller’s obligations and duties under this Receivables Purchase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all costs, expenses, losses, damages, claims and liabilities arising out of or incurred in connection with the acceptance or performance of the Seller’s trusts and duties as Servicer under the Sale and Servicing Agreement, except to the extent that such cost, expense, loss, damage, claim or liability shall be due to the willful misfeasance, bad faith, or negligence (except for errors in judgment) of the Purchaser.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Indemnification under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include reasonable fees and expenses of litigation and shall survive payment of the Securities and termination of the Basic Documents. These indemnity obligations shall be in addition to any obligation that the Seller may otherwise have.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The Seller agrees to treat this conveyance as a secured financing for tax and financial accounting purposes, and as a sale for all other purposes (including without limitation legal and bankruptcy purposes), on all relevant books, records, tax returns, financial statements and other applicable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Non-Petition</w:t>
      </w:r>
      <w:r>
        <w:rPr>
          <w:rFonts w:ascii="Times New Roman" w:cs="Times New Roman" w:eastAsia="Times New Roman" w:hAnsi="Times New Roman"/>
          <w:sz w:val="18"/>
          <w:szCs w:val="18"/>
          <w:color w:val="auto"/>
        </w:rPr>
        <w:t>. In the event of any breach of a representation and warranty made by the Purchaser hereunder, the Seller covenants and agrees that it will not take any action to pursue any remedy that it may have hereunder, in law, in equity or otherwise, until a year and a day have passed since the date on which all securities issued by the Trust (including the Securities) and any similar trust heretofore or hereafter formed by the Purchaser have been paid in full. The Purchaser and the Seller agree that damages will not be an adequate remedy for breach of this covenant and that this covenant may be specifically enforced by the Purchaser or by the Trust.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Obligations of Seller</w:t>
      </w:r>
      <w:r>
        <w:rPr>
          <w:rFonts w:ascii="Times New Roman" w:cs="Times New Roman" w:eastAsia="Times New Roman" w:hAnsi="Times New Roman"/>
          <w:sz w:val="18"/>
          <w:szCs w:val="18"/>
          <w:color w:val="auto"/>
        </w:rPr>
        <w:t>. The obligations of the Seller under this Receivables Purchase Agreement shall not be affected by reason of any invalidity, illegality or irregularity of any Receivable.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Repurchase Events</w:t>
      </w:r>
      <w:r>
        <w:rPr>
          <w:rFonts w:ascii="Times New Roman" w:cs="Times New Roman" w:eastAsia="Times New Roman" w:hAnsi="Times New Roman"/>
          <w:sz w:val="18"/>
          <w:szCs w:val="18"/>
          <w:color w:val="auto"/>
        </w:rPr>
        <w:t xml:space="preserve">. The Seller hereby covenants and agrees with the Purchaser for the benefit of the Purchaser, the Indenture Trustee, the Grantor Trust and the Securityholders, that (i) the occurrence of a breach of any of the Seller’s representations and warranties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3.2(b)</w:t>
      </w:r>
      <w:r>
        <w:rPr>
          <w:rFonts w:ascii="Times New Roman" w:cs="Times New Roman" w:eastAsia="Times New Roman" w:hAnsi="Times New Roman"/>
          <w:sz w:val="18"/>
          <w:szCs w:val="18"/>
          <w:color w:val="auto"/>
        </w:rPr>
        <w:t xml:space="preserve"> (without regard to any limitations regarding the Seller’s knowledge) and (ii) the failure of the Seller to timely comply with its obligations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constitute events obligating the Seller to repurchase the affected Receivables hereunder at the Purchase Amount. Unless the breach of any of the Seller’s representations and warranties shall have been cured by the last day of the second Collection Period following the discovery thereof by or notice to the Purchaser and the Seller of such breach, the Seller shall repurchase any Receivable if such Receivable is materially and adversely affected by the breach as of the last day of such second Collection Period (or, at the Seller’s option, the last day of the first Collection Period following the discovery) and, in the event that the breach relates to a characteristic of the Receivables in the aggregate, and if the Trust is materially and adversely affected by the breach, unless the breach shall have been cured by such second Collection Period, the Seller shall purchase the aggregate Principal Balance of affected Receivables, such that following such purchase such representation shall be true and correct with respect to the remainder of the Receivables in the aggregate.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are intended to grant the Indenture Trustee a direct right against the Seller to demand performance hereunder, and in connection therewith the Seller waives any requirement of prior demand against the Purchaser and waives any defaults it would have against the Purchaser with respect to such repurchase obligation. Any such purchase shall take place in the manner specified in Section 4.7 of the Sale and Servicing Agreement. For purposes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Purchase Amount of a Receivable that is not consistent with the warranty pursuant to </w:t>
      </w:r>
      <w:r>
        <w:rPr>
          <w:rFonts w:ascii="Times New Roman" w:cs="Times New Roman" w:eastAsia="Times New Roman" w:hAnsi="Times New Roman"/>
          <w:sz w:val="18"/>
          <w:szCs w:val="18"/>
          <w:u w:val="single" w:color="auto"/>
          <w:color w:val="auto"/>
        </w:rPr>
        <w:t>Section 3.2(b)(i)(A)</w:t>
      </w:r>
    </w:p>
    <w:p>
      <w:pPr>
        <w:spacing w:after="0" w:line="12" w:lineRule="exact"/>
        <w:rPr>
          <w:sz w:val="20"/>
          <w:szCs w:val="20"/>
          <w:color w:val="auto"/>
        </w:rPr>
      </w:pPr>
    </w:p>
    <w:p>
      <w:pPr>
        <w:jc w:val="both"/>
        <w:ind w:firstLine="8"/>
        <w:spacing w:after="0" w:line="251" w:lineRule="auto"/>
        <w:tabs>
          <w:tab w:leader="none" w:pos="261" w:val="left"/>
        </w:tabs>
        <w:numPr>
          <w:ilvl w:val="0"/>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(i)(A)(6)</w:t>
      </w:r>
      <w:r>
        <w:rPr>
          <w:rFonts w:ascii="Times New Roman" w:cs="Times New Roman" w:eastAsia="Times New Roman" w:hAnsi="Times New Roman"/>
          <w:sz w:val="18"/>
          <w:szCs w:val="18"/>
          <w:color w:val="auto"/>
        </w:rPr>
        <w:t xml:space="preserve"> shall include such additional amount as shall be necessary to provide the full amount of interest as contemplated therein. The sole remedy hereunder of the Securityholders, the Trust, the Indenture Trustee, the Grantor Trust or the Purchaser against the Seller with respect to any Repurchase Event shall be to enforce the Seller’s obligation to repurchase such Receivables pursuant to this Receivables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Seller shall indemnify the Indenture Trustee, the Custodian, the Trust the Grantor Trust and the Securityholders against all costs, expenses, losses, damages, claims and liabilities, including reasonable fees and expenses of counsel, that may be asserted against or incurred by any of them, as a result of claims arising out of the events or facts giving rise to such breach. Upon receipt of the Purchase Amount, the Purchaser shall cause the Indenture Trustee to release the related Receivable Files to the Seller and to execute and deliver all instruments of transfer or assignment, without recourse, as are necessary to vest in the Seller title to the Receivables. Notwithstanding the foregoing, if it is determined that consummation of the transactions contemplated by the Sale and Servicing Agreement, the Indenture and the other transaction documents referenced in such agreements, servicing and operation of the Trust pursuant to Trust Agreement and such other documents, or the ownership of a Security by a Holder constitutes a violation of the prohibited transaction rules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the Internal Revenue Code of 1986, as amended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for which no statutory exception or administrative exemption applies, such violation shall not be treated as a Repurchase Event.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Seller’s Assignment of Purchased Receivables</w:t>
      </w:r>
      <w:r>
        <w:rPr>
          <w:rFonts w:ascii="Times New Roman" w:cs="Times New Roman" w:eastAsia="Times New Roman" w:hAnsi="Times New Roman"/>
          <w:sz w:val="18"/>
          <w:szCs w:val="18"/>
          <w:color w:val="auto"/>
        </w:rPr>
        <w:t>. With respect to all Receivables repurchased by the Seller pursuant to this Receivables Purchase Agreement, the Purchaser shall assign, without recourse (except as provided herein), representation or warranty, to the Seller all the Purchaser’s right, title and interest in and to such Receivables, and all security and documents relating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Conveyance as Sale of Receivables Not Financing</w:t>
      </w:r>
      <w:r>
        <w:rPr>
          <w:rFonts w:ascii="Times New Roman" w:cs="Times New Roman" w:eastAsia="Times New Roman" w:hAnsi="Times New Roman"/>
          <w:sz w:val="18"/>
          <w:szCs w:val="18"/>
          <w:color w:val="auto"/>
        </w:rPr>
        <w:t>. The parties hereto intend that the conveyance hereunder be a sale of the Receivables and the other Transferred Property from the Seller to the Purchaser and not a financing secured by such assets; and the beneficial interest in and title to the Receivables and the other Transferred Property shall not be part of the Seller’s estate in the event of the filing of a bankruptcy petition by or against the Seller under any bankruptcy law. In the event that any conveyance hereunder is for any reason not considered a sale, the parties intend that this Receivables Purchase Agreement constitute a security agreement under the UCC (as defined in the UCC as in effect in the State of California) and applicable law, and the Seller hereby grants to the Purchaser a first priority perfected security interest in, to and under the Receivables and the other Transferred Property, and other property conveyed hereunder and all proceeds of any of the foregoing for the purpose of securing payment and performance of the Securities and the repayment of amounts owed to the Purchaser from the Seller.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The Seller acknowledges that the Purchaser will, pursuant to the Sale and Servicing Agreement, sell the Receivables to the Trust and assign its rights under this Receivables Purchase Agreement to the Trust, which will further assign such rights to the Grantor Trust, and that the representations and warranties contained in this Receivables Purchase Agreement and the rights of the Purchaser under this Receivables Purchase Agreement, including under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are intended to benefit the Trust and the Securityholders. The Seller also acknowledges that the Indenture Trustee on behalf of the Securityholders as assignee of the Purchaser’s rights hereunder may directly enforce, without making any prior demand on the Purchaser, all the rights of the Purchaser hereunder including the rights under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The Seller hereby consents to such sales and assignments.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Receivables Purchase Agreement may be amended by the Seller and the Purchaser without the consent of any other party</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8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(ii) to correct or supplement any provisions in this Agreement, (iii) to comply with any changes in the Code, (iv) to cause the provisions of this Agreement to confirm or be consistent with or in furtherance of the statements made in the Memorandum with respect to the Notes, the parties hereto or this Agreement, or (v) to make any other provisions with respect to matters or questions arising under this Agreement that shall not be inconsistent with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amendment (other than an amendment effected pursuant to clause (iv) above) shall not, as evidenced by an Opinion of Counsel or an Officer’s Certificate of the Seller delivered to the Owner Trustee and the Indenture Trustee, adversely affect in any material respect the interests of any Noteholder without the consent of such Noteholder;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amendment shall be deemed to not adversely affect in any material respect the interests of any Noteholder of a Class if the Rating Agency Condition with respect to that Class is satisfied (and upon such satisfaction, no Opinion of Counsel or Officer’s Certificate shall be necessary with respect to the related Class).</w:t>
      </w:r>
    </w:p>
    <w:p>
      <w:pPr>
        <w:spacing w:after="0" w:line="19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5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also be amended from time to time by the Seller and the Purchaser, with the consent of Holders of a majority of the aggregate outstanding Note Balance of the Controlling Class, for the purpose of adding any provisions to or changing in any manner or eliminating any of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without the consent of each Securityholder affected thereby, no such amendment shall, (i) increase or reduce in any manner the amount of, or accelerate or delay the timing of, collections of payments on Receivables or distributions that shall be required to be made for the benefit of the Securityholders, (ii) change the date of payment of any installment of principal of or interest on any Security, or reduce the principal amount thereof, the interest rate thereon or the redemption price with respect thereto; (iii) modify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action shall not, as evidenced by an Opinion of Counsel delivered to the Owner Trustee and the Indenture Trustee, adversely affect in any material respect the interests of any Securityholder without the consent of such Securityholder;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amendment shall be deemed to not adversely affect in any material respect the interests of any Noteholder of a Class if the Rating Agency Condition with respect to that Class is satisfied.</w:t>
      </w:r>
    </w:p>
    <w:p>
      <w:pPr>
        <w:spacing w:after="0" w:line="194"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any such amendment or consent, the Purchaser shall furnish written notification of the substance of such amendment or consent to each Securityholder and the Rating Agency.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5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shall not be necessary for the consent of the Securityholders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approve the particular form of any proposed amendment or consent, but it shall be sufficient if such consent shall approve the substance thereof. The manner of obtaining such consents and of evidencing the authorization of the execution thereof by the Securityholders shall be subject to such reasonable requirements as the Indenture Trustee and Owner Trustee may prescribe, including the establishment of Record Dates (as defined in the Indenture with respect to the Noteholders and as defined in the Trust Agreement with respect to the Residual Certificateholders). The consent of a Securityholder given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pursuant to any other provision of this Agreement shall be conclusive and binding on such Securityholder and on all future Securityholders and of any Security issued upon the transfer thereof or in exchange thereof or in lieu thereof whether or not notation of such consent is made upon the Security.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Accountants’ Letters</w:t>
      </w:r>
      <w:r>
        <w:rPr>
          <w:rFonts w:ascii="Times New Roman" w:cs="Times New Roman" w:eastAsia="Times New Roman" w:hAnsi="Times New Roman"/>
          <w:sz w:val="18"/>
          <w:szCs w:val="18"/>
          <w:color w:val="auto"/>
        </w:rPr>
        <w:t>. (a) KPMG LLP will review the characteristics of the Receivables and will compare those characteristics to the information with respect to the Receivables contained in the PPM; (b) the Seller will cooperate with the Purchaser and KPMG LLP in making available all information and taking all steps reasonably necessary to permit such accountants to complete the review set forth in (a) above; and (c) KPMG LLP will deliver to the Purchaser letters, dated the dates of the Preliminary PPM and the Final PPM, in the form previously agreed to by the Seller and the Purchaser, with respect to the financial and statistical information contained in the Preliminary PPM and the Final PPM under the captions “Servicing and Collections--Delinquency and Loss Experience”, “The Receivables Pool” and “Yield and Prepayment Considerations”, certain information relating to the Receivables on magnetic tape obtained from the Seller and the Purchaser and with respect to such other information as may be agreed in the form of letter.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failure or delay on the part of the Purchaser in exercising any power, right or remedy under the Agreements shall operate as a waiver thereof, nor shall any single or partial exercise of any such power, right or remedy preclude any other or further exercise thereof or the exercise of any other power, right or remedy.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pursuant hereto to either party shall be in writing or by telegraph or telex and addressed or delivered to it at its address (or in case of telex, at its telex number at such address) shown in the opening portion of this Receivables Purchase Agreement or at such other address as may be designated by it by notice to the other party and, if mailed or sent by telegraph or telex, shall be deemed given when mailed, communicated to the telegraph office or transmitted by telex.</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Seller will pay all expenses incident to the performance of its obligations under this Receivables Purchase Agreement and the Seller agrees to pay all reasonable out-of-pocket costs and expenses of the Purchaser in connection with the perfection as against third parties of the Purchaser’s right, title and interest in and to the Receivables and security interests in the Financed Vehicles and the enforcement of any obligation of the Seller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Representations of the Seller and the Purchaser</w:t>
      </w:r>
      <w:r>
        <w:rPr>
          <w:rFonts w:ascii="Times New Roman" w:cs="Times New Roman" w:eastAsia="Times New Roman" w:hAnsi="Times New Roman"/>
          <w:sz w:val="18"/>
          <w:szCs w:val="18"/>
          <w:color w:val="auto"/>
        </w:rPr>
        <w:t xml:space="preserve">. The respective agreements, representations, warranties and other statements by the Seller and the Purchaser set forth in or made pursuant to this Receivables Purchase Agreement shall remain in full force and effect and will survive the closing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Purchaser agrees that it will neither use nor disclose to any Person the names and addresses of the Obligors, except in connection with the enforcement of the Purchaser’s rights hereunder, under the Receivables, under the Sale and Servicing Agreement or as required by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Headings and Cross-References</w:t>
      </w:r>
      <w:r>
        <w:rPr>
          <w:rFonts w:ascii="Times New Roman" w:cs="Times New Roman" w:eastAsia="Times New Roman" w:hAnsi="Times New Roman"/>
          <w:sz w:val="18"/>
          <w:szCs w:val="18"/>
          <w:color w:val="auto"/>
        </w:rPr>
        <w:t>. The various headings in this Receivables Purchase Agreement are included for convenience only and shall not affect the meaning or interpretation of any provision of this Receivables Purchase Agreement. References in this Receivables Purchase Agreement to Section names or numbers are to such Sections of this Receivables Purchase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parties hereto hereby expressly agree that the Indenture Trustee for the benefit of the Noteholders shall be an express third-party beneficiary of this Receivables Purchase Agreement, and no third party other than the Indenture Trustee for the benefit of the Noteholders shall be deemed a third party beneficiary of this Receivables Purchase Agreement. As a third party beneficiary to the provisions of this Receivables Purchase Agreement, Indenture Trustee and its successors and assigns shall be entitled to rely upon and directly enforce the provisions of this Receivables Purchase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Governing Law; Waiver of Jury Trial; Jurisdiction</w:t>
      </w:r>
      <w:r>
        <w:rPr>
          <w:rFonts w:ascii="Times New Roman" w:cs="Times New Roman" w:eastAsia="Times New Roman" w:hAnsi="Times New Roman"/>
          <w:sz w:val="18"/>
          <w:szCs w:val="18"/>
          <w:color w:val="auto"/>
        </w:rPr>
        <w:t xml:space="preserve">. EXCEPT AS PROVIDED OTHERWISE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THIS RECEIVABLES PURCHASE AGREEMENT AND THE ASSIGNMENT SHALL BE CONSTRUED IN ACCORDANCE WITH, AND THIS RECEIVABLES PURCHASE AGREEMENT AND ALL MATTERS ARISING OUT OF OR RELATING IN ANY WAY TO THIS RECEIVABLES PURCHASE AGREEMENT SHALL BE GOVERNED BY, THE LAWS OF THE STATE OF NEW YORK, WITHOUT REGARD TO CONFLICTS OF LAWS PRINCIPLES. THE PARTIES HERETO HEREBY AGREE NOT TO ELECT A TRIAL BY JURY OF ANY ISSUE TRIABLE OF RIGHT BY JURY, AND WAIVE ANY RIGHT TO TRIAL BY JURY FULLY TO THE EXTENT THAT ANY SUCH RIGHT SHALL NOW OR HEREAFTER EXIST WITH REGARD TO THIS RECEIVABLES PURCHASE AGREEMENT, OR ANY CLAIM, COUNTERCLAIM OR OTHER ACTION ARISING IN CONNECTION THEREWITH. THIS WAIVER OF RIGHT TO TRIAL BY JURY IS GIVEN KNOWINGLY AND VOLUNTARILY BY THE PARTIES HERETO, AND IS INTENDED TO ENCOMPASS INDIVIDUALLY EACH INSTANCE AND EACH ISSUE AS TO WHICH THE RIGHT TO A TRIAL BY JURY WOULD OTHERWISE ACCRUE. THE PARTIES HERETO ARE HEREBY AUTHORIZED TO FILE A COPY OF THIS PARAGRAPH IN ANY PROCEEDING AS CONCLUSIVE EVIDENCE OF THIS WAIVER.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PARTIES HERETO IRREVOCABLY (I) SUBMITS TO THE JURISDICTION OF THE COURTS OF THE STATE OF NEW YORK LOCATED IN NEW YORK COUNTY AND THE FEDERAL COURTS OF THE UNITED STATES OF AMERICA FOR THE SOUTHERN DISTRICT OF NEW YORK FOR THE PURPOSE OF ANY ACTION OR PROCEEDING RELATING TO THIS AGREEMENT; (II) WAIVES, TO THE FULLEST EXTENT PERMITTED BY LAW, THE DEFENSE OF AN INCONVENIENT FORUM IN ANY SUCH ACTION OR PROCEEDING IN ANY SUCH COURT; (III) AGREES THAT A FINAL JUDGMENT IN ANY SUCH ACTION OR PROCEEDING IN ANY SUCH COURT SHALL BE CONCLUSIVE AND MAY BE ENFORCED IN ANY OTHER JURISDICTION BY SUIT ON THE JUDGMENT OR IN ANY OTHER MANNER PROVIDED BY LAW; AND (IV) CONSENTS TO SERVICE OF PROCESS UPON IT BY MAILING A COPY THEREOF BY CERTIFIED MAIL ADDRESSED TO IT AS PROVIDED FOR NOTICES HEREUNDER AND AGREES THAT NOTHING HEREIN SHALL AFFECT THE RIGHT TO EFFECT SERVICE OF PROCESS IN ANY MANNER PERMITTED BY LAW.</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Receivables Purchase Agreement may be executed in two or more counterparts and by different parties on separate counterparts, each of which shall be an original, but all of which together shall constitute one and the same instrument.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Intention of Parties Regarding Delaware Securitization Act</w:t>
      </w:r>
      <w:r>
        <w:rPr>
          <w:rFonts w:ascii="Times New Roman" w:cs="Times New Roman" w:eastAsia="Times New Roman" w:hAnsi="Times New Roman"/>
          <w:sz w:val="18"/>
          <w:szCs w:val="18"/>
          <w:color w:val="auto"/>
        </w:rPr>
        <w:t xml:space="preserve">. It is the intention of the Seller and the Purchaser that the transfer and assignment of the Transferred Property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constitute a sale of the Transferred Property from the Seller to the Purchaser, conveying good title thereto free and clear of any liens, and the beneficial interest in and title to the Transferred Property shall not be part of the Seller’s estate in the event of the filing of a bankruptcy petition by or against the Seller under any bankruptcy or similar law. In addition, for purposes of complying with the requirements of the Asset-Backed Securities Facilitation Act of the State of Delaware, 6 Del. C. § 2701A, et seq. (the “</w:t>
      </w:r>
      <w:r>
        <w:rPr>
          <w:rFonts w:ascii="Times New Roman" w:cs="Times New Roman" w:eastAsia="Times New Roman" w:hAnsi="Times New Roman"/>
          <w:sz w:val="18"/>
          <w:szCs w:val="18"/>
          <w:u w:val="single" w:color="auto"/>
          <w:color w:val="auto"/>
        </w:rPr>
        <w:t>Securitization Act</w:t>
      </w:r>
      <w:r>
        <w:rPr>
          <w:rFonts w:ascii="Times New Roman" w:cs="Times New Roman" w:eastAsia="Times New Roman" w:hAnsi="Times New Roman"/>
          <w:sz w:val="18"/>
          <w:szCs w:val="18"/>
          <w:color w:val="auto"/>
        </w:rPr>
        <w:t>”), each of the parties hereto hereby agrees that:</w:t>
      </w:r>
    </w:p>
    <w:p>
      <w:pPr>
        <w:spacing w:after="0" w:line="187" w:lineRule="exact"/>
        <w:rPr>
          <w:sz w:val="20"/>
          <w:szCs w:val="20"/>
          <w:color w:val="auto"/>
        </w:rPr>
      </w:pPr>
    </w:p>
    <w:p>
      <w:pPr>
        <w:ind w:left="660" w:firstLine="644"/>
        <w:spacing w:after="0" w:line="282" w:lineRule="auto"/>
        <w:tabs>
          <w:tab w:leader="none" w:pos="19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assets or rights purported to be transferred, in whole or in part, by the Seller to the Purchaser pursuant to this Receivables Purchase Agreement shall be deemed to no longer be the property, assets or rights of the Seller;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 its creditors or, in any insolvency proceeding with respect to the Seller or the Seller’s property, a bankruptcy trustee, receiver, debtor, debtor in possession or similar person, to the extent the issue is governed by Delaware law, shall have any rights, legal or equitable, whatsoever to reacquire (except pursuant to a provision of this Receivables Purchase Agreement), reclaim, recover, repudiate, disaffirm, redeem or recharacterize as property of the Seller any property, assets or rights purported to be transferred, in whole or in part, by the Seller to the Purchaser pursuant to this Receivables Purchase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bankruptcy, receivership or other insolvency proceeding with respect to the Seller or the Seller’s property, to the extent the issue is governed by Delaware law, such property, assets and rights shall not be deemed to be part of the Seller’s property, assets, rights or estate;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contemplated by this Receivables Purchase Agreement shall constitute a “securitization transaction” as such term is used in the Securitization Act.</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[Rest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ind w:firstLine="61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hereby have caused this Receivables Purchase Agreement to be executed by their respective officers thereunto duly authorized as of the date and year first above written.</w:t>
      </w:r>
    </w:p>
    <w:p>
      <w:pPr>
        <w:spacing w:after="0" w:line="1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CPS RECEIVABLES FIVE LLC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Title: Vice President and Assistant Secretary</w:t>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Receivables Purchase Agreement - Signature Page</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CPS2026-C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211455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540" w:top="796" w:right="4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w:t>
      </w:r>
    </w:p>
    <w:p>
      <w:pPr>
        <w:spacing w:after="0" w:line="22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For value received, on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July 2026, in accordance with the Receivables Purchase Agreement dated as of July 1, 2026, between the undersigned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CPS Receivables Five LLC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the undersigned does hereby sell, transfer, assign and otherwise convey unto the Purchaser, without recourse (subject to the obligations in the Receivables Purchase Agreement and the Sale and Servicing Agreement), all right, title and interest of the Seller in, to and under (i) the Receivables listed in the Schedule of Receivables and all monies received thereunder after the Cutoff Date and all Net Liquidation Proceeds and Recoveries received with respect to such Receivables after the Cutoff Date;</w:t>
      </w:r>
    </w:p>
    <w:p>
      <w:pPr>
        <w:spacing w:after="0" w:line="3" w:lineRule="exact"/>
        <w:rPr>
          <w:sz w:val="20"/>
          <w:szCs w:val="20"/>
          <w:color w:val="auto"/>
        </w:rPr>
      </w:pPr>
    </w:p>
    <w:p>
      <w:pPr>
        <w:jc w:val="both"/>
        <w:ind w:firstLine="8"/>
        <w:spacing w:after="0" w:line="251" w:lineRule="auto"/>
        <w:tabs>
          <w:tab w:leader="none" w:pos="2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in the Financed Vehicles granted by the related Obligors pursuant to the Receivables and any other interest of the Seller in such Financed Vehicles, including, without limitation, the Lien Certificates with respect to Financed Vehicles; (iii) any proceeds from claims on any physical damage, credit life and credit accident and health insurance policies or certificates relating to the Financed Vehicles securing the Receivables or the Obligors thereunder; (iv) all proceeds from recourse against Dealers with respect to the Receivables; (v) refunds for the costs of extended service contracts with respect to Financed Vehicles securing the Receivables, refunds of unearned premiums with respect to credit life and credit accident and health insurance policies or certificates covering an Obligor or Financed Vehicle or an Obligor’s obligations with respect to a Receivable or a Financed Vehicle and any recourse to Dealers for any of the foregoing; (vi) the Receivable File related to each Receivable; (vii) all property (including the right to receive future Net Liquidation Proceeds) that secures a Receivable that has been acquired by or on behalf of the Seller, pursuant to a liquidation of such Receivable; and (viii) 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insurance proceeds, condemnation awards, rights to payment of any and every kind and other forms of obligations and receivables, instruments and other property which at any time constitute all or part of or are included in the proceeds of any of the foregoing (collectively, the “</w:t>
      </w:r>
      <w:r>
        <w:rPr>
          <w:rFonts w:ascii="Times New Roman" w:cs="Times New Roman" w:eastAsia="Times New Roman" w:hAnsi="Times New Roman"/>
          <w:sz w:val="18"/>
          <w:szCs w:val="18"/>
          <w:u w:val="single" w:color="auto"/>
          <w:color w:val="auto"/>
        </w:rPr>
        <w:t>Transferred Property</w:t>
      </w:r>
      <w:r>
        <w:rPr>
          <w:rFonts w:ascii="Times New Roman" w:cs="Times New Roman" w:eastAsia="Times New Roman" w:hAnsi="Times New Roman"/>
          <w:sz w:val="18"/>
          <w:szCs w:val="18"/>
          <w:color w:val="auto"/>
        </w:rPr>
        <w:t>”). The foregoing sale does not constitute and is not intended to result in any assumption by the Purchaser of any obligation of the undersigned to the Obligors, insurers or any other Person in connection with the Receivables, the related Receivable Files, any insurance policies or any agreement or instrument relating to any of them.</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Assignment is made pursuant to and upon the representations, warranties and agreements on the part of the undersigned contained in the Receivables Purchase Agreement and is to be governed by the Receivables Purchase Agreement.</w:t>
      </w:r>
    </w:p>
    <w:p>
      <w:pPr>
        <w:spacing w:after="0" w:line="16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It is the intention of the Seller and the Purchaser that the transfer and assignment of the Transferred Property contemplated by this Assignment shall constitute a sale of the Transferred Property from the Seller to the Purchaser, conveying good title thereto free and clear of any liens, and the beneficial interest in and title to the Transferred Property shall not be part of the Seller’s estate in the event of the filing of a bankruptcy petition by or against the Seller under any bankruptcy or similar law. In addition, for purposes of complying with the requirements of the Asset-Backed Securities Facilitation Act of the State of Delaware, 6 Del. C. § 2701A, et seq. (the “Securitization Act”); (i) any property, assets or rights purported to be transferred, in whole or in part, by the Seller to the Purchaser pursuant to this Assignment shall be deemed to no longer be the property, assets or rights of the Seller; (ii) none of the Seller, its creditors or, in any insolvency proceeding with respect to the Seller or the Seller’s property, a bankruptcy trustee, receiver, debtor, debtor in possession or similar person, to the extent the issue is governed by Delaware law, shall have any rights, legal or equitable, whatsoever to reacquire (except pursuant to a provision of this Assignment), reclaim, recover, repudiate, disaffirm, redeem or recharacterize as property of the Seller any property, assets or rights purported to be transferred, in whole or in part, by the Seller to the Purchaser hereby or pursuant to the Receivables Purchase Agreement;</w:t>
      </w:r>
    </w:p>
    <w:p>
      <w:pPr>
        <w:spacing w:after="0" w:line="4" w:lineRule="exact"/>
        <w:rPr>
          <w:sz w:val="20"/>
          <w:szCs w:val="20"/>
          <w:color w:val="auto"/>
        </w:rPr>
      </w:pPr>
    </w:p>
    <w:p>
      <w:pPr>
        <w:jc w:val="both"/>
        <w:ind w:firstLine="8"/>
        <w:spacing w:after="0" w:line="255" w:lineRule="auto"/>
        <w:tabs>
          <w:tab w:leader="none" w:pos="3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bankruptcy, receivership or other insolvency proceeding with respect to the Seller or the Seller’s property, to the extent the issue is governed by Delaware law, such property, assets and rights shall not be deemed to be part of the Seller’s property, assets, rights or estate; and (iv) the transaction contemplated by this Assignment shall constitute a “securitization transaction” as such term is used in the Securitization Act.</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PRECEDING PARAGRAPH, THIS ASSIGNMENT SHALL BE GOVERNED BY AND CONSTRUED IN ACCORDANCE WITH THE INTERNAL LAWS OF THE STATE OF NEW YORK, WITHOUT REGARD TO CONFLICTS OF LAW PRINCIPLES.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meanings assigned to them in the Receivables Purchase Agreement.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Assignment to be duly executed as of the day and year first above written.</w:t>
      </w:r>
    </w:p>
    <w:p>
      <w:pPr>
        <w:sectPr>
          <w:pgSz w:w="11900" w:h="16838" w:orient="portrait"/>
          <w:cols w:equalWidth="0" w:num="1">
            <w:col w:w="9660"/>
          </w:cols>
          <w:pgMar w:left="980" w:top="796" w:right="12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24765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60"/>
          </w:cols>
          <w:pgMar w:left="980" w:top="796" w:right="1259"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Receivables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[Available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IDENTIFIED INFORMATION HAS BEEN EXCLUDED FROM THE EXHIBIT BECAUSE IT BOTH (I) IS NOT MATERIAL AND</w:t>
      </w:r>
    </w:p>
    <w:p>
      <w:pPr>
        <w:spacing w:after="0" w:line="43" w:lineRule="exact"/>
        <w:rPr>
          <w:sz w:val="20"/>
          <w:szCs w:val="20"/>
          <w:color w:val="auto"/>
        </w:rPr>
      </w:pPr>
    </w:p>
    <w:p>
      <w:pPr>
        <w:jc w:val="center"/>
        <w:ind w:left="5000" w:right="140" w:hanging="4886"/>
        <w:spacing w:after="0" w:line="260" w:lineRule="auto"/>
        <w:tabs>
          <w:tab w:leader="none" w:pos="419"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BE COMPETITIVELY HARMFUL IF PUBLICLY DISCLOSED. SUCH EXCLUDED INFORMATION HAS BEEN MARKED WITH “[***].”</w:t>
      </w:r>
    </w:p>
    <w:p>
      <w:pPr>
        <w:spacing w:after="0" w:line="1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AMENDMENT NO. 4 TO CREDIT AGREEMENT</w:t>
      </w:r>
    </w:p>
    <w:p>
      <w:pPr>
        <w:spacing w:after="0" w:line="225" w:lineRule="exact"/>
        <w:rPr>
          <w:sz w:val="20"/>
          <w:szCs w:val="20"/>
          <w:color w:val="auto"/>
        </w:rPr>
      </w:pPr>
    </w:p>
    <w:p>
      <w:pPr>
        <w:jc w:val="both"/>
        <w:ind w:left="1260" w:right="960" w:firstLine="648"/>
        <w:spacing w:after="0" w:line="256"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July 9, 2026, is the FOURTH AMENDMENT TO EIGHTH AMENDED AND RESTATED CREDIT AGREEMENT, by and among PAGE EIGHT FUNDING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CONSUMER PORTFOLIO SERVICES, INC., a California Corporation (“</w:t>
      </w:r>
      <w:r>
        <w:rPr>
          <w:rFonts w:ascii="Times New Roman" w:cs="Times New Roman" w:eastAsia="Times New Roman" w:hAnsi="Times New Roman"/>
          <w:sz w:val="18"/>
          <w:szCs w:val="18"/>
          <w:u w:val="single" w:color="auto"/>
          <w:color w:val="auto"/>
        </w:rPr>
        <w:t>CPS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the Lenders set forth on the signature pages hereto, and CITIBANK, N.A., a national banking association, in its capacity as administrative agent for the Lenders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left="1260" w:right="980" w:firstLine="648"/>
        <w:spacing w:after="0" w:line="255" w:lineRule="auto"/>
        <w:rPr>
          <w:sz w:val="20"/>
          <w:szCs w:val="20"/>
          <w:color w:val="auto"/>
        </w:rPr>
      </w:pPr>
      <w:r>
        <w:rPr>
          <w:rFonts w:ascii="Times New Roman" w:cs="Times New Roman" w:eastAsia="Times New Roman" w:hAnsi="Times New Roman"/>
          <w:sz w:val="18"/>
          <w:szCs w:val="18"/>
          <w:color w:val="auto"/>
        </w:rPr>
        <w:t>WHEREAS, a loan facility has been extended to the Borrower pursuant to (x) that certain Eighth Amended and Restated Credit Agreement, dated as of November 1, 2024 (as amended, modified, supplemented, increased and extended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Servicer, the Lenders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the Agent and the Collateral Agent, and (y) that certain Third Amended and Restated Sale and Servicing Agreement, dated as of November 1, 2024 (as amended, modified, supplemented, increased and extended from time to time, the “</w:t>
      </w:r>
      <w:r>
        <w:rPr>
          <w:rFonts w:ascii="Times New Roman" w:cs="Times New Roman" w:eastAsia="Times New Roman" w:hAnsi="Times New Roman"/>
          <w:sz w:val="18"/>
          <w:szCs w:val="18"/>
          <w:u w:val="single" w:color="auto"/>
          <w:color w:val="auto"/>
        </w:rPr>
        <w:t>Sale and Servicing Agreement</w:t>
      </w:r>
      <w:r>
        <w:rPr>
          <w:rFonts w:ascii="Times New Roman" w:cs="Times New Roman" w:eastAsia="Times New Roman" w:hAnsi="Times New Roman"/>
          <w:sz w:val="18"/>
          <w:szCs w:val="18"/>
          <w:color w:val="auto"/>
        </w:rPr>
        <w:t>”), by and among the Borrower, the Servicer, the Agent, the Collateral Agent and Computershare Trust Company, National Association, as Custodian, Account Bank and Backup Servicer;</w:t>
      </w:r>
    </w:p>
    <w:p>
      <w:pPr>
        <w:spacing w:after="0" w:line="189" w:lineRule="exact"/>
        <w:rPr>
          <w:sz w:val="20"/>
          <w:szCs w:val="20"/>
          <w:color w:val="auto"/>
        </w:rPr>
      </w:pPr>
    </w:p>
    <w:p>
      <w:pPr>
        <w:jc w:val="both"/>
        <w:ind w:left="1260" w:right="980" w:firstLine="648"/>
        <w:spacing w:after="0" w:line="282" w:lineRule="auto"/>
        <w:rPr>
          <w:sz w:val="20"/>
          <w:szCs w:val="20"/>
          <w:color w:val="auto"/>
        </w:rPr>
      </w:pPr>
      <w:r>
        <w:rPr>
          <w:rFonts w:ascii="Times New Roman" w:cs="Times New Roman" w:eastAsia="Times New Roman" w:hAnsi="Times New Roman"/>
          <w:sz w:val="18"/>
          <w:szCs w:val="18"/>
          <w:color w:val="auto"/>
        </w:rPr>
        <w:t>WHEREAS, CPS, the Borrower, the Lenders, the Agent and the Collateral Agent, have agreed to amend the Credit Agreement pursuant to Section 9.01 thereof on the terms and conditions set forth herein.</w:t>
      </w:r>
    </w:p>
    <w:p>
      <w:pPr>
        <w:spacing w:after="0" w:line="162" w:lineRule="exact"/>
        <w:rPr>
          <w:sz w:val="20"/>
          <w:szCs w:val="20"/>
          <w:color w:val="auto"/>
        </w:rPr>
      </w:pPr>
    </w:p>
    <w:p>
      <w:pPr>
        <w:jc w:val="both"/>
        <w:ind w:left="1260" w:right="9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these premises and other good and valuable consideration, the receipt and sufficiency of which are hereby acknowledged, the parties hereto agree as follows:</w:t>
      </w:r>
    </w:p>
    <w:p>
      <w:pPr>
        <w:spacing w:after="0" w:line="162" w:lineRule="exact"/>
        <w:rPr>
          <w:sz w:val="20"/>
          <w:szCs w:val="20"/>
          <w:color w:val="auto"/>
        </w:rPr>
      </w:pPr>
    </w:p>
    <w:p>
      <w:pPr>
        <w:ind w:left="1260" w:right="980" w:firstLine="651"/>
        <w:spacing w:after="0" w:line="282" w:lineRule="auto"/>
        <w:tabs>
          <w:tab w:leader="none" w:pos="25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herein but not otherwise defined herein shall have the meanings provided to such terms in the Credit Agreement or if not defined therein, the Sale and Servicing Agreement.</w:t>
      </w:r>
    </w:p>
    <w:p>
      <w:pPr>
        <w:spacing w:after="0" w:line="161"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Credit Agreement</w:t>
      </w:r>
      <w:r>
        <w:rPr>
          <w:rFonts w:ascii="Times New Roman" w:cs="Times New Roman" w:eastAsia="Times New Roman" w:hAnsi="Times New Roman"/>
          <w:sz w:val="18"/>
          <w:szCs w:val="18"/>
          <w:color w:val="auto"/>
        </w:rPr>
        <w:t>. Effective as of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920" w:right="980"/>
        <w:spacing w:after="0" w:line="261" w:lineRule="auto"/>
        <w:rPr>
          <w:sz w:val="20"/>
          <w:szCs w:val="20"/>
          <w:color w:val="auto"/>
        </w:rPr>
      </w:pPr>
      <w:r>
        <w:rPr>
          <w:rFonts w:ascii="Times New Roman" w:cs="Times New Roman" w:eastAsia="Times New Roman" w:hAnsi="Times New Roman"/>
          <w:sz w:val="18"/>
          <w:szCs w:val="18"/>
          <w:color w:val="auto"/>
        </w:rPr>
        <w:t xml:space="preserve">As of the Effective Date, the Credit Agreement is hereby amended to delete the struck-through text (indicated textually in the same manner as the following example: </w:t>
      </w:r>
      <w:r>
        <w:rPr>
          <w:rFonts w:ascii="Times New Roman" w:cs="Times New Roman" w:eastAsia="Times New Roman" w:hAnsi="Times New Roman"/>
          <w:sz w:val="18"/>
          <w:szCs w:val="18"/>
          <w:color w:val="FF0000"/>
          <w:strike w:val="1"/>
        </w:rPr>
        <w:t>struck-through text</w:t>
      </w:r>
      <w:r>
        <w:rPr>
          <w:rFonts w:ascii="Times New Roman" w:cs="Times New Roman" w:eastAsia="Times New Roman" w:hAnsi="Times New Roman"/>
          <w:sz w:val="18"/>
          <w:szCs w:val="18"/>
          <w:color w:val="auto"/>
        </w:rPr>
        <w:t xml:space="preserve">) from and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conformed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left="1260" w:right="980" w:firstLine="651"/>
        <w:spacing w:after="0" w:line="266" w:lineRule="auto"/>
        <w:tabs>
          <w:tab w:leader="none" w:pos="25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Amendment shall become effective on the date the Agent receives executed counterparts of this Amendment properly executed by each of CPS, the Borrower, the Lenders, the Agent and the Collateral Agent.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117" w:right="339" w:bottom="1440" w:gutter="0" w:footer="0" w:header="0"/>
        </w:sectPr>
      </w:pPr>
    </w:p>
    <w:bookmarkStart w:id="77" w:name="page78"/>
    <w:bookmarkEnd w:id="77"/>
    <w:p>
      <w:pPr>
        <w:jc w:val="both"/>
        <w:ind w:left="180" w:right="20" w:firstLine="652"/>
        <w:spacing w:after="0" w:line="261" w:lineRule="auto"/>
        <w:tabs>
          <w:tab w:leader="none" w:pos="14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 shall pay or cause to be paid the Class A Renewal Fee Amount, the Class B Upfront Fee Amount and all other fees, expenses and other amounts previously incurred and due and payable as of the date hereof under each Loan Document, including without limitation all fees and expenses pertaining to this Amendment, no later than the first Settlement Date following the date hereof.</w:t>
      </w:r>
    </w:p>
    <w:p>
      <w:pPr>
        <w:spacing w:after="0" w:line="179" w:lineRule="exact"/>
        <w:rPr>
          <w:rFonts w:ascii="Times New Roman" w:cs="Times New Roman" w:eastAsia="Times New Roman" w:hAnsi="Times New Roman"/>
          <w:sz w:val="18"/>
          <w:szCs w:val="18"/>
          <w:color w:val="auto"/>
        </w:rPr>
      </w:pPr>
    </w:p>
    <w:p>
      <w:pPr>
        <w:jc w:val="both"/>
        <w:ind w:left="180" w:firstLine="651"/>
        <w:spacing w:after="0" w:line="261" w:lineRule="auto"/>
        <w:tabs>
          <w:tab w:leader="none" w:pos="14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is a “Loan Document”</w:t>
      </w:r>
      <w:r>
        <w:rPr>
          <w:rFonts w:ascii="Times New Roman" w:cs="Times New Roman" w:eastAsia="Times New Roman" w:hAnsi="Times New Roman"/>
          <w:sz w:val="18"/>
          <w:szCs w:val="18"/>
          <w:color w:val="auto"/>
        </w:rPr>
        <w:t>. This Amendment is a Loan Document and all references to a “Loan Document” in the Credit Agreement, the Sale and Servicing Agreement and the other Loan Documents (including, without limitation, all such references in the representations and warranties in the Credit Agreement, the Sale and Servicing Agreement and the other Loan Documents) shall be deemed to include this Amendment.</w:t>
      </w:r>
    </w:p>
    <w:p>
      <w:pPr>
        <w:spacing w:after="0" w:line="179"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4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CPS, the Servicer and the Borrower</w:t>
      </w:r>
      <w:r>
        <w:rPr>
          <w:rFonts w:ascii="Times New Roman" w:cs="Times New Roman" w:eastAsia="Times New Roman" w:hAnsi="Times New Roman"/>
          <w:sz w:val="18"/>
          <w:szCs w:val="18"/>
          <w:color w:val="auto"/>
        </w:rPr>
        <w:t>. Each of CPS, the Borrower and the Servicer certify that as of the Effective Date:</w:t>
      </w:r>
    </w:p>
    <w:p>
      <w:pPr>
        <w:spacing w:after="0" w:line="162" w:lineRule="exact"/>
        <w:rPr>
          <w:sz w:val="20"/>
          <w:szCs w:val="20"/>
          <w:color w:val="auto"/>
        </w:rPr>
      </w:pPr>
    </w:p>
    <w:p>
      <w:pPr>
        <w:jc w:val="both"/>
        <w:ind w:left="180" w:right="20" w:firstLine="652"/>
        <w:spacing w:after="0" w:line="261" w:lineRule="auto"/>
        <w:tabs>
          <w:tab w:leader="none" w:pos="14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the representations and warranties set forth in Sections 5.01 and 5.02, as applicable, of the Credit Agreement, (ii) the representations and warranties set forth in Sections 7.1 and 8.1, as applicable, of the Sale and Servicing Agreement, and (iii) any representations and warranties in the other Loan Documents, are true and correct as of the date hereof; and</w:t>
      </w:r>
    </w:p>
    <w:p>
      <w:pPr>
        <w:spacing w:after="0" w:line="179"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4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in all material respects with all covenants and agreements and has satisfied all conditions on their part to be performed or satisfied prior to the date hereof.</w:t>
      </w:r>
    </w:p>
    <w:p>
      <w:pPr>
        <w:spacing w:after="0" w:line="162" w:lineRule="exact"/>
        <w:rPr>
          <w:sz w:val="20"/>
          <w:szCs w:val="20"/>
          <w:color w:val="auto"/>
        </w:rPr>
      </w:pPr>
    </w:p>
    <w:p>
      <w:pPr>
        <w:ind w:left="180" w:firstLine="652"/>
        <w:spacing w:after="0" w:line="282" w:lineRule="auto"/>
        <w:tabs>
          <w:tab w:leader="none" w:pos="14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No Default</w:t>
      </w:r>
      <w:r>
        <w:rPr>
          <w:rFonts w:ascii="Times New Roman" w:cs="Times New Roman" w:eastAsia="Times New Roman" w:hAnsi="Times New Roman"/>
          <w:sz w:val="18"/>
          <w:szCs w:val="18"/>
          <w:color w:val="auto"/>
        </w:rPr>
        <w:t>. Each of the Borrower and CPS represents and warrants to the Agent that after giving effect to this Amendment:</w:t>
      </w:r>
    </w:p>
    <w:p>
      <w:pPr>
        <w:spacing w:after="0" w:line="162" w:lineRule="exact"/>
        <w:rPr>
          <w:sz w:val="20"/>
          <w:szCs w:val="20"/>
          <w:color w:val="auto"/>
        </w:rPr>
      </w:pPr>
    </w:p>
    <w:p>
      <w:pPr>
        <w:ind w:left="1480" w:hanging="648"/>
        <w:spacing w:after="0"/>
        <w:tabs>
          <w:tab w:leader="none" w:pos="1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validly existing and in good standing under the laws of its jurisdiction of</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206" w:lineRule="exact"/>
        <w:rPr>
          <w:rFonts w:ascii="Times New Roman" w:cs="Times New Roman" w:eastAsia="Times New Roman" w:hAnsi="Times New Roman"/>
          <w:sz w:val="18"/>
          <w:szCs w:val="18"/>
          <w:color w:val="auto"/>
        </w:rPr>
      </w:pPr>
    </w:p>
    <w:p>
      <w:pPr>
        <w:jc w:val="both"/>
        <w:ind w:left="180" w:right="20" w:firstLine="652"/>
        <w:spacing w:after="0" w:line="266" w:lineRule="auto"/>
        <w:tabs>
          <w:tab w:leader="none" w:pos="14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it of this Amendment are within its powers, have been duly authorized, and do not contravene (A) its certificate of formation, certificate of incorporation, limited liability company operating agreement, by-laws or other organizational documents, as applicable, or (B) any applicable law;</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license, permit, approval or authorization of, or registration, filing or declaration with any governmental authority, is required in connection with the execution, delivery, performance, validity or enforceability of this Amendment by or against it;</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it;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its legal, valid and binding obligation enforceable against it in accordance with its terms, except as enforceability may be limited by applicable bankruptcy, insolvency, reorganization, moratorium or similar laws affecting the enforcement of creditors’ rights generally or by general principles of equity;</w:t>
      </w:r>
    </w:p>
    <w:p>
      <w:pPr>
        <w:spacing w:after="0" w:line="175" w:lineRule="exact"/>
        <w:rPr>
          <w:rFonts w:ascii="Times New Roman" w:cs="Times New Roman" w:eastAsia="Times New Roman" w:hAnsi="Times New Roman"/>
          <w:sz w:val="18"/>
          <w:szCs w:val="18"/>
          <w:color w:val="auto"/>
        </w:rPr>
      </w:pPr>
    </w:p>
    <w:p>
      <w:pPr>
        <w:jc w:val="both"/>
        <w:ind w:left="180" w:right="20" w:firstLine="651"/>
        <w:spacing w:after="0" w:line="266" w:lineRule="auto"/>
        <w:tabs>
          <w:tab w:leader="none" w:pos="14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the representations and warranties set forth in Sections 5.01 and 5.02, as applicable, of the Credit Agreement, and (ii) the representations and warranties set forth in Sections 7.1 and 8.1, as applicable, of the Sale and Servicing Agreement, are true and correct as of the date 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78" w:name="page79"/>
    <w:bookmarkEnd w:id="78"/>
    <w:p>
      <w:pPr>
        <w:ind w:left="180" w:firstLine="652"/>
        <w:spacing w:after="0" w:line="282" w:lineRule="auto"/>
        <w:tabs>
          <w:tab w:leader="none" w:pos="14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Amortization Event has occurred and is continuing and no event or condition exists that, with the giving of notice and/or passage of time, would constitute an Event of Default or Amortization Event.</w:t>
      </w:r>
    </w:p>
    <w:p>
      <w:pPr>
        <w:spacing w:after="0" w:line="162" w:lineRule="exact"/>
        <w:rPr>
          <w:sz w:val="20"/>
          <w:szCs w:val="20"/>
          <w:color w:val="auto"/>
        </w:rPr>
      </w:pPr>
    </w:p>
    <w:p>
      <w:pPr>
        <w:jc w:val="both"/>
        <w:ind w:left="180" w:right="20" w:firstLine="652"/>
        <w:spacing w:after="0" w:line="266" w:lineRule="auto"/>
        <w:tabs>
          <w:tab w:leader="none" w:pos="14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Obligations</w:t>
      </w:r>
      <w:r>
        <w:rPr>
          <w:rFonts w:ascii="Times New Roman" w:cs="Times New Roman" w:eastAsia="Times New Roman" w:hAnsi="Times New Roman"/>
          <w:sz w:val="18"/>
          <w:szCs w:val="18"/>
          <w:color w:val="auto"/>
        </w:rPr>
        <w:t>. Each of the Borrower and CPS (a) acknowledges and consents to all of the terms and conditions of this Amendment, (b) affirms all of its obligations under the Loan Documents and (c) agrees that this Amendment does not operate to reduce or discharge the Borrower’s or CPS’s obligations under the Loan Documents.</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51"/>
        <w:spacing w:after="0" w:line="252" w:lineRule="auto"/>
        <w:tabs>
          <w:tab w:leader="none" w:pos="14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counterparts, each of which shall be an original, with the same effect as if the signature thereto and hereto were on the same instrument. This Amendment may be executed and delivered by facsimile, portable document format (.pdf), or other Electronic Transmission (as defined below) all with the same force and effect as if the same was a fully executed and delivered original manual counterpart. Delivery of an executed electronic signature page of this Amendment by facsimile, portable document format (.pdf), or Electronic Transmission shall be as effective as delivery of a manually executed counterpart hereof and each party to this Amendment agrees that it will be bound by its own signature and that it accepts the facsimile, portable document format (.pdf), or other electronic signature of each other party to this Amendment. For the avoidance of doubt, the authorization under this paragraph may include, without limitation, use or acceptance by the Agent of a manually signed paper Amendment which has been converted into electronic form (such as scanned portable format (.pdf)), or an electronically signed Amendment converted into another format, for transmission, delivery and/or retention. The Agent may, at its option, create one or more copies of the Amendment in an electronic form, which shall be deemed created in the ordinary course of the Agent’s business, and destroy the original paper document. The words “execution,” “executed,” “signed,” “signature,” and words of like import in this paragraph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Laws,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4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descriptive headings of the various sections of this Amendment are inserted for convenience of reference only and shall not be deemed to affect the meaning or construction of any of the provisions hereof.</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not be amended or otherwise modified except as provided in the Agreement.</w:t>
      </w:r>
    </w:p>
    <w:p>
      <w:pPr>
        <w:spacing w:after="0" w:line="225" w:lineRule="exact"/>
        <w:rPr>
          <w:rFonts w:ascii="Times New Roman" w:cs="Times New Roman" w:eastAsia="Times New Roman" w:hAnsi="Times New Roman"/>
          <w:sz w:val="18"/>
          <w:szCs w:val="18"/>
          <w:color w:val="auto"/>
        </w:rPr>
      </w:pPr>
    </w:p>
    <w:p>
      <w:pPr>
        <w:ind w:left="1480" w:hanging="649"/>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hereby, all of the terms and provisions of the Loan Documents shall remain in full</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and effect.</w:t>
      </w:r>
    </w:p>
    <w:p>
      <w:pPr>
        <w:spacing w:after="0" w:line="206"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unenforceability of any provision hereof shall not affect the other provisions of this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79" w:name="page80"/>
    <w:bookmarkEnd w:id="79"/>
    <w:p>
      <w:pPr>
        <w:jc w:val="both"/>
        <w:ind w:left="180" w:firstLine="652"/>
        <w:spacing w:after="0" w:line="266" w:lineRule="auto"/>
        <w:tabs>
          <w:tab w:leader="none" w:pos="147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represents the final agreement between the parties only with respect to the subject matter expressly covered hereby and may not be contradicted by evidence of prior, contemporaneous or subsequent oral agreements between the parties. There are no unwritten oral agreements between the parties.</w:t>
      </w:r>
    </w:p>
    <w:p>
      <w:pPr>
        <w:spacing w:after="0" w:line="171" w:lineRule="exact"/>
        <w:rPr>
          <w:rFonts w:ascii="Times New Roman" w:cs="Times New Roman" w:eastAsia="Times New Roman" w:hAnsi="Times New Roman"/>
          <w:sz w:val="18"/>
          <w:szCs w:val="18"/>
          <w:color w:val="auto"/>
        </w:rPr>
      </w:pPr>
    </w:p>
    <w:p>
      <w:pPr>
        <w:jc w:val="both"/>
        <w:ind w:left="180" w:right="20" w:firstLine="652"/>
        <w:spacing w:after="0" w:line="256" w:lineRule="auto"/>
        <w:tabs>
          <w:tab w:leader="none" w:pos="147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AMENDMENT OR THE TRANSACTIONS CONTEMPLATED HEREBY. INSTEAD, ANY SUCH DISPUTE RESOLVED IN COURT WILL BE RESOLVED IN A BENCH TRIAL WITHOUT A JURY.</w:t>
      </w:r>
    </w:p>
    <w:p>
      <w:pPr>
        <w:spacing w:after="0" w:line="182"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47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AMENDMENT AND THE RIGHTS AND OBLIGATIONS OF THE PARTIES UNDER THIS AMENDMENT SHALL BE GOVERNED BY AND CONSTRUED AND INTERPRETED IN ACCORDANCE WITH THE LAWS OF THE STATE OF NEW YORK WITHOUT REFERENCE TO ITS CONFLICTS OF LAW PROVISIONS (OTHER THAN SECTIONS 5-1401 AND 5-1402 OF THE NEW YORK GENERAL OBLIGATIONS LAW). EACH OF THE PARTIES HERETO HEREBY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89" w:lineRule="exact"/>
        <w:rPr>
          <w:rFonts w:ascii="Times New Roman" w:cs="Times New Roman" w:eastAsia="Times New Roman" w:hAnsi="Times New Roman"/>
          <w:sz w:val="18"/>
          <w:szCs w:val="18"/>
          <w:color w:val="auto"/>
        </w:rPr>
      </w:pPr>
    </w:p>
    <w:p>
      <w:pPr>
        <w:ind w:left="180" w:right="20" w:firstLine="651"/>
        <w:spacing w:after="0" w:line="282" w:lineRule="auto"/>
        <w:tabs>
          <w:tab w:leader="none" w:pos="14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Recourse and Non-Petition</w:t>
      </w:r>
      <w:r>
        <w:rPr>
          <w:rFonts w:ascii="Times New Roman" w:cs="Times New Roman" w:eastAsia="Times New Roman" w:hAnsi="Times New Roman"/>
          <w:sz w:val="18"/>
          <w:szCs w:val="18"/>
          <w:color w:val="auto"/>
        </w:rPr>
        <w:t xml:space="preserve">. The provisions of Sections 9.10 and 9.16 of the Credit Agreement are hereby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80" w:name="page81"/>
    <w:bookmarkEnd w:id="80"/>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a counterpart of this Amendment to be duly executed and delivered as of the date first above written.</w:t>
      </w:r>
    </w:p>
    <w:p>
      <w:pPr>
        <w:spacing w:after="0" w:line="37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PAGE EIGHT FUNDING LLC</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VP</w:t>
      </w:r>
    </w:p>
    <w:p>
      <w:pPr>
        <w:spacing w:after="0" w:line="200" w:lineRule="exact"/>
        <w:rPr>
          <w:sz w:val="20"/>
          <w:szCs w:val="20"/>
          <w:color w:val="auto"/>
        </w:rPr>
      </w:pP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CPS:</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EVP/CFO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[CPS Page Eight Warehouse -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81" w:name="page82"/>
    <w:bookmarkEnd w:id="81"/>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AGENT AND COLLATERAL AGENT: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DeBenedetto</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David DeBenedetto</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Class A Committed Lender</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DeBenedetto</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David DeBenedetto</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[CPS Page Eight Warehouse -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82" w:name="page83"/>
    <w:bookmarkEnd w:id="82"/>
    <w:p>
      <w:pPr>
        <w:ind w:left="4720"/>
        <w:spacing w:after="0"/>
        <w:rPr>
          <w:sz w:val="20"/>
          <w:szCs w:val="20"/>
          <w:color w:val="auto"/>
        </w:rPr>
      </w:pPr>
      <w:r>
        <w:rPr>
          <w:rFonts w:ascii="Times New Roman" w:cs="Times New Roman" w:eastAsia="Times New Roman" w:hAnsi="Times New Roman"/>
          <w:sz w:val="18"/>
          <w:szCs w:val="18"/>
          <w:b w:val="1"/>
          <w:bCs w:val="1"/>
          <w:color w:val="auto"/>
        </w:rPr>
        <w:t>CAFCO, LLC</w:t>
      </w:r>
      <w:r>
        <w:rPr>
          <w:rFonts w:ascii="Times New Roman" w:cs="Times New Roman" w:eastAsia="Times New Roman" w:hAnsi="Times New Roman"/>
          <w:sz w:val="18"/>
          <w:szCs w:val="18"/>
          <w:color w:val="auto"/>
        </w:rPr>
        <w:t>, as a Class A Conduit Lender</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CITIBANK, N.A., as its attorney-in-fact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Linda Moses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CHARTA, LLC</w:t>
      </w:r>
      <w:r>
        <w:rPr>
          <w:rFonts w:ascii="Times New Roman" w:cs="Times New Roman" w:eastAsia="Times New Roman" w:hAnsi="Times New Roman"/>
          <w:sz w:val="18"/>
          <w:szCs w:val="18"/>
          <w:color w:val="auto"/>
        </w:rPr>
        <w:t>, as a Class A Conduit Lender</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CITIBANK, N.A., as its attorney-in-fact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Linda Moses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CIESCO, LLC</w:t>
      </w:r>
      <w:r>
        <w:rPr>
          <w:rFonts w:ascii="Times New Roman" w:cs="Times New Roman" w:eastAsia="Times New Roman" w:hAnsi="Times New Roman"/>
          <w:sz w:val="18"/>
          <w:szCs w:val="18"/>
          <w:color w:val="auto"/>
        </w:rPr>
        <w:t>, as a Class A Conduit Lender</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CITIBANK, N.A., as its attorney-in-fact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Linda Moses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CRC FUNDING, LLC</w:t>
      </w:r>
      <w:r>
        <w:rPr>
          <w:rFonts w:ascii="Times New Roman" w:cs="Times New Roman" w:eastAsia="Times New Roman" w:hAnsi="Times New Roman"/>
          <w:sz w:val="17"/>
          <w:szCs w:val="17"/>
          <w:color w:val="auto"/>
        </w:rPr>
        <w:t>, as a Class A Conduit Lender</w:t>
      </w: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CITIBANK, N.A., as its attorney-in-fact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Linda Moses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[CPS Page Eight Warehouse -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83" w:name="page84"/>
    <w:bookmarkEnd w:id="83"/>
    <w:p>
      <w:pPr>
        <w:ind w:left="4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ABF AUTO HOLDINGS 2024-1, LLC, </w:t>
      </w:r>
      <w:r>
        <w:rPr>
          <w:rFonts w:ascii="Times New Roman" w:cs="Times New Roman" w:eastAsia="Times New Roman" w:hAnsi="Times New Roman"/>
          <w:sz w:val="18"/>
          <w:szCs w:val="18"/>
          <w:color w:val="auto"/>
        </w:rPr>
        <w:t>as a Committed Lender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Lender</w:t>
      </w:r>
    </w:p>
    <w:p>
      <w:pPr>
        <w:spacing w:after="0" w:line="15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Oaktree Fund GP IIA, LLC, its Manager</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Oaktree Fund GP II, L.P., its Managing Member</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Gray</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Christopher Gray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Scheer</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Matthew Scheer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 xml:space="preserve">OAKTREE DIVERSIFIED INCOME FUND INC.,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Committed Lender and as a Class B Lender</w:t>
      </w: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Oaktree Fund Advisors, LLC, its Investment Advisor</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Gray</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Christopher Gray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Scheer</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Matthew Scheer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[CPS Page Eight Warehouse -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792" w:right="399" w:bottom="1440" w:gutter="0" w:footer="0" w:header="0"/>
        </w:sectPr>
      </w:pPr>
    </w:p>
    <w:bookmarkStart w:id="84" w:name="page85"/>
    <w:bookmarkEnd w:id="84"/>
    <w:p>
      <w:pPr>
        <w:ind w:left="4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OAKTREE ASSET-BACKED INCOME FUND INC., </w:t>
      </w:r>
      <w:r>
        <w:rPr>
          <w:rFonts w:ascii="Times New Roman" w:cs="Times New Roman" w:eastAsia="Times New Roman" w:hAnsi="Times New Roman"/>
          <w:sz w:val="18"/>
          <w:szCs w:val="18"/>
          <w:color w:val="auto"/>
        </w:rPr>
        <w:t>as a Committed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and as a Class B Lender</w:t>
      </w:r>
    </w:p>
    <w:p>
      <w:pPr>
        <w:spacing w:after="0" w:line="15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Oaktree Fund Advisors, LLC, its Investment Advisor</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Gray</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u w:val="single" w:color="auto"/>
          <w:color w:val="0000FF"/>
        </w:rPr>
        <w:t>Name: Christopher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Scheer</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u w:val="single" w:color="auto"/>
          <w:color w:val="0000FF"/>
        </w:rPr>
        <w:t>Name: Matthew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Scheer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[CPS Page Eight Warehouse -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792" w:right="419" w:bottom="1440" w:gutter="0" w:footer="0" w:header="0"/>
        </w:sectPr>
      </w:pPr>
    </w:p>
    <w:bookmarkStart w:id="85" w:name="page86"/>
    <w:bookmarkEnd w:id="85"/>
    <w:p>
      <w:pPr>
        <w:jc w:val="center"/>
        <w:ind w:right="-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4073525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u w:val="single" w:color="auto"/>
          <w:color w:val="0000FF"/>
        </w:rPr>
        <w:t>CONFORMED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Amendment No. 1, dated December 16,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Amendment No. 2, dated February 19,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Amendment No. 3, dated October 8,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Amendment No. 4, dated July 9,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dated as of November 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PAGE EIGHT FUNDING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CONSUMER PORTFOLIO SERVICES, INC.,</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Servicer,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314325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72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0"/>
                <w:szCs w:val="20"/>
                <w:color w:val="auto"/>
              </w:rPr>
            </w:pPr>
          </w:p>
        </w:tc>
      </w:tr>
      <w:tr>
        <w:trPr>
          <w:trHeight w:val="414"/>
        </w:trPr>
        <w:tc>
          <w:tcPr>
            <w:tcW w:w="20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 DEFINITIONS</w:t>
            </w:r>
          </w:p>
        </w:tc>
        <w:tc>
          <w:tcPr>
            <w:tcW w:w="7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Terms Generally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Procedure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Evidence of Debt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Term</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INTEREST AND FEES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 Costs,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 Capital Costs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Illegality; Substituted Interest Rates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COLLECTIONS AND SETTLEMENT; ACCOUNTS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and Application of Collections.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Generally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Collection Account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Account.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Income.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1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 of the Borrower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 of CPS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1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Precedent to Initial Loan Following the Restatement Closing Date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to Each Loan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Ratings Requirement.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8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rPr>
              <w:t>(continued)</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VII COVENANTS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7.01</w:t>
            </w:r>
          </w:p>
        </w:tc>
        <w:tc>
          <w:tcPr>
            <w:tcW w:w="540" w:type="dxa"/>
            <w:vAlign w:val="bottom"/>
          </w:tcPr>
          <w:p>
            <w:pPr>
              <w:spacing w:after="0"/>
              <w:rPr>
                <w:sz w:val="24"/>
                <w:szCs w:val="24"/>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Affirmative Covenants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7.02</w:t>
            </w:r>
          </w:p>
        </w:tc>
        <w:tc>
          <w:tcPr>
            <w:tcW w:w="54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Negative Covenants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32"/>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VIII EVENTS OF DEFAULT; THE AGENTS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8.01</w:t>
            </w:r>
          </w:p>
        </w:tc>
        <w:tc>
          <w:tcPr>
            <w:tcW w:w="540" w:type="dxa"/>
            <w:vAlign w:val="bottom"/>
          </w:tcPr>
          <w:p>
            <w:pPr>
              <w:spacing w:after="0"/>
              <w:rPr>
                <w:sz w:val="24"/>
                <w:szCs w:val="24"/>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8.02</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Remedies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8.03</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Administrative Agent and the Collateral Agent.</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8.04</w:t>
            </w:r>
          </w:p>
        </w:tc>
        <w:tc>
          <w:tcPr>
            <w:tcW w:w="54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Funding Agents.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432"/>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IX MISCELLANEOUS PROVISIONS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9.01</w:t>
            </w:r>
          </w:p>
        </w:tc>
        <w:tc>
          <w:tcPr>
            <w:tcW w:w="540" w:type="dxa"/>
            <w:vAlign w:val="bottom"/>
          </w:tcPr>
          <w:p>
            <w:pPr>
              <w:spacing w:after="0"/>
              <w:rPr>
                <w:sz w:val="24"/>
                <w:szCs w:val="24"/>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Amendments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9.02</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Waiver; Remedies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9.03</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Binding on Successors and Assigns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9.04</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Termination; Survival</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9.05</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Costs and Expenses; Indemnification</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9.06</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Characterization as Loan Document; Entire Agreement</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9.07</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9.08</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9.09</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Characterization</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9.10</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Full Recourse to Borrower</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9.11</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9.12</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9.13</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Waiver of Jury Trial</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9.14</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9.15</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Set-Off</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9.16</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Nonpetition Covenants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9.17</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Servicer References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9.18</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Confidentiality; Press Releases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9.19</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9.20</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Limitation on Liability</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SECTION 9.21</w:t>
            </w:r>
          </w:p>
        </w:tc>
        <w:tc>
          <w:tcPr>
            <w:tcW w:w="5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Reaffirmation</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1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SECTION 9.22</w:t>
            </w:r>
          </w:p>
        </w:tc>
        <w:tc>
          <w:tcPr>
            <w:tcW w:w="540" w:type="dxa"/>
            <w:vAlign w:val="bottom"/>
          </w:tcPr>
          <w:p>
            <w:pPr>
              <w:spacing w:after="0"/>
              <w:rPr>
                <w:sz w:val="16"/>
                <w:szCs w:val="16"/>
                <w:color w:val="auto"/>
              </w:rPr>
            </w:pPr>
          </w:p>
        </w:tc>
        <w:tc>
          <w:tcPr>
            <w:tcW w:w="72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No Bankruptcy Petition Against any Conduit Lender</w:t>
            </w:r>
          </w:p>
        </w:tc>
        <w:tc>
          <w:tcPr>
            <w:tcW w:w="202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02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3400" w:type="dxa"/>
            <w:vAlign w:val="bottom"/>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10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6"/>
              </w:rPr>
              <w:t>SECTION 9.23</w:t>
            </w:r>
          </w:p>
        </w:tc>
        <w:tc>
          <w:tcPr>
            <w:tcW w:w="20" w:type="dxa"/>
            <w:vAlign w:val="bottom"/>
            <w:tcBorders>
              <w:bottom w:val="single" w:sz="8" w:color="0000FF"/>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02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No Recourse Against any Conduit Lender</w:t>
            </w:r>
          </w:p>
        </w:tc>
        <w:tc>
          <w:tcPr>
            <w:tcW w:w="7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20" w:type="dxa"/>
            <w:vAlign w:val="bottom"/>
            <w:tcBorders>
              <w:bottom w:val="single" w:sz="8" w:color="0000FF"/>
            </w:tcBorders>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w:t>
            </w:r>
          </w:p>
        </w:tc>
        <w:tc>
          <w:tcPr>
            <w:tcW w:w="80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FORM OF BORROWING BASE CERTIFICATE</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w:t>
            </w:r>
          </w:p>
        </w:tc>
        <w:tc>
          <w:tcPr>
            <w:tcW w:w="80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 -</w:t>
            </w:r>
          </w:p>
        </w:tc>
        <w:tc>
          <w:tcPr>
            <w:tcW w:w="80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FORM OF ADVANCE RATE CALCULATOR</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 D -</w:t>
      </w:r>
      <w:r>
        <w:rPr>
          <w:sz w:val="20"/>
          <w:szCs w:val="20"/>
          <w:color w:val="auto"/>
        </w:rPr>
        <w:tab/>
      </w:r>
      <w:r>
        <w:rPr>
          <w:rFonts w:ascii="Times New Roman" w:cs="Times New Roman" w:eastAsia="Times New Roman" w:hAnsi="Times New Roman"/>
          <w:sz w:val="17"/>
          <w:szCs w:val="17"/>
          <w:color w:val="auto"/>
        </w:rPr>
        <w:t>TIMING CURVE (for Projected CNL Matrix)</w:t>
      </w:r>
    </w:p>
    <w:p>
      <w:pPr>
        <w:spacing w:after="0" w:line="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SCHEDULE I -</w:t>
      </w:r>
      <w:r>
        <w:rPr>
          <w:sz w:val="20"/>
          <w:szCs w:val="20"/>
          <w:color w:val="auto"/>
        </w:rPr>
        <w:tab/>
      </w:r>
      <w:r>
        <w:rPr>
          <w:rFonts w:ascii="Times New Roman" w:cs="Times New Roman" w:eastAsia="Times New Roman" w:hAnsi="Times New Roman"/>
          <w:sz w:val="17"/>
          <w:szCs w:val="17"/>
          <w:color w:val="auto"/>
        </w:rPr>
        <w:t>LENDERS’ COMMITMENTS AND CALCULATION OF MAXIMUM LOAN BALANCES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  LITIGATION THRESHOLDS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jc w:val="center"/>
        <w:ind w:right="160"/>
        <w:spacing w:after="0"/>
        <w:rPr>
          <w:sz w:val="20"/>
          <w:szCs w:val="20"/>
          <w:color w:val="auto"/>
        </w:rPr>
      </w:pPr>
      <w:r>
        <w:rPr>
          <w:rFonts w:ascii="Times New Roman" w:cs="Times New Roman" w:eastAsia="Times New Roman" w:hAnsi="Times New Roman"/>
          <w:sz w:val="18"/>
          <w:szCs w:val="18"/>
          <w:color w:val="auto"/>
        </w:rPr>
        <w:t>EIGHTH AMENDED AND RESTATED CREDIT AGREEMENT</w:t>
      </w:r>
    </w:p>
    <w:p>
      <w:pPr>
        <w:spacing w:after="0" w:line="225" w:lineRule="exact"/>
        <w:rPr>
          <w:sz w:val="20"/>
          <w:szCs w:val="20"/>
          <w:color w:val="auto"/>
        </w:rPr>
      </w:pPr>
    </w:p>
    <w:p>
      <w:pPr>
        <w:jc w:val="both"/>
        <w:ind w:left="180" w:right="20" w:firstLine="1296"/>
        <w:spacing w:after="0" w:line="253" w:lineRule="auto"/>
        <w:rPr>
          <w:sz w:val="20"/>
          <w:szCs w:val="20"/>
          <w:color w:val="auto"/>
        </w:rPr>
      </w:pPr>
      <w:r>
        <w:rPr>
          <w:rFonts w:ascii="Times New Roman" w:cs="Times New Roman" w:eastAsia="Times New Roman" w:hAnsi="Times New Roman"/>
          <w:sz w:val="18"/>
          <w:szCs w:val="18"/>
          <w:color w:val="auto"/>
        </w:rPr>
        <w:t>This EIGHTH AMENDED AND RESTATED CREDIT AGREEMENT, dated as of November 1, 2024 (as amended, supplemented, restated or otherwise modified from time to time in accordance with the terms hereof,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among PAGE EIGHT FUNDING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CONSUMER PORTFOLIO SERVICES, INC., a California corporation (“</w:t>
      </w:r>
      <w:r>
        <w:rPr>
          <w:rFonts w:ascii="Times New Roman" w:cs="Times New Roman" w:eastAsia="Times New Roman" w:hAnsi="Times New Roman"/>
          <w:sz w:val="18"/>
          <w:szCs w:val="18"/>
          <w:u w:val="single" w:color="auto"/>
          <w:color w:val="auto"/>
        </w:rPr>
        <w:t>CPS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the LENDERS (as defined in Article I), CITIBANK, N.A., a national banking association,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and as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for the Secured Parties, and amends and restates in its entirety the Seventh Amended and Restated Credit Agreement, dated as of July 15, 2022, as amended by that First Amendment to the Seventh Amended and Restated Credit Agreement, dated as of July 7, 2023, as further amended by that Second Amendment to the Seventh Amended and Restated Credit Agreement, dated as of July 11, 2024, (as further amended, supplemented, restated or otherwise modified from time to time,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foregoing parties. This Agreement shall not constitute a novation of the obligations and liabilities existing under the Existing Agreement or evidence payment of all or any of such obligations and liabilities.</w:t>
      </w:r>
    </w:p>
    <w:p>
      <w:pPr>
        <w:spacing w:after="0" w:line="190"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Existing Agreement, effective as of the Restatement Closing Date, is hereby amended and restated in its entirety, and the parties hereto hereby agree, as follows:</w:t>
      </w:r>
    </w:p>
    <w:p>
      <w:pPr>
        <w:spacing w:after="0" w:line="1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and unless the context requires a different meaning, capitalized terms used but not defined herein (including the preamble hereto) shall have the meanings specified below:</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Bank</w:t>
      </w:r>
      <w:r>
        <w:rPr>
          <w:rFonts w:ascii="Times New Roman" w:cs="Times New Roman" w:eastAsia="Times New Roman" w:hAnsi="Times New Roman"/>
          <w:sz w:val="18"/>
          <w:szCs w:val="18"/>
          <w:color w:val="auto"/>
        </w:rPr>
        <w:t>” means the financial institution at which the Pledged Accounts are held.</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Bank Fee</w:t>
      </w:r>
      <w:r>
        <w:rPr>
          <w:rFonts w:ascii="Times New Roman" w:cs="Times New Roman" w:eastAsia="Times New Roman" w:hAnsi="Times New Roman"/>
          <w:sz w:val="18"/>
          <w:szCs w:val="18"/>
          <w:color w:val="auto"/>
        </w:rPr>
        <w:t>” means the fee for the Account Bank entitled “monthly trustee administration fee” set forth in the Fee Schedule.</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 Report</w:t>
      </w:r>
      <w:r>
        <w:rPr>
          <w:rFonts w:ascii="Times New Roman" w:cs="Times New Roman" w:eastAsia="Times New Roman" w:hAnsi="Times New Roman"/>
          <w:sz w:val="18"/>
          <w:szCs w:val="18"/>
          <w:color w:val="auto"/>
        </w:rPr>
        <w:t xml:space="preserve">” means the report of Independent Accountants described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Sale and Servicing Agreement.</w:t>
      </w:r>
    </w:p>
    <w:p>
      <w:pPr>
        <w:spacing w:after="0" w:line="162"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Accrual Period</w:t>
      </w:r>
      <w:r>
        <w:rPr>
          <w:rFonts w:ascii="Times New Roman" w:cs="Times New Roman" w:eastAsia="Times New Roman" w:hAnsi="Times New Roman"/>
          <w:sz w:val="18"/>
          <w:szCs w:val="18"/>
          <w:color w:val="auto"/>
        </w:rPr>
        <w:t xml:space="preserve">” means a calendar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initial Accrual Period for the Loans shall be the period from and including the day after the Cutoff Date for the initial Funding Date to and including May 31, 2012;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calculation, test or other determination required to be made under any Loan Document with respect to an Accrual Period shall be made (i) if the date of such calculation, test or other determination is prior to the Determination Date of any Settlement Date, then such calculation, test or other determination shall be performed in respect of the second Accrual Period prior to the month in which such Settlement Date occurs, and (ii) if the date of such calculation, test or other determination is on or after the Determination Date of any Settlement Date, then such calculation, test or other determination shall be performed in respect of the Accrual Period immediately prior to the month in which such Settlement Date occurs.</w:t>
      </w:r>
    </w:p>
    <w:p>
      <w:pPr>
        <w:spacing w:after="0" w:line="188"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 Notice</w:t>
      </w:r>
      <w:r>
        <w:rPr>
          <w:rFonts w:ascii="Times New Roman" w:cs="Times New Roman" w:eastAsia="Times New Roman" w:hAnsi="Times New Roman"/>
          <w:sz w:val="18"/>
          <w:szCs w:val="18"/>
          <w:color w:val="auto"/>
        </w:rPr>
        <w:t xml:space="preserve">” means, with respect to any transfer of Receivables to the Purchaser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of the Sale and Servicing Agreement, notice of the Seller’s election to transfer Receivables to the Purchaser, such notice to designate the related Funding Date and the Aggregate Principal Balance of Receivables to be transferred on such Funding Date,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to the Sale and Servicing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0" w:name="page91"/>
    <w:bookmarkEnd w:id="90"/>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means, for purposes of any calculation, the rate per annum equal to (i) Term SOFR for such calculation plus (ii) the Term SOFR Adjustment.</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Citibank, N.A., and its successors and assigns in such capacity.</w:t>
      </w:r>
    </w:p>
    <w:p>
      <w:pPr>
        <w:spacing w:after="0" w:line="225" w:lineRule="exact"/>
        <w:rPr>
          <w:sz w:val="20"/>
          <w:szCs w:val="20"/>
          <w:color w:val="auto"/>
        </w:rPr>
      </w:pPr>
    </w:p>
    <w:p>
      <w:pPr>
        <w:jc w:val="both"/>
        <w:ind w:left="180" w:right="20" w:firstLine="129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Advance Rate Calculator</w:t>
      </w:r>
      <w:r>
        <w:rPr>
          <w:rFonts w:ascii="Times New Roman" w:cs="Times New Roman" w:eastAsia="Times New Roman" w:hAnsi="Times New Roman"/>
          <w:sz w:val="17"/>
          <w:szCs w:val="17"/>
          <w:color w:val="auto"/>
        </w:rPr>
        <w:t xml:space="preserve">” means an excel-based cashflow engine labeled as the “Advance Rate Calculator” that has been developed by the Administrative Agent and delivered to the Borrower in electronic form and attached hereto by reference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as such cashflow engine may be updated and amended from time to time with respect to the then-current (i) Benchmark, (ii) replines based on the underlying Eligible Receivables as of the applicable Settlement Date or borrowing determination date, and (iii) on each Settlement Date the updated Projected CNL Matrix and Effective Loss Matrix; provided that any descriptions of the process by which outputs are generated by the Advance Rate Calculator set forth herein or in any document or record delivered in connection herewith (whether prior to, on, or after the date hereof) are for explanatory purposes only, and if any such description of a process or calculation to be performed by the Advance Rate Calculator conflicts with the Advance Rate Calculator, then the Advance Rate Calculator shall be controlling.</w:t>
      </w:r>
    </w:p>
    <w:p>
      <w:pPr>
        <w:spacing w:after="0" w:line="173"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Person who directly or indirectly controls, is controlled by, or is under direct or indirect common control with such Person. For purposes of this definition, the term “control” when used with respect to any Person means the power to direct the management and policies of such Person, directly or indirectly, whether through the ownership of voting securities, by contract or otherwise; and the terms “controlling”, “controlled by” and “under common control with” have meanings correlative to the foregoing. In addition, for purposes of this definition, any fund or investment vehicle, whether existing as of the Restatement Closing Date or thereafter formed, which is managed by any Person, shall be deemed to be an “Affiliate” of such Person. Furthermore, for purposes of this definition, none of (i) Citigroup Inc. and any of its Subsidiaries or (ii) Charles E. Bradley, Jr. shall be deemed to be an “Affiliate” of CPS or any of its Subsidiaries.</w:t>
      </w:r>
    </w:p>
    <w:p>
      <w:pPr>
        <w:spacing w:after="0" w:line="188"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Principal Balance</w:t>
      </w:r>
      <w:r>
        <w:rPr>
          <w:rFonts w:ascii="Times New Roman" w:cs="Times New Roman" w:eastAsia="Times New Roman" w:hAnsi="Times New Roman"/>
          <w:sz w:val="18"/>
          <w:szCs w:val="18"/>
          <w:color w:val="auto"/>
        </w:rPr>
        <w:t>” means, with respect to any date of determination and with respect to the Receivables, the Eligible Receivables or any specified portion thereof, as the case may be, the sum of the Principal Balances for all Receivables, the Eligible Receivables or any specified portion thereof, as the case may be (other than (i) any Receivable that became a Liquidated Receivable prior to such date of determination and (ii) any Receivable that became a Purchased Receivable prior to such date of determination) as of the date of determination.</w:t>
      </w:r>
    </w:p>
    <w:p>
      <w:pPr>
        <w:spacing w:after="0" w:line="183"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Purchase Price Percentage</w:t>
      </w:r>
      <w:r>
        <w:rPr>
          <w:rFonts w:ascii="Times New Roman" w:cs="Times New Roman" w:eastAsia="Times New Roman" w:hAnsi="Times New Roman"/>
          <w:sz w:val="18"/>
          <w:szCs w:val="18"/>
          <w:color w:val="auto"/>
        </w:rPr>
        <w:t>” means, as of any date of determination, with respect to the Receivables, the Eligible Receivables or any specified portion thereof, a percentage obtained by dividing (i) the Aggregate Principal Balance of such Receivables at the time of acquisition by the Seller less the aggregate Net Acquisition Fees for such Receivables by (ii) the Aggregate Principal Balance of such Receivables at the time of acquisition by the Seller.</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Lender</w:t>
      </w:r>
      <w:r>
        <w:rPr>
          <w:rFonts w:ascii="Times New Roman" w:cs="Times New Roman" w:eastAsia="Times New Roman" w:hAnsi="Times New Roman"/>
          <w:sz w:val="18"/>
          <w:szCs w:val="18"/>
          <w:color w:val="auto"/>
        </w:rPr>
        <w:t>” shall mean a Lender other than a Conduit Lender.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u w:val="single" w:color="auto"/>
          <w:color w:val="0000FF"/>
        </w:rPr>
        <w:t>“Amendment No. 4 Closing Date” means July 9, 2026.</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u w:val="single" w:color="auto"/>
          <w:color w:val="0000FF"/>
        </w:rPr>
        <w:t>“Amortization Period” has the meaning specified in the Class A Fee Letter.</w:t>
      </w:r>
    </w:p>
    <w:p>
      <w:pPr>
        <w:spacing w:after="0" w:line="225"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Amount Financed</w:t>
      </w:r>
      <w:r>
        <w:rPr>
          <w:rFonts w:ascii="Times New Roman" w:cs="Times New Roman" w:eastAsia="Times New Roman" w:hAnsi="Times New Roman"/>
          <w:sz w:val="18"/>
          <w:szCs w:val="18"/>
          <w:color w:val="auto"/>
        </w:rPr>
        <w:t>” means, with respect to a Receivable, the aggregate amount advanced under such Receivable toward the purchase price of the Financed Vehicle and any related costs, including amounts advanced in respect of accessories, insurance premiums, service and warranty contracts, other items customarily financed as part of a Contract, and related costs.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1" w:name="page92"/>
    <w:bookmarkEnd w:id="91"/>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Fees</w:t>
      </w:r>
      <w:r>
        <w:rPr>
          <w:rFonts w:ascii="Times New Roman" w:cs="Times New Roman" w:eastAsia="Times New Roman" w:hAnsi="Times New Roman"/>
          <w:sz w:val="18"/>
          <w:szCs w:val="18"/>
          <w:color w:val="auto"/>
        </w:rPr>
        <w:t>” means, with respect to a Receivable, any late fees, NSF fees, prepayment charges, extension fees or administrative fees paid by the Obligor under such Contract.</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Percentage Rate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APR</w:t>
      </w:r>
      <w:r>
        <w:rPr>
          <w:rFonts w:ascii="Times New Roman" w:cs="Times New Roman" w:eastAsia="Times New Roman" w:hAnsi="Times New Roman"/>
          <w:sz w:val="18"/>
          <w:szCs w:val="18"/>
          <w:color w:val="auto"/>
        </w:rPr>
        <w:t>” of a Receivable means the annual percentage rate of finance charges or service charges, as stated in the related Contract.</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after giving effect to any assignments.</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means an assignment from the Seller to the Purchaser with respect to the Receivables and Other Conveyed Property to be conveyed by the Seller to the Purchaser on any Funding Date,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the Sale and Servicing Agreement.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Assumption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of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Class A Tranche</w:t>
      </w:r>
      <w:r>
        <w:rPr>
          <w:rFonts w:ascii="Times New Roman" w:cs="Times New Roman" w:eastAsia="Times New Roman" w:hAnsi="Times New Roman"/>
          <w:sz w:val="18"/>
          <w:szCs w:val="18"/>
          <w:color w:val="auto"/>
        </w:rPr>
        <w:t>” means, with respect to any Class A Loan, whether such Class A Loan is funded or converted as (i) if CP Cost of Funds Rate is available, a CP Tranche, (ii) if CP Cost of Funds Rate is not available and Term SOFR is available, then a SOFR Tranche, or (iii) if CP Cost of Funds Rate and Term SOFR are not available, then a Base Rate Tranche.</w:t>
      </w:r>
    </w:p>
    <w:p>
      <w:pPr>
        <w:spacing w:after="0" w:line="180"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Authoritative Copy</w:t>
      </w:r>
      <w:r>
        <w:rPr>
          <w:rFonts w:ascii="Times New Roman" w:cs="Times New Roman" w:eastAsia="Times New Roman" w:hAnsi="Times New Roman"/>
          <w:sz w:val="18"/>
          <w:szCs w:val="18"/>
          <w:color w:val="auto"/>
        </w:rPr>
        <w:t>” means, with respect to any Electronic Contract that constitutes Electronic Chattel Paper, a copy of such Electronic Contract that is unique, identifiable and, except as otherwise provided in Section 9-105 of the UCC, unalterable, any perceivable rendering of which is marked “View of Authoritative Copy” and has no watermark or other marking that would indicate that it is a “copy” or “duplicate” or not an original or not an “authoritative” copy.</w:t>
      </w:r>
    </w:p>
    <w:p>
      <w:pPr>
        <w:spacing w:after="0" w:line="180"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with respect to the Seller, the Servicer, the Purchaser or the Borrower, any officer or agent acting pursuant to a power of attorney of the Seller, the Servicer, the Purchaser or the Borrower, as the case may be, who is authorized to act therefor and who is identified on the list of Authorized Officers delivered by such Person to the Administrative Agent and each Lender on the Restatement Closing Date (as such list may be modified or supplemented from time to time thereafter).</w:t>
      </w:r>
    </w:p>
    <w:p>
      <w:pPr>
        <w:spacing w:after="0" w:line="183"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Funds</w:t>
      </w:r>
      <w:r>
        <w:rPr>
          <w:rFonts w:ascii="Times New Roman" w:cs="Times New Roman" w:eastAsia="Times New Roman" w:hAnsi="Times New Roman"/>
          <w:sz w:val="18"/>
          <w:szCs w:val="18"/>
          <w:color w:val="auto"/>
        </w:rPr>
        <w:t>” means, with respect to any Settlement Date, the sum of the following amounts, without duplication, as of the related Determination Date: (i) all collections on the Receivables; (ii) all Net Liquidation Proceeds with respect to Liquidated Receivables; (iii) the Purchase Amount of each Receivable repurchased by the Seller or the Purchaser; (iv) Investment Earnings in respect of amounts on deposit in the Pledged Accounts; (v) all amounts received pursuant to Receivable Insurance Policies with respect to any Financed Vehicles; (vi) any amounts received (including, without limitation, all proceeds from any Securitization Transaction or any other transaction) in respect of Collateral that is released from the Lien Granted hereunder and under the Security Agreement in connection with an optional prepayment of the Loans, to the extent not paid directly to the Lenders entitled thereto on the date of such release; and (</w:t>
      </w:r>
      <w:r>
        <w:rPr>
          <w:rFonts w:ascii="Times New Roman" w:cs="Times New Roman" w:eastAsia="Times New Roman" w:hAnsi="Times New Roman"/>
          <w:sz w:val="18"/>
          <w:szCs w:val="18"/>
          <w:color w:val="FF0000"/>
          <w:strike w:val="1"/>
        </w:rPr>
        <w:t>viii</w:t>
      </w:r>
      <w:r>
        <w:rPr>
          <w:rFonts w:ascii="Times New Roman" w:cs="Times New Roman" w:eastAsia="Times New Roman" w:hAnsi="Times New Roman"/>
          <w:sz w:val="18"/>
          <w:szCs w:val="18"/>
          <w:u w:val="single" w:color="auto"/>
          <w:color w:val="0000FF"/>
        </w:rPr>
        <w:t>vii</w:t>
      </w:r>
      <w:r>
        <w:rPr>
          <w:rFonts w:ascii="Times New Roman" w:cs="Times New Roman" w:eastAsia="Times New Roman" w:hAnsi="Times New Roman"/>
          <w:sz w:val="18"/>
          <w:szCs w:val="18"/>
          <w:color w:val="auto"/>
        </w:rPr>
        <w:t xml:space="preserve">) cash payable by the Borrower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of this Agreement, to the extent not previously paid directly to the Administrative Agent as specified therein.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2" w:name="page93"/>
    <w:bookmarkEnd w:id="92"/>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Liquidity</w:t>
      </w:r>
      <w:r>
        <w:rPr>
          <w:rFonts w:ascii="Times New Roman" w:cs="Times New Roman" w:eastAsia="Times New Roman" w:hAnsi="Times New Roman"/>
          <w:sz w:val="18"/>
          <w:szCs w:val="18"/>
          <w:color w:val="auto"/>
        </w:rPr>
        <w:t>” means, as of the end of any calendar month, the sum of (a) unrestricted cash and cash equivalents and (b) undrawn commitments under this warehouse or other credit facilities of CPS or its consolidated subsidiaries for which CPS or any such subsidiary can meet all conditions precedent to borrowing such amounts.</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Principal Collections</w:t>
      </w:r>
      <w:r>
        <w:rPr>
          <w:rFonts w:ascii="Times New Roman" w:cs="Times New Roman" w:eastAsia="Times New Roman" w:hAnsi="Times New Roman"/>
          <w:sz w:val="18"/>
          <w:szCs w:val="18"/>
          <w:color w:val="auto"/>
        </w:rPr>
        <w:t xml:space="preserve">” means, as of any date of determination, Available Funds representing collections allocated to payments of principal on the Receivables in accordance with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jc w:val="both"/>
        <w:ind w:left="18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3.07(d)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Elapsed Period</w:t>
      </w:r>
      <w:r>
        <w:rPr>
          <w:rFonts w:ascii="Times New Roman" w:cs="Times New Roman" w:eastAsia="Times New Roman" w:hAnsi="Times New Roman"/>
          <w:sz w:val="18"/>
          <w:szCs w:val="18"/>
          <w:color w:val="auto"/>
        </w:rPr>
        <w:t>” means, with respect to any Vintage Pool and any date of determination, the number of months elapsed between (x) the first day of the third month of the applicable calendar quarter of origination with respect to such Vintage Pool and (y) the first day of the month in which such date of determination occurs.</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Servicer</w:t>
      </w:r>
      <w:r>
        <w:rPr>
          <w:rFonts w:ascii="Times New Roman" w:cs="Times New Roman" w:eastAsia="Times New Roman" w:hAnsi="Times New Roman"/>
          <w:sz w:val="18"/>
          <w:szCs w:val="18"/>
          <w:color w:val="auto"/>
        </w:rPr>
        <w:t xml:space="preserve">” means Computershare Trust Company, National Association in its capacity as Backup Servicer pursuant to the terms of the Sale and Servicing Agreement or such other Person as shall have been appointed Backup Servicer pursuant to </w:t>
      </w:r>
      <w:r>
        <w:rPr>
          <w:rFonts w:ascii="Times New Roman" w:cs="Times New Roman" w:eastAsia="Times New Roman" w:hAnsi="Times New Roman"/>
          <w:sz w:val="18"/>
          <w:szCs w:val="18"/>
          <w:u w:val="single" w:color="auto"/>
          <w:color w:val="auto"/>
        </w:rPr>
        <w:t>Sections 9.3(b)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Servicing Fee</w:t>
      </w:r>
      <w:r>
        <w:rPr>
          <w:rFonts w:ascii="Times New Roman" w:cs="Times New Roman" w:eastAsia="Times New Roman" w:hAnsi="Times New Roman"/>
          <w:sz w:val="18"/>
          <w:szCs w:val="18"/>
          <w:color w:val="auto"/>
        </w:rPr>
        <w:t>” means, so long as the Backup Servicer is not then acting as Servicer, the “Monthly Backup Servicing Fee” as reflected on the Fee Schedule, due and payable on each Settlement Date in respect of the immediately preceding Accrual Period.</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left="180"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means the Bankruptcy Reform Act of 1978, as amended from time to time, and as codified as 11 U.S.C. Section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all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3" w:name="page94"/>
    <w:bookmarkEnd w:id="93"/>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shall mean, for any day, a rate per annum equal to the highest of (i) the Prime Rate in effect on such day, (ii) the Federal Funds Effective Rate in effect on such day plus [***] and (iii) SOFR in effect on such day plus [***]. Any change in the Base Rate due to a change in the Prime Rate or the Federal Funds Effective Rate shall be effective as of the opening of business on the effective day of such change in the Prime Rate or the Federal Funds Effective Rate, respectively. Changes in the rate of interest on that portion of any Loans maintained with reference to the Base Rate will take effect simultaneously with each change in the Base Rate.</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Tranche</w:t>
      </w:r>
      <w:r>
        <w:rPr>
          <w:rFonts w:ascii="Times New Roman" w:cs="Times New Roman" w:eastAsia="Times New Roman" w:hAnsi="Times New Roman"/>
          <w:sz w:val="18"/>
          <w:szCs w:val="18"/>
          <w:color w:val="auto"/>
        </w:rPr>
        <w:t>” shall mean that portion of the Loans which bear interest by reference to the Base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Yield Rate</w:t>
      </w:r>
      <w:r>
        <w:rPr>
          <w:rFonts w:ascii="Times New Roman" w:cs="Times New Roman" w:eastAsia="Times New Roman" w:hAnsi="Times New Roman"/>
          <w:sz w:val="18"/>
          <w:szCs w:val="18"/>
          <w:color w:val="auto"/>
        </w:rPr>
        <w:t xml:space="preserve">” shall mean, with respect to a Lender on any day, the sum of (i) the greater of (x) the Base Rate and (y) the Floor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Drawn Margin.</w:t>
      </w:r>
    </w:p>
    <w:p>
      <w:pPr>
        <w:spacing w:after="0" w:line="16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 giving due consideration to</w:t>
      </w:r>
    </w:p>
    <w:p>
      <w:pPr>
        <w:jc w:val="both"/>
        <w:ind w:left="180" w:right="20" w:firstLine="3"/>
        <w:spacing w:after="0" w:line="252" w:lineRule="auto"/>
        <w:tabs>
          <w:tab w:leader="none" w:pos="4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Rate, such Benchmark Replacement will be deemed to be the Floor Rate for the purposes of this Agreement and the other Loan Documents.</w:t>
      </w:r>
    </w:p>
    <w:p>
      <w:pPr>
        <w:spacing w:after="0" w:line="190"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8"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62" w:lineRule="exact"/>
        <w:rPr>
          <w:sz w:val="20"/>
          <w:szCs w:val="20"/>
          <w:color w:val="auto"/>
        </w:rPr>
      </w:pPr>
    </w:p>
    <w:p>
      <w:pPr>
        <w:jc w:val="both"/>
        <w:ind w:left="840" w:right="20" w:firstLine="640"/>
        <w:spacing w:after="0" w:line="261" w:lineRule="auto"/>
        <w:tabs>
          <w:tab w:leader="none" w:pos="2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18"/>
          <w:szCs w:val="18"/>
          <w:color w:val="auto"/>
        </w:rPr>
      </w:pPr>
    </w:p>
    <w:p>
      <w:pPr>
        <w:jc w:val="both"/>
        <w:ind w:left="840" w:right="20" w:firstLine="639"/>
        <w:spacing w:after="0" w:line="254" w:lineRule="auto"/>
        <w:tabs>
          <w:tab w:leader="none" w:pos="2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4" w:name="page95"/>
    <w:bookmarkEnd w:id="94"/>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62" w:lineRule="exact"/>
        <w:rPr>
          <w:sz w:val="20"/>
          <w:szCs w:val="20"/>
          <w:color w:val="auto"/>
        </w:rPr>
      </w:pPr>
    </w:p>
    <w:p>
      <w:pPr>
        <w:jc w:val="both"/>
        <w:ind w:left="840" w:firstLine="640"/>
        <w:spacing w:after="0" w:line="258" w:lineRule="auto"/>
        <w:tabs>
          <w:tab w:leader="none" w:pos="21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1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4" w:lineRule="exact"/>
        <w:rPr>
          <w:rFonts w:ascii="Times New Roman" w:cs="Times New Roman" w:eastAsia="Times New Roman" w:hAnsi="Times New Roman"/>
          <w:sz w:val="18"/>
          <w:szCs w:val="18"/>
          <w:color w:val="auto"/>
        </w:rPr>
      </w:pPr>
    </w:p>
    <w:p>
      <w:pPr>
        <w:jc w:val="both"/>
        <w:ind w:left="840" w:right="20" w:firstLine="640"/>
        <w:spacing w:after="0" w:line="256" w:lineRule="auto"/>
        <w:tabs>
          <w:tab w:leader="none" w:pos="21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7"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3"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5" w:name="page96"/>
    <w:bookmarkEnd w:id="95"/>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Page Eight Funding LLC, its successors and permitted assigns.</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with respect to any transfer of Receivables, the certificate of the Servicer setting forth the calculation of the Class A Borrowing Base and Class B Borrowing Base, as applicable,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Deficiency</w:t>
      </w:r>
      <w:r>
        <w:rPr>
          <w:rFonts w:ascii="Times New Roman" w:cs="Times New Roman" w:eastAsia="Times New Roman" w:hAnsi="Times New Roman"/>
          <w:sz w:val="18"/>
          <w:szCs w:val="18"/>
          <w:color w:val="auto"/>
        </w:rPr>
        <w:t>” means, as of any date of determination, the sum of the Class A Borrowing Base Deficiency and the Class B Borrowing Base Deficiency.</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shall be approved by the Administrative Agent.</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a Sunday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other day on which commercial banks located in the states of Minnesota, California or New York are, or the fixed income trading market in New York is, authorized or obligated to be closed</w:t>
      </w:r>
      <w:r>
        <w:rPr>
          <w:rFonts w:ascii="Times New Roman" w:cs="Times New Roman" w:eastAsia="Times New Roman" w:hAnsi="Times New Roman"/>
          <w:sz w:val="18"/>
          <w:szCs w:val="18"/>
          <w:u w:val="single" w:color="auto"/>
          <w:color w:val="0000FF"/>
        </w:rPr>
        <w:t>, or a U.S. Government Securities Business Day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w:t>
      </w:r>
      <w:r>
        <w:rPr>
          <w:rFonts w:ascii="Times New Roman" w:cs="Times New Roman" w:eastAsia="Times New Roman" w:hAnsi="Times New Roman"/>
          <w:sz w:val="18"/>
          <w:szCs w:val="18"/>
          <w:color w:val="auto"/>
        </w:rPr>
        <w:t>” means, with respect to a Financed Vehicle, the total loss or destruction of such Financed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Vehicle.</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Called Receivable</w:t>
      </w:r>
      <w:r>
        <w:rPr>
          <w:rFonts w:ascii="Times New Roman" w:cs="Times New Roman" w:eastAsia="Times New Roman" w:hAnsi="Times New Roman"/>
          <w:sz w:val="18"/>
          <w:szCs w:val="18"/>
          <w:color w:val="auto"/>
        </w:rPr>
        <w:t>” means an Eligible Receivable that was acquired by the Seller pursuant to the exercise of a “clean-up call” or similar purchase option in respect of a prior securitization sponsored by the Seller or its Affiliate.</w:t>
      </w:r>
    </w:p>
    <w:p>
      <w:pPr>
        <w:spacing w:after="0" w:line="162" w:lineRule="exact"/>
        <w:rPr>
          <w:sz w:val="20"/>
          <w:szCs w:val="20"/>
          <w:color w:val="auto"/>
        </w:rPr>
      </w:pPr>
    </w:p>
    <w:p>
      <w:pPr>
        <w:jc w:val="both"/>
        <w:ind w:left="18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change resulting when (i) the Seller no longer owns 100% of the membership interests in the Purchaser, (ii) the Seller or the Purchaser merges or consolidates with, or sells all or substantially all of its assets to any other Person, or (iii) any Unrelated Person or any Unrelated Persons, acting together, that would constitute a Group together with any Affiliates or Related Persons thereof (in each case also constituting Unrelated Persons) shall at any time Beneficially Own more than 50% of the aggregate voting power of all classes of Voting Stock of the Seller. As used herein, (a) “Beneficially Own” shall mean “beneficially own” as defined in Rule 13d-3 of the Exchange Act, or any successor provision thereto; provided, however, that, for purposes of this definition, a Person shall not be deemed to Beneficially Own securities tendered pursuant to a tender or exchange offer made by or on behalf of such Person or any of such Person’s Affiliates until such tendered securities are accepted for purchase or exchange; (b) “Group” shall mean a “group” for purposes of Section 13(d) of the Exchange Act; (c) “Unrelated Person” shall mean at any time any Person other than the Seller or any of its Subsidiaries and other than any trust for any employee benefit plan of the Seller or any of its Subsidiaries; (d) “Related Person” shall mean any other Person owning (1) 5% or more of the outstanding common stock of such Person, or (2) 5% or more of the Voting Stock of such Person; and (e) “Voting Stock” of any Person shall mean the capital stock or other indicia of equity rights of such Person which at the time has the power to vote for the election of one or more members of the Board of Directors (or other governing body) of such Person.</w:t>
      </w:r>
    </w:p>
    <w:p>
      <w:pPr>
        <w:spacing w:after="0" w:line="19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Advance Rate</w:t>
      </w:r>
      <w:r>
        <w:rPr>
          <w:rFonts w:ascii="Times New Roman" w:cs="Times New Roman" w:eastAsia="Times New Roman" w:hAnsi="Times New Roman"/>
          <w:sz w:val="18"/>
          <w:szCs w:val="18"/>
          <w:color w:val="auto"/>
        </w:rPr>
        <w:t>” means, as of any date of determination, the lesser of (a) [***], or (b) the percentage amount calculated in accordance with the Advance Rate Calculator. For the avoidance of doubt, the Class A Advance Rate shall be calculated in accordance with the Advance Rate Calculator and in accordance with the related definitions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6" w:name="page97"/>
    <w:bookmarkEnd w:id="96"/>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Borrowing Base</w:t>
      </w:r>
      <w:r>
        <w:rPr>
          <w:rFonts w:ascii="Times New Roman" w:cs="Times New Roman" w:eastAsia="Times New Roman" w:hAnsi="Times New Roman"/>
          <w:sz w:val="18"/>
          <w:szCs w:val="18"/>
          <w:color w:val="auto"/>
        </w:rPr>
        <w:t xml:space="preserve">” means, as of any date of determination, an amount equal to the product of (a) the Class A Advance Rate and (b) the sum of (i) the Net Eligible Receivables Balance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any Collections representing principal payment amounts on deposit in the Collection Account as of such date of determination (but only to the extent that such Collections have already been applied to reduce the Principal Balance of the related Receivables as reflected in the Net Eligible Receivables Balance).</w:t>
      </w:r>
    </w:p>
    <w:p>
      <w:pPr>
        <w:spacing w:after="0" w:line="183"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Borrowing Base Deficiency</w:t>
      </w:r>
      <w:r>
        <w:rPr>
          <w:rFonts w:ascii="Times New Roman" w:cs="Times New Roman" w:eastAsia="Times New Roman" w:hAnsi="Times New Roman"/>
          <w:sz w:val="18"/>
          <w:szCs w:val="18"/>
          <w:color w:val="auto"/>
        </w:rPr>
        <w:t xml:space="preserve">” means, as of any date of determination, the positive excess, if any, of (i) the Class A Loan Balance over (ii) the Class A Borrowing Base (after application of funds, if any, by the Administrative Agent in reduction of the Class A Loan Balance as contemplated by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Borrowing Request</w:t>
      </w:r>
      <w:r>
        <w:rPr>
          <w:rFonts w:ascii="Times New Roman" w:cs="Times New Roman" w:eastAsia="Times New Roman" w:hAnsi="Times New Roman"/>
          <w:sz w:val="18"/>
          <w:szCs w:val="18"/>
          <w:color w:val="auto"/>
        </w:rPr>
        <w:t>” means a Borrowing Request for a Class A Loan.</w:t>
      </w:r>
    </w:p>
    <w:p>
      <w:pPr>
        <w:spacing w:after="0" w:line="225"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Commitment</w:t>
      </w:r>
      <w:r>
        <w:rPr>
          <w:rFonts w:ascii="Times New Roman" w:cs="Times New Roman" w:eastAsia="Times New Roman" w:hAnsi="Times New Roman"/>
          <w:sz w:val="18"/>
          <w:szCs w:val="18"/>
          <w:color w:val="auto"/>
        </w:rPr>
        <w:t xml:space="preserve">” means, with respect to each Class A Lender, the commitment of such Class A Lender to make Class A Loans hereunder pursuant to the terms and subject to the conditions of this Agreement and the other Loan Documents,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I hereto, as the same may be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which obligation shall be deemed terminated following the occurrence of the Funding Termination Date.</w:t>
      </w:r>
    </w:p>
    <w:p>
      <w:pPr>
        <w:spacing w:after="0" w:line="183"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Commitment Percentage</w:t>
      </w:r>
      <w:r>
        <w:rPr>
          <w:rFonts w:ascii="Times New Roman" w:cs="Times New Roman" w:eastAsia="Times New Roman" w:hAnsi="Times New Roman"/>
          <w:sz w:val="18"/>
          <w:szCs w:val="18"/>
          <w:color w:val="auto"/>
        </w:rPr>
        <w:t>” shall mean, on any date of determination, with respect to any Lender Group and the Class A Loans, the ratio, expressed as a percentage, which the aggregate Class A Commitment of the members of such Lender Group bears to the Class A Maximum Loan Balance on such date.</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CP Yield Rate</w:t>
      </w:r>
      <w:r>
        <w:rPr>
          <w:rFonts w:ascii="Times New Roman" w:cs="Times New Roman" w:eastAsia="Times New Roman" w:hAnsi="Times New Roman"/>
          <w:sz w:val="18"/>
          <w:szCs w:val="18"/>
          <w:color w:val="auto"/>
        </w:rPr>
        <w:t xml:space="preserve">” shall mean, for any day with respect to a Lender, the sum of (a) the greater of (x) the CP Cost of Funds Rate applicable to such Lender for such day and (y) the Floor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Class A Drawn Margin.</w:t>
      </w:r>
    </w:p>
    <w:p>
      <w:pPr>
        <w:spacing w:after="0" w:line="17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Daily Facility Fee Amount</w:t>
      </w:r>
      <w:r>
        <w:rPr>
          <w:rFonts w:ascii="Times New Roman" w:cs="Times New Roman" w:eastAsia="Times New Roman" w:hAnsi="Times New Roman"/>
          <w:sz w:val="18"/>
          <w:szCs w:val="18"/>
          <w:color w:val="auto"/>
        </w:rPr>
        <w:t>” means, with respect to the Class A Loans and any date of determination, an amount calculated on a daily basis during each Interest Period, equal to the product of (i) the product of</w:t>
      </w:r>
    </w:p>
    <w:p>
      <w:pPr>
        <w:jc w:val="both"/>
        <w:ind w:left="180" w:right="20" w:firstLine="4"/>
        <w:spacing w:after="0" w:line="255" w:lineRule="auto"/>
        <w:tabs>
          <w:tab w:leader="none" w:pos="4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1/360 and (y) the Class A Facility Fee Percentage for such date of determination and (ii) the excess of (x) the Class A Maximum Loan Balance over (y) the outstanding Class A Loan Balance as calculated by the Administrative Agent as of 6:00 p.m., New York City time, on such date of determination.</w:t>
      </w:r>
    </w:p>
    <w:p>
      <w:pPr>
        <w:spacing w:after="0" w:line="18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Default Fee</w:t>
      </w:r>
      <w:r>
        <w:rPr>
          <w:rFonts w:ascii="Times New Roman" w:cs="Times New Roman" w:eastAsia="Times New Roman" w:hAnsi="Times New Roman"/>
          <w:sz w:val="18"/>
          <w:szCs w:val="18"/>
          <w:color w:val="auto"/>
        </w:rPr>
        <w:t>” means, with respect to any Settlement Date, the sum of the additional fee amounts accrued on the Class A Loans on each day during the related Interest Period during which an Event of Default is continuing. The additional fee amount accrued on the Class A Loans on any such day during any Interest Period shall equal the product of (i) [***] and (ii) the Class A Loan Balance on such day and (iii) 1/360.</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Drawn Margin</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0000FF"/>
        </w:rPr>
        <w:t>Class A</w:t>
      </w:r>
      <w:r>
        <w:rPr>
          <w:rFonts w:ascii="Times New Roman" w:cs="Times New Roman" w:eastAsia="Times New Roman" w:hAnsi="Times New Roman"/>
          <w:sz w:val="18"/>
          <w:szCs w:val="18"/>
          <w:color w:val="auto"/>
        </w:rPr>
        <w:t xml:space="preserve"> Fee Letter.</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Facility Advance Cap Deficiency</w:t>
      </w:r>
      <w:r>
        <w:rPr>
          <w:rFonts w:ascii="Times New Roman" w:cs="Times New Roman" w:eastAsia="Times New Roman" w:hAnsi="Times New Roman"/>
          <w:sz w:val="18"/>
          <w:szCs w:val="18"/>
          <w:color w:val="auto"/>
        </w:rPr>
        <w:t>” means as of any date of determination, the positive excess, if any, of (i) the Class A Loan Balance, less the amount on deposit in the Reserve Account over (ii) the Class A Facility Advance Purchase Price Cap.</w:t>
      </w:r>
    </w:p>
    <w:p>
      <w:pPr>
        <w:spacing w:after="0" w:line="176"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Facility Advance Purchase Price Cap</w:t>
      </w:r>
      <w:r>
        <w:rPr>
          <w:rFonts w:ascii="Times New Roman" w:cs="Times New Roman" w:eastAsia="Times New Roman" w:hAnsi="Times New Roman"/>
          <w:sz w:val="18"/>
          <w:szCs w:val="18"/>
          <w:color w:val="auto"/>
        </w:rPr>
        <w:t>” means, with respect to any borrowing of Loans on a Settlement Date, the product of (a) [***], (b) the Aggregate Purchase Price Percentage of all Receivables included in the Class A Borrowing Base, and (c) the Aggregate Principal Balance of all Receivables included in the Class A Borrowing Base (after giving effect to such Loans and all Related Receivables being pledged by the Borrower to the Collateral Agent on such date).</w:t>
      </w:r>
    </w:p>
    <w:p>
      <w:pPr>
        <w:spacing w:after="0" w:line="200" w:lineRule="exact"/>
        <w:rPr>
          <w:sz w:val="20"/>
          <w:szCs w:val="20"/>
          <w:color w:val="auto"/>
        </w:rPr>
      </w:pPr>
    </w:p>
    <w:p>
      <w:pPr>
        <w:spacing w:after="0" w:line="3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7" w:name="page98"/>
    <w:bookmarkEnd w:id="97"/>
    <w:p>
      <w:pPr>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Facility Fee Amount</w:t>
      </w:r>
      <w:r>
        <w:rPr>
          <w:rFonts w:ascii="Times New Roman" w:cs="Times New Roman" w:eastAsia="Times New Roman" w:hAnsi="Times New Roman"/>
          <w:sz w:val="18"/>
          <w:szCs w:val="18"/>
          <w:color w:val="auto"/>
        </w:rPr>
        <w:t>” means, with respect to any Settlement Date, the sum of the Class A Daily Facility Fee Amounts for each day in the Interest Period for such Settlement Date.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Facility Fee Percentage</w:t>
      </w:r>
      <w:r>
        <w:rPr>
          <w:rFonts w:ascii="Times New Roman" w:cs="Times New Roman" w:eastAsia="Times New Roman" w:hAnsi="Times New Roman"/>
          <w:sz w:val="18"/>
          <w:szCs w:val="18"/>
          <w:color w:val="auto"/>
        </w:rPr>
        <w:t xml:space="preserve">” has the meaning specified in the </w:t>
      </w:r>
      <w:r>
        <w:rPr>
          <w:rFonts w:ascii="Times New Roman" w:cs="Times New Roman" w:eastAsia="Times New Roman" w:hAnsi="Times New Roman"/>
          <w:sz w:val="18"/>
          <w:szCs w:val="18"/>
          <w:u w:val="single" w:color="auto"/>
          <w:color w:val="0000FF"/>
        </w:rPr>
        <w:t>Class A</w:t>
      </w:r>
      <w:r>
        <w:rPr>
          <w:rFonts w:ascii="Times New Roman" w:cs="Times New Roman" w:eastAsia="Times New Roman" w:hAnsi="Times New Roman"/>
          <w:sz w:val="18"/>
          <w:szCs w:val="18"/>
          <w:color w:val="auto"/>
        </w:rPr>
        <w:t xml:space="preserve"> Fee Letter.</w:t>
      </w:r>
    </w:p>
    <w:p>
      <w:pPr>
        <w:spacing w:after="0" w:line="225" w:lineRule="exact"/>
        <w:rPr>
          <w:sz w:val="20"/>
          <w:szCs w:val="20"/>
          <w:color w:val="auto"/>
        </w:rPr>
      </w:pPr>
    </w:p>
    <w:p>
      <w:pPr>
        <w:ind w:left="180"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“Class A Fee Letter” means that certain Eleventh Amended and Restated Fee Letter, dated as of the Amendment No.4 </w:t>
      </w:r>
      <w:r>
        <w:rPr>
          <w:rFonts w:ascii="Times New Roman" w:cs="Times New Roman" w:eastAsia="Times New Roman" w:hAnsi="Times New Roman"/>
          <w:sz w:val="18"/>
          <w:szCs w:val="18"/>
          <w:u w:val="single" w:color="auto"/>
          <w:color w:val="008000"/>
        </w:rPr>
        <w:t>Closing Date, made by the Administrative Agent, and accepted by CPS and the Borrower.</w:t>
      </w:r>
    </w:p>
    <w:p>
      <w:pPr>
        <w:spacing w:after="0" w:line="162" w:lineRule="exact"/>
        <w:rPr>
          <w:sz w:val="20"/>
          <w:szCs w:val="20"/>
          <w:color w:val="auto"/>
        </w:rPr>
      </w:pPr>
    </w:p>
    <w:p>
      <w:pPr>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Lender</w:t>
      </w:r>
      <w:r>
        <w:rPr>
          <w:rFonts w:ascii="Times New Roman" w:cs="Times New Roman" w:eastAsia="Times New Roman" w:hAnsi="Times New Roman"/>
          <w:sz w:val="18"/>
          <w:szCs w:val="18"/>
          <w:color w:val="auto"/>
        </w:rPr>
        <w:t>” means each Conduit Lender and Committed Lender in whose name a Class A Loan is registered on the Register, which on the Restatement Closing Date shall be Citibank, N.A. or an Affiliate thereof.</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Lender Daily Yield</w:t>
      </w:r>
      <w:r>
        <w:rPr>
          <w:rFonts w:ascii="Times New Roman" w:cs="Times New Roman" w:eastAsia="Times New Roman" w:hAnsi="Times New Roman"/>
          <w:sz w:val="18"/>
          <w:szCs w:val="18"/>
          <w:color w:val="auto"/>
        </w:rPr>
        <w:t>” shall mean, with respect to a Class A Lender on any day, and subject to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the sum of:</w:t>
      </w:r>
    </w:p>
    <w:p>
      <w:pPr>
        <w:spacing w:after="0" w:line="207" w:lineRule="exact"/>
        <w:rPr>
          <w:sz w:val="20"/>
          <w:szCs w:val="20"/>
          <w:color w:val="auto"/>
        </w:rPr>
      </w:pPr>
    </w:p>
    <w:p>
      <w:pPr>
        <w:ind w:left="840" w:right="20" w:firstLine="639"/>
        <w:spacing w:after="0" w:line="282" w:lineRule="auto"/>
        <w:tabs>
          <w:tab w:leader="none" w:pos="2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Class A CP Yield Rate as of such day and (B) the amount of the CP Tranche funded by such Class A Lender as of the close of business on such day divided by (ii) 360;</w:t>
      </w:r>
    </w:p>
    <w:p>
      <w:pPr>
        <w:spacing w:after="0" w:line="161" w:lineRule="exact"/>
        <w:rPr>
          <w:rFonts w:ascii="Times New Roman" w:cs="Times New Roman" w:eastAsia="Times New Roman" w:hAnsi="Times New Roman"/>
          <w:sz w:val="18"/>
          <w:szCs w:val="18"/>
          <w:color w:val="auto"/>
        </w:rPr>
      </w:pPr>
    </w:p>
    <w:p>
      <w:pPr>
        <w:ind w:left="840" w:right="20" w:firstLine="639"/>
        <w:spacing w:after="0" w:line="282" w:lineRule="auto"/>
        <w:tabs>
          <w:tab w:leader="none" w:pos="2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SOFR Yield Rate as of such day and (B) the amount of the SOFR Tranche funded by such Class A Lender as of the close of business on such day divided by (ii) 360;</w:t>
      </w:r>
    </w:p>
    <w:p>
      <w:pPr>
        <w:spacing w:after="0" w:line="161" w:lineRule="exact"/>
        <w:rPr>
          <w:rFonts w:ascii="Times New Roman" w:cs="Times New Roman" w:eastAsia="Times New Roman" w:hAnsi="Times New Roman"/>
          <w:sz w:val="18"/>
          <w:szCs w:val="18"/>
          <w:color w:val="auto"/>
        </w:rPr>
      </w:pPr>
    </w:p>
    <w:p>
      <w:pPr>
        <w:jc w:val="both"/>
        <w:ind w:left="840" w:right="20" w:firstLine="639"/>
        <w:spacing w:after="0" w:line="266" w:lineRule="auto"/>
        <w:tabs>
          <w:tab w:leader="none" w:pos="2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Base Yield Rate as of such day and (B) the amount of the Base Rate Tranche funded by such Class A Lender as of the close of business on such day divided by (ii) 365 (or 366 during a leap year); and</w:t>
      </w:r>
    </w:p>
    <w:p>
      <w:pPr>
        <w:spacing w:after="0" w:line="175"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2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aggregate Class A Loans funded by such Class A Lender and outstanding as of the close of business on such day and (B) the Default Fee, if applicable, divided by (ii) 360.</w:t>
      </w:r>
    </w:p>
    <w:p>
      <w:pPr>
        <w:spacing w:after="0" w:line="162" w:lineRule="exact"/>
        <w:rPr>
          <w:sz w:val="20"/>
          <w:szCs w:val="20"/>
          <w:color w:val="auto"/>
        </w:rPr>
      </w:pPr>
    </w:p>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Lender Percentage</w:t>
      </w:r>
      <w:r>
        <w:rPr>
          <w:rFonts w:ascii="Times New Roman" w:cs="Times New Roman" w:eastAsia="Times New Roman" w:hAnsi="Times New Roman"/>
          <w:sz w:val="18"/>
          <w:szCs w:val="18"/>
          <w:color w:val="auto"/>
        </w:rPr>
        <w:t xml:space="preserve">” shall mean, on any date, with respect to any Lender Group, the percentage equivalent of a fraction, the numerator of which is the Class A Commitment of the Committed Lender in such Lender Group on such date and the denominator of which is the aggregate Class A Commitments of all Committed Lenders in all Lender Groups on such date, as the same may be adjusted from time to time in accordance with the terms and conditions of this Agreement. The Class A Lender Percentage for each Lender Group as of the Closing Date is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87"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Lenders’ Interest Carryover Shortfall</w:t>
      </w:r>
      <w:r>
        <w:rPr>
          <w:rFonts w:ascii="Times New Roman" w:cs="Times New Roman" w:eastAsia="Times New Roman" w:hAnsi="Times New Roman"/>
          <w:sz w:val="18"/>
          <w:szCs w:val="18"/>
          <w:color w:val="auto"/>
        </w:rPr>
        <w:t>” means, with respect to any Settlement Date, the excess of the Class A Lenders’ Interest Distributable Amount for the preceding Settlement Date over the amount that was actually deposited in the Distribution Account on such preceding Settlement Date on account of the Class A Lenders’ Interest Distributable Amount.</w:t>
      </w:r>
    </w:p>
    <w:p>
      <w:pPr>
        <w:spacing w:after="0" w:line="180"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Lenders’ Interest Distributable Amount</w:t>
      </w:r>
      <w:r>
        <w:rPr>
          <w:rFonts w:ascii="Times New Roman" w:cs="Times New Roman" w:eastAsia="Times New Roman" w:hAnsi="Times New Roman"/>
          <w:sz w:val="18"/>
          <w:szCs w:val="18"/>
          <w:color w:val="auto"/>
        </w:rPr>
        <w:t xml:space="preserve">” means, with respect to any Settlement Date, the sum of the interest amounts accrued on the Class A Loans on each day during the related Interest Period and the Class A Lenders’ Interest Carryover Shortfall for such Settlement Date, if any, plus interest on the Class A Lenders’ Interest Carryover Shortfall, to the extent permitted by law, at the applicable Class A Yield for the related Interest Period(s), from and including the preceding Settlement Date to, but excluding, the current Settlement Date, subject to </w:t>
      </w:r>
      <w:r>
        <w:rPr>
          <w:rFonts w:ascii="Times New Roman" w:cs="Times New Roman" w:eastAsia="Times New Roman" w:hAnsi="Times New Roman"/>
          <w:sz w:val="18"/>
          <w:szCs w:val="18"/>
          <w:u w:val="single" w:color="auto"/>
          <w:color w:val="auto"/>
        </w:rPr>
        <w:t>Sections 3.01(c)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The interest amount accrued on the Class A Loans on any day during any Interest Period shall equal the product of (i) the applicable Class A Yield for such day (subject to </w:t>
      </w:r>
      <w:r>
        <w:rPr>
          <w:rFonts w:ascii="Times New Roman" w:cs="Times New Roman" w:eastAsia="Times New Roman" w:hAnsi="Times New Roman"/>
          <w:sz w:val="18"/>
          <w:szCs w:val="18"/>
          <w:u w:val="single" w:color="auto"/>
          <w:color w:val="auto"/>
        </w:rPr>
        <w:t>Sections 3.01(c)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and (ii) the Class A Loan Balance on such day and (iii) 1/360.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8" w:name="page99"/>
    <w:bookmarkEnd w:id="98"/>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Lenders’ Principal Distributable Amount</w:t>
      </w:r>
      <w:r>
        <w:rPr>
          <w:rFonts w:ascii="Times New Roman" w:cs="Times New Roman" w:eastAsia="Times New Roman" w:hAnsi="Times New Roman"/>
          <w:sz w:val="18"/>
          <w:szCs w:val="18"/>
          <w:color w:val="auto"/>
        </w:rPr>
        <w:t>” means, with respect to any Settlement Date (A) prior to the Funding Termination Date, the lesser of (i) the Class A Borrowing Base Deficiency, if any, (ii) the Class A Loan Balance, and (B) upon and after the Funding Termination Date, all remaining Available Funds up to the Class A Loan Balance.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Loan</w:t>
      </w:r>
      <w:r>
        <w:rPr>
          <w:rFonts w:ascii="Times New Roman" w:cs="Times New Roman" w:eastAsia="Times New Roman" w:hAnsi="Times New Roman"/>
          <w:sz w:val="18"/>
          <w:szCs w:val="18"/>
          <w:color w:val="auto"/>
        </w:rPr>
        <w:t xml:space="preserve">” means a loan made by a Class A Lender to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Loan Balance</w:t>
      </w:r>
      <w:r>
        <w:rPr>
          <w:rFonts w:ascii="Times New Roman" w:cs="Times New Roman" w:eastAsia="Times New Roman" w:hAnsi="Times New Roman"/>
          <w:sz w:val="18"/>
          <w:szCs w:val="18"/>
          <w:color w:val="auto"/>
        </w:rPr>
        <w:t>” means, with respect to any date of determination, the aggregate outstanding principal amount (including all Class A Loans to be made on such date of determination) of the Class A Loans at such date of determination.</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Majority Lenders</w:t>
      </w:r>
      <w:r>
        <w:rPr>
          <w:rFonts w:ascii="Times New Roman" w:cs="Times New Roman" w:eastAsia="Times New Roman" w:hAnsi="Times New Roman"/>
          <w:sz w:val="18"/>
          <w:szCs w:val="18"/>
          <w:color w:val="auto"/>
        </w:rPr>
        <w:t>” means Class A Lenders that in the aggregate constitute more than 50% of the Applicable Percentage of all Class A Loans.</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Maximum Loan Balance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Rated Legal Final Settlement Date</w:t>
      </w:r>
      <w:r>
        <w:rPr>
          <w:rFonts w:ascii="Times New Roman" w:cs="Times New Roman" w:eastAsia="Times New Roman" w:hAnsi="Times New Roman"/>
          <w:sz w:val="18"/>
          <w:szCs w:val="18"/>
          <w:color w:val="auto"/>
        </w:rPr>
        <w:t xml:space="preserve">” means the Settlement Date in March </w:t>
      </w:r>
      <w:r>
        <w:rPr>
          <w:rFonts w:ascii="Times New Roman" w:cs="Times New Roman" w:eastAsia="Times New Roman" w:hAnsi="Times New Roman"/>
          <w:sz w:val="18"/>
          <w:szCs w:val="18"/>
          <w:color w:val="FF0000"/>
          <w:strike w:val="1"/>
        </w:rPr>
        <w:t>2028</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0000FF"/>
        </w:rPr>
        <w: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u w:val="single" w:color="auto"/>
          <w:color w:val="0000FF"/>
        </w:rPr>
        <w:t>“Class A Renewal Fee Amount” has the meaning specified in the Class A Fee Letter.</w:t>
      </w:r>
    </w:p>
    <w:p>
      <w:pPr>
        <w:spacing w:after="0" w:line="225" w:lineRule="exact"/>
        <w:rPr>
          <w:sz w:val="20"/>
          <w:szCs w:val="20"/>
          <w:color w:val="auto"/>
        </w:rPr>
      </w:pPr>
    </w:p>
    <w:p>
      <w:pPr>
        <w:jc w:val="both"/>
        <w:ind w:left="18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Yield</w:t>
      </w:r>
      <w:r>
        <w:rPr>
          <w:rFonts w:ascii="Times New Roman" w:cs="Times New Roman" w:eastAsia="Times New Roman" w:hAnsi="Times New Roman"/>
          <w:sz w:val="18"/>
          <w:szCs w:val="18"/>
          <w:color w:val="auto"/>
        </w:rPr>
        <w:t xml:space="preserve">” shall mean, for each Interest Period (or portion thereof), the sum of the aggregate Class A Lender Daily Yields for all Class A Lenders with respect to each day during such Interest Period (or such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Class A Yield shall not be considered paid by any distribution if at any time such distribution is returned or must be rescinded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Borrower shall not be deemed to be in default of any obligation hereunder if any such return or rescission of Class A Yield is not due to the fault of the Borrower. Without limiting the generality of the foregoing, Class A Yield shall include interest that accrues after the commencement of an Insolvency Event with respect to the Borrower.</w:t>
      </w:r>
    </w:p>
    <w:p>
      <w:pPr>
        <w:spacing w:after="0" w:line="189"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Advance Rate</w:t>
      </w:r>
      <w:r>
        <w:rPr>
          <w:rFonts w:ascii="Times New Roman" w:cs="Times New Roman" w:eastAsia="Times New Roman" w:hAnsi="Times New Roman"/>
          <w:sz w:val="18"/>
          <w:szCs w:val="18"/>
          <w:color w:val="auto"/>
        </w:rPr>
        <w:t xml:space="preserve">” means, as of any date of determination,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prior to the occurrence and continuance of an Event of Default, a percentage equal to the lesser of (i) [***] and (ii) the sum of the Class A Advance Rate as of such date of determination (such amount for purposes of this definition shall be no greater than [***]) plus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-364490</wp:posOffset>
            </wp:positionV>
            <wp:extent cx="539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975" cy="8890"/>
                    </a:xfrm>
                    <a:prstGeom prst="rect">
                      <a:avLst/>
                    </a:prstGeom>
                    <a:noFill/>
                  </pic:spPr>
                </pic:pic>
              </a:graphicData>
            </a:graphic>
          </wp:anchor>
        </w:drawing>
      </w:r>
    </w:p>
    <w:p>
      <w:pPr>
        <w:spacing w:after="0" w:line="15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Borrowing Base</w:t>
      </w:r>
      <w:r>
        <w:rPr>
          <w:rFonts w:ascii="Times New Roman" w:cs="Times New Roman" w:eastAsia="Times New Roman" w:hAnsi="Times New Roman"/>
          <w:sz w:val="18"/>
          <w:szCs w:val="18"/>
          <w:color w:val="auto"/>
        </w:rPr>
        <w:t>” means, as of any date of determination, an amount equal to the result of (a) the Total Borrowing Base minus (b) the Class A Borrowing Base.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Borrowing Date</w:t>
      </w:r>
      <w:r>
        <w:rPr>
          <w:rFonts w:ascii="Times New Roman" w:cs="Times New Roman" w:eastAsia="Times New Roman" w:hAnsi="Times New Roman"/>
          <w:sz w:val="18"/>
          <w:szCs w:val="18"/>
          <w:color w:val="auto"/>
        </w:rPr>
        <w:t>” means any date on which the Class B Lenders advance a Class B Loan.</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Borrowing Base Deficiency</w:t>
      </w:r>
      <w:r>
        <w:rPr>
          <w:rFonts w:ascii="Times New Roman" w:cs="Times New Roman" w:eastAsia="Times New Roman" w:hAnsi="Times New Roman"/>
          <w:sz w:val="18"/>
          <w:szCs w:val="18"/>
          <w:color w:val="auto"/>
        </w:rPr>
        <w:t xml:space="preserve">” means, as of any date of determination, the positive excess, if any, of (i) the Class B Loan Balance over (ii) the Class B Borrowing Base (after application of funds, if any, by the Administrative Agent in reduction of the Class B Loan Balance as contemplated by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Commitment</w:t>
      </w:r>
      <w:r>
        <w:rPr>
          <w:rFonts w:ascii="Times New Roman" w:cs="Times New Roman" w:eastAsia="Times New Roman" w:hAnsi="Times New Roman"/>
          <w:sz w:val="18"/>
          <w:szCs w:val="18"/>
          <w:color w:val="auto"/>
        </w:rPr>
        <w:t xml:space="preserve">” means, with respect to each Class B Lender, the commitment of such Class B Lender to make Class B Loans hereunder pursuant to the terms and subject to the conditions of this Agreement and the other Loan Documents,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I hereto, as the same may be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which obligation shall be deemed terminated following the occurrence of the Funding Termination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99" w:name="page100"/>
    <w:bookmarkEnd w:id="99"/>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Commitment Percentage</w:t>
      </w:r>
      <w:r>
        <w:rPr>
          <w:rFonts w:ascii="Times New Roman" w:cs="Times New Roman" w:eastAsia="Times New Roman" w:hAnsi="Times New Roman"/>
          <w:sz w:val="18"/>
          <w:szCs w:val="18"/>
          <w:color w:val="auto"/>
        </w:rPr>
        <w:t>” shall mean, on any date of determination, with respect to any Lender Group and the Class B Loans, the ratio, expressed as a percentage, which the aggregate Class B Commitment of the members of such Lender Group bears to the Class B Maximum Loan Balance on such date.</w:t>
      </w:r>
    </w:p>
    <w:p>
      <w:pPr>
        <w:spacing w:after="0" w:line="17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Daily Facility Fee Amount</w:t>
      </w:r>
      <w:r>
        <w:rPr>
          <w:rFonts w:ascii="Times New Roman" w:cs="Times New Roman" w:eastAsia="Times New Roman" w:hAnsi="Times New Roman"/>
          <w:sz w:val="18"/>
          <w:szCs w:val="18"/>
          <w:color w:val="auto"/>
        </w:rPr>
        <w:t>” means, with respect to the Class B Loans and any date of determination, an amount calculated on a daily basis during each Interest Period, equal to the product of (i) the product of</w:t>
      </w:r>
    </w:p>
    <w:p>
      <w:pPr>
        <w:jc w:val="both"/>
        <w:ind w:left="180" w:right="20" w:firstLine="4"/>
        <w:spacing w:after="0" w:line="255" w:lineRule="auto"/>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1/360 and (y) the Class B Facility Fee Percentage for such date of determination and (ii) the excess of (x) the Class B Maximum Loan Balance over (y) the outstanding Class B Loan Balance as calculated by the Administrative Agent as of 6:00 p.m., New York City time, on such date of determination.</w:t>
      </w:r>
    </w:p>
    <w:p>
      <w:pPr>
        <w:spacing w:after="0" w:line="18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Default Fee</w:t>
      </w:r>
      <w:r>
        <w:rPr>
          <w:rFonts w:ascii="Times New Roman" w:cs="Times New Roman" w:eastAsia="Times New Roman" w:hAnsi="Times New Roman"/>
          <w:sz w:val="18"/>
          <w:szCs w:val="18"/>
          <w:color w:val="auto"/>
        </w:rPr>
        <w:t>” means, with respect to any Settlement Date, the sum of the additional fee amounts accrued on the Class B Loans on each day during the related Interest Period during which an Event of Default is continuing. The additional fee amount accrued on the Class B Loans on any such day during any Interest Period shall equal the product of (i) [***] and (ii) the Class B Loan Balance on such day and (iii) 1/360.</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Drawn Margin</w:t>
      </w:r>
      <w:r>
        <w:rPr>
          <w:rFonts w:ascii="Times New Roman" w:cs="Times New Roman" w:eastAsia="Times New Roman" w:hAnsi="Times New Roman"/>
          <w:sz w:val="18"/>
          <w:szCs w:val="18"/>
          <w:color w:val="auto"/>
        </w:rPr>
        <w:t>” has the meaning assigned to such term in the Class B Fee Letter.</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Facility Advance Cap Deficiency</w:t>
      </w:r>
      <w:r>
        <w:rPr>
          <w:rFonts w:ascii="Times New Roman" w:cs="Times New Roman" w:eastAsia="Times New Roman" w:hAnsi="Times New Roman"/>
          <w:sz w:val="18"/>
          <w:szCs w:val="18"/>
          <w:color w:val="auto"/>
        </w:rPr>
        <w:t>” means as of any date of determination, the positive excess, if any, of (i) the Class A Loan Balance plus the Class B Loan Balance, less the amount on deposit in the Reserve Account over (ii) the Class B Facility Advance Purchase Price Cap.</w:t>
      </w:r>
    </w:p>
    <w:p>
      <w:pPr>
        <w:spacing w:after="0" w:line="176"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Facility Advance Purchase Price Cap</w:t>
      </w:r>
      <w:r>
        <w:rPr>
          <w:rFonts w:ascii="Times New Roman" w:cs="Times New Roman" w:eastAsia="Times New Roman" w:hAnsi="Times New Roman"/>
          <w:sz w:val="18"/>
          <w:szCs w:val="18"/>
          <w:color w:val="auto"/>
        </w:rPr>
        <w:t>” means, with respect to any borrowing of Loans on a Settlement Date, the product of (a) [***], (b) the Aggregate Purchase Price Percentage of all Receivables included in the Borrowing Base, and (c) the Aggregate Principal Balance of all Receivables included in the Borrowing Base (after giving effect to such Loans and all Related Receivables being pledged by the Borrower to the Collateral Agent on such date).</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Facility Fee Amount</w:t>
      </w:r>
      <w:r>
        <w:rPr>
          <w:rFonts w:ascii="Times New Roman" w:cs="Times New Roman" w:eastAsia="Times New Roman" w:hAnsi="Times New Roman"/>
          <w:sz w:val="18"/>
          <w:szCs w:val="18"/>
          <w:color w:val="auto"/>
        </w:rPr>
        <w:t>” means, with respect to any Settlement Date, the sum of the Class B Daily Facility Fee Amounts for each day in the Interest Period for such Settlement Date.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Facility Fee Percentage</w:t>
      </w:r>
      <w:r>
        <w:rPr>
          <w:rFonts w:ascii="Times New Roman" w:cs="Times New Roman" w:eastAsia="Times New Roman" w:hAnsi="Times New Roman"/>
          <w:sz w:val="18"/>
          <w:szCs w:val="18"/>
          <w:color w:val="auto"/>
        </w:rPr>
        <w:t>” has the meaning specified in the Class B Fee Letter.</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Fee Letter</w:t>
      </w:r>
      <w:r>
        <w:rPr>
          <w:rFonts w:ascii="Times New Roman" w:cs="Times New Roman" w:eastAsia="Times New Roman" w:hAnsi="Times New Roman"/>
          <w:sz w:val="18"/>
          <w:szCs w:val="18"/>
          <w:color w:val="auto"/>
        </w:rPr>
        <w:t xml:space="preserve">” means that certain </w:t>
      </w:r>
      <w:r>
        <w:rPr>
          <w:rFonts w:ascii="Times New Roman" w:cs="Times New Roman" w:eastAsia="Times New Roman" w:hAnsi="Times New Roman"/>
          <w:sz w:val="18"/>
          <w:szCs w:val="18"/>
          <w:u w:val="single" w:color="auto"/>
          <w:color w:val="0000FF"/>
        </w:rPr>
        <w:t>Second Amended and Restated</w:t>
      </w:r>
      <w:r>
        <w:rPr>
          <w:rFonts w:ascii="Times New Roman" w:cs="Times New Roman" w:eastAsia="Times New Roman" w:hAnsi="Times New Roman"/>
          <w:sz w:val="18"/>
          <w:szCs w:val="18"/>
          <w:color w:val="auto"/>
        </w:rPr>
        <w:t xml:space="preserve"> Fee Letter, dated as of the </w:t>
      </w:r>
      <w:r>
        <w:rPr>
          <w:rFonts w:ascii="Times New Roman" w:cs="Times New Roman" w:eastAsia="Times New Roman" w:hAnsi="Times New Roman"/>
          <w:sz w:val="18"/>
          <w:szCs w:val="18"/>
          <w:color w:val="FF0000"/>
          <w:strike w:val="1"/>
        </w:rPr>
        <w:t>Restatement</w:t>
      </w:r>
      <w:r>
        <w:rPr>
          <w:rFonts w:ascii="Times New Roman" w:cs="Times New Roman" w:eastAsia="Times New Roman" w:hAnsi="Times New Roman"/>
          <w:sz w:val="18"/>
          <w:szCs w:val="18"/>
          <w:u w:val="single" w:color="auto"/>
          <w:color w:val="0000FF"/>
        </w:rPr>
        <w:t>Amendment No.4</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Closing Date, made by the Administrative Agent and Class B Lenders, and accepted by CPS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the Borrower.</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Lender</w:t>
      </w:r>
      <w:r>
        <w:rPr>
          <w:rFonts w:ascii="Times New Roman" w:cs="Times New Roman" w:eastAsia="Times New Roman" w:hAnsi="Times New Roman"/>
          <w:sz w:val="18"/>
          <w:szCs w:val="18"/>
          <w:color w:val="auto"/>
        </w:rPr>
        <w:t>” means each Person in whose name a Class B Loan is registered on the Register, which on the Restatement Closing Date, shall be the Persons signatory to this Agreement as Class B Lenders.</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Lender Daily Yield</w:t>
      </w:r>
      <w:r>
        <w:rPr>
          <w:rFonts w:ascii="Times New Roman" w:cs="Times New Roman" w:eastAsia="Times New Roman" w:hAnsi="Times New Roman"/>
          <w:sz w:val="18"/>
          <w:szCs w:val="18"/>
          <w:color w:val="auto"/>
        </w:rPr>
        <w:t>” shall mean, with respect to a Class B Lender on any day, and subject to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the sum of:</w:t>
      </w:r>
    </w:p>
    <w:p>
      <w:pPr>
        <w:spacing w:after="0" w:line="207" w:lineRule="exact"/>
        <w:rPr>
          <w:sz w:val="20"/>
          <w:szCs w:val="20"/>
          <w:color w:val="auto"/>
        </w:rPr>
      </w:pPr>
    </w:p>
    <w:p>
      <w:pPr>
        <w:ind w:left="840" w:right="20" w:firstLine="639"/>
        <w:spacing w:after="0" w:line="282" w:lineRule="auto"/>
        <w:tabs>
          <w:tab w:leader="none" w:pos="2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SOFR Yield Rate as of such day and (B) the amount of the SOFR Tranche funded by such Class B Lender as of the close of business on such day divided by (ii) 360;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0" w:name="page101"/>
    <w:bookmarkEnd w:id="100"/>
    <w:p>
      <w:pPr>
        <w:jc w:val="both"/>
        <w:ind w:left="840" w:firstLine="639"/>
        <w:spacing w:after="0" w:line="266" w:lineRule="auto"/>
        <w:tabs>
          <w:tab w:leader="none" w:pos="21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Base Yield Rate as of such day and (B) the amount of the Base Rate Tranche funded by such Class B Lender as of the close of business on such day divided by (ii) 365 (or 366 during a leap year); and</w:t>
      </w:r>
    </w:p>
    <w:p>
      <w:pPr>
        <w:spacing w:after="0" w:line="175" w:lineRule="exact"/>
        <w:rPr>
          <w:rFonts w:ascii="Times New Roman" w:cs="Times New Roman" w:eastAsia="Times New Roman" w:hAnsi="Times New Roman"/>
          <w:sz w:val="18"/>
          <w:szCs w:val="18"/>
          <w:color w:val="auto"/>
        </w:rPr>
      </w:pPr>
    </w:p>
    <w:p>
      <w:pPr>
        <w:ind w:left="840" w:right="20" w:firstLine="639"/>
        <w:spacing w:after="0" w:line="282" w:lineRule="auto"/>
        <w:tabs>
          <w:tab w:leader="none" w:pos="21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(i) the product of (A) the aggregate Class B Loans funded by such Class B Lender and outstanding as of the close of business on such day and (B) the Default Fee, if applicable, divided by (ii) 360.</w:t>
      </w:r>
    </w:p>
    <w:p>
      <w:pPr>
        <w:spacing w:after="0" w:line="162"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Lender Percentage</w:t>
      </w:r>
      <w:r>
        <w:rPr>
          <w:rFonts w:ascii="Times New Roman" w:cs="Times New Roman" w:eastAsia="Times New Roman" w:hAnsi="Times New Roman"/>
          <w:sz w:val="18"/>
          <w:szCs w:val="18"/>
          <w:color w:val="auto"/>
        </w:rPr>
        <w:t xml:space="preserve">” shall mean, on any date, with respect to any Lender Group, the percentage equivalent of a fraction, the numerator of which is the Class B Commitment of the Committed Lender in such Lender Group on such date and the denominator of which is the aggregate Class B Commitments of all Committed Lenders in all Lender Groups on such date, as the same may be adjusted from time to time in accordance with the terms and conditions of this Agreement. The Class B Lender Percentage for each Lender Group as of the Closing Date is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Lenders’ Interest Carryover Shortfall</w:t>
      </w:r>
      <w:r>
        <w:rPr>
          <w:rFonts w:ascii="Times New Roman" w:cs="Times New Roman" w:eastAsia="Times New Roman" w:hAnsi="Times New Roman"/>
          <w:sz w:val="18"/>
          <w:szCs w:val="18"/>
          <w:color w:val="auto"/>
        </w:rPr>
        <w:t>” means, with respect to any Settlement Date, the excess of the Class B Lenders’ Interest Distributable Amount for the preceding Settlement Date over the amount that was actually deposited in the Distribution Account on such preceding Settlement Date on account of the Class B Lenders’ Interest Distributable Amount.</w:t>
      </w:r>
    </w:p>
    <w:p>
      <w:pPr>
        <w:spacing w:after="0" w:line="180" w:lineRule="exact"/>
        <w:rPr>
          <w:sz w:val="20"/>
          <w:szCs w:val="20"/>
          <w:color w:val="auto"/>
        </w:rPr>
      </w:pPr>
    </w:p>
    <w:p>
      <w:pPr>
        <w:jc w:val="both"/>
        <w:ind w:left="180"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Lenders’ Interest Distributable Amount</w:t>
      </w:r>
      <w:r>
        <w:rPr>
          <w:rFonts w:ascii="Times New Roman" w:cs="Times New Roman" w:eastAsia="Times New Roman" w:hAnsi="Times New Roman"/>
          <w:sz w:val="18"/>
          <w:szCs w:val="18"/>
          <w:color w:val="auto"/>
        </w:rPr>
        <w:t>” means, with respect to any Settlement Date, the sum of the interest amounts accrued on the Class B Loans on each day during the related Interest Period and the Class B Lenders’ Interest Carryover Shortfall for such Settlement Date, if any, plus interest on the Class B Lenders’ Interest Carryover Shortfall, to the extent permitted by law, at the Class B Yield for the related Interest Period(s), from and including the preceding Settlement Date to, but excluding, the current Settlement Date. The interest amount accrued on the Class B Loans on any day during any Interest Period shall equal the product of (i) the Class B Yield for such day and (ii) the Class B Loan Balance on such day and (iii) 1/360.</w:t>
      </w:r>
    </w:p>
    <w:p>
      <w:pPr>
        <w:spacing w:after="0" w:line="189"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Lenders’ Principal Distributable Amount</w:t>
      </w:r>
      <w:r>
        <w:rPr>
          <w:rFonts w:ascii="Times New Roman" w:cs="Times New Roman" w:eastAsia="Times New Roman" w:hAnsi="Times New Roman"/>
          <w:sz w:val="18"/>
          <w:szCs w:val="18"/>
          <w:color w:val="auto"/>
        </w:rPr>
        <w:t>” means, with respect to any Settlement Date (A) prior to the Funding Termination Date, the lesser of (i) the Class B Borrowing Base Deficiency, if any, (ii) the Class B Loan Balance, and (B) upon and after the Funding Termination Date, all remaining Available Funds up to the Class B Loan Balance.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Loan</w:t>
      </w:r>
      <w:r>
        <w:rPr>
          <w:rFonts w:ascii="Times New Roman" w:cs="Times New Roman" w:eastAsia="Times New Roman" w:hAnsi="Times New Roman"/>
          <w:sz w:val="18"/>
          <w:szCs w:val="18"/>
          <w:color w:val="auto"/>
        </w:rPr>
        <w:t xml:space="preserve">” means a loan made by a Class B Lender to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Loan Balance</w:t>
      </w:r>
      <w:r>
        <w:rPr>
          <w:rFonts w:ascii="Times New Roman" w:cs="Times New Roman" w:eastAsia="Times New Roman" w:hAnsi="Times New Roman"/>
          <w:sz w:val="18"/>
          <w:szCs w:val="18"/>
          <w:color w:val="auto"/>
        </w:rPr>
        <w:t>” means, with respect to any date of determination, the aggregate outstanding principal amount of the Class B Loans at such date of determination.</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Majority Lenders</w:t>
      </w:r>
      <w:r>
        <w:rPr>
          <w:rFonts w:ascii="Times New Roman" w:cs="Times New Roman" w:eastAsia="Times New Roman" w:hAnsi="Times New Roman"/>
          <w:sz w:val="18"/>
          <w:szCs w:val="18"/>
          <w:color w:val="auto"/>
        </w:rPr>
        <w:t>” means Class B Lenders that in the aggregate constitute more than [***] of the Applicable Percentage of all Class B Loans.</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Maximum Loan Balance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Rated Legal Final Settlement Date</w:t>
      </w:r>
      <w:r>
        <w:rPr>
          <w:rFonts w:ascii="Times New Roman" w:cs="Times New Roman" w:eastAsia="Times New Roman" w:hAnsi="Times New Roman"/>
          <w:sz w:val="18"/>
          <w:szCs w:val="18"/>
          <w:color w:val="auto"/>
        </w:rPr>
        <w:t xml:space="preserve">” means the Settlement Date in March </w:t>
      </w:r>
      <w:r>
        <w:rPr>
          <w:rFonts w:ascii="Times New Roman" w:cs="Times New Roman" w:eastAsia="Times New Roman" w:hAnsi="Times New Roman"/>
          <w:sz w:val="18"/>
          <w:szCs w:val="18"/>
          <w:color w:val="FF0000"/>
          <w:strike w:val="1"/>
        </w:rPr>
        <w:t>2028</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Upfront Fee Amount</w:t>
      </w:r>
      <w:r>
        <w:rPr>
          <w:rFonts w:ascii="Times New Roman" w:cs="Times New Roman" w:eastAsia="Times New Roman" w:hAnsi="Times New Roman"/>
          <w:sz w:val="18"/>
          <w:szCs w:val="18"/>
          <w:color w:val="auto"/>
        </w:rPr>
        <w:t>” has the meaning assigned to such term in the Class B Fee Letter.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1" w:name="page102"/>
    <w:bookmarkEnd w:id="101"/>
    <w:p>
      <w:pPr>
        <w:jc w:val="both"/>
        <w:ind w:left="18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Yield</w:t>
      </w:r>
      <w:r>
        <w:rPr>
          <w:rFonts w:ascii="Times New Roman" w:cs="Times New Roman" w:eastAsia="Times New Roman" w:hAnsi="Times New Roman"/>
          <w:sz w:val="18"/>
          <w:szCs w:val="18"/>
          <w:color w:val="auto"/>
        </w:rPr>
        <w:t xml:space="preserve">” shall mean, for each Interest Period (or portion thereof), the sum of the aggregate Class B Lender Daily Yields for all Class B Lenders with respect to each day during such Interest Period (or such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Class B Yield shall not be considered paid by any distribution if at any time such distribution is returned or must be rescinded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Borrower shall not be deemed to be in default of any obligation hereunder if any such return or rescission of Class B Yield is not due to the fault of the Borrower. Without limiting the generality of the foregoing, Class B Yield shall include interest that accrues after the commencement of an Insolvency Event with respect to the Borrower.</w:t>
      </w:r>
    </w:p>
    <w:p>
      <w:pPr>
        <w:spacing w:after="0" w:line="189"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Treasury Regulations promulgated thereunder.</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Cohort</w:t>
      </w:r>
      <w:r>
        <w:rPr>
          <w:rFonts w:ascii="Times New Roman" w:cs="Times New Roman" w:eastAsia="Times New Roman" w:hAnsi="Times New Roman"/>
          <w:sz w:val="18"/>
          <w:szCs w:val="18"/>
          <w:color w:val="auto"/>
        </w:rPr>
        <w:t>” means, for any date of determination and as applicable, either (i) other than with respect to Seasoned Receivables, for each loan product type set forth in the Advance Rate Calculator, the applicable credit tier or (ii) with respect to Seasoned Receivables, all Eligible Receivables that are Seasoned Receivables.</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Citibank, N.A., and its successors and assigns in such capacity.</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xml:space="preserve">” means the Eligible Account designated as such, established and maintained pursuant to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means all amounts collected on or in respect of the Receivables after the applicable Cut-Off Date, including Scheduled Payments (whether received in whole or in part, whether related to a current, future or prior due date, whether paid voluntarily by an Obligor or received in connection with the realization of the amounts due and to become due under any defaulted Receivable or upon the sale of any property acquired in respect thereof), all partial prepayments, all full prepayments, recoveries, or any other form of payment.</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the Class A Loans, the Class A Commitment and with respect to the Class B Loans, the Class B Commitment.</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means the Class A Commitment Percentage or the Class B Commitment Percentage, as applicable.</w:t>
      </w:r>
    </w:p>
    <w:p>
      <w:pPr>
        <w:spacing w:after="0" w:line="162"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Lender</w:t>
      </w:r>
      <w:r>
        <w:rPr>
          <w:rFonts w:ascii="Times New Roman" w:cs="Times New Roman" w:eastAsia="Times New Roman" w:hAnsi="Times New Roman"/>
          <w:sz w:val="18"/>
          <w:szCs w:val="18"/>
          <w:color w:val="auto"/>
        </w:rPr>
        <w:t xml:space="preserve">” means a bank or other financial institutions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I as a Committed Lender, together with their respective permitted successors and assigns.</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Requirements</w:t>
      </w:r>
      <w:r>
        <w:rPr>
          <w:rFonts w:ascii="Times New Roman" w:cs="Times New Roman" w:eastAsia="Times New Roman" w:hAnsi="Times New Roman"/>
          <w:sz w:val="18"/>
          <w:szCs w:val="18"/>
          <w:color w:val="auto"/>
        </w:rPr>
        <w:t>” means with respect to Eligible Receivables:</w:t>
      </w:r>
    </w:p>
    <w:p>
      <w:pPr>
        <w:spacing w:after="0" w:line="225" w:lineRule="exact"/>
        <w:rPr>
          <w:sz w:val="20"/>
          <w:szCs w:val="20"/>
          <w:color w:val="auto"/>
        </w:rPr>
      </w:pPr>
    </w:p>
    <w:p>
      <w:pPr>
        <w:ind w:left="2780" w:hanging="652"/>
        <w:spacing w:after="0"/>
        <w:tabs>
          <w:tab w:leader="none" w:pos="2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2" w:name="page103"/>
    <w:bookmarkEnd w:id="102"/>
    <w:p>
      <w:pPr>
        <w:ind w:left="2780" w:hanging="652"/>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Lender</w:t>
      </w:r>
      <w:r>
        <w:rPr>
          <w:rFonts w:ascii="Times New Roman" w:cs="Times New Roman" w:eastAsia="Times New Roman" w:hAnsi="Times New Roman"/>
          <w:sz w:val="18"/>
          <w:szCs w:val="18"/>
          <w:color w:val="auto"/>
        </w:rPr>
        <w:t xml:space="preserve">” means each asset-backed commercial paper conduit administered by a Committed Lender or such Committed Lender’s Affiliate thereof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as Conduit Lenders (if any) and their respective permitted successors and assigns.</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and Agreement</w:t>
      </w:r>
      <w:r>
        <w:rPr>
          <w:rFonts w:ascii="Times New Roman" w:cs="Times New Roman" w:eastAsia="Times New Roman" w:hAnsi="Times New Roman"/>
          <w:sz w:val="18"/>
          <w:szCs w:val="18"/>
          <w:color w:val="auto"/>
        </w:rPr>
        <w:t>” means that Consent and Agreement dated as of May 11, 2012, made by the Borrower and acknowledged by CPS and Folio Funding Three LLC, as such agreement may be amended, supplemented or otherwise modified from time to time in accordance with the terms thereof.</w:t>
      </w:r>
    </w:p>
    <w:p>
      <w:pPr>
        <w:spacing w:after="0" w:line="176"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Consumer Laws</w:t>
      </w:r>
      <w:r>
        <w:rPr>
          <w:rFonts w:ascii="Times New Roman" w:cs="Times New Roman" w:eastAsia="Times New Roman" w:hAnsi="Times New Roman"/>
          <w:sz w:val="18"/>
          <w:szCs w:val="18"/>
          <w:color w:val="auto"/>
        </w:rPr>
        <w:t>” means federal and State interest and usury laws, the federal Truth-in-Lending Act, the federal Equal Credit Opportunity Act, the federal Fair Credit Reporting Act, the federal Fair Debt Collection Practices Act, the Federal Trade Commission Act and all applicable Federal Trade Commission Trade Regulation Rules, the Magnuson-Moss Warranty Act, the Federal Reserve Board’s Regulations B and Z, the Servicemembers Civil Relief Act, the California Military Reservist Relief Act and any other federal, state or local law relating to credit extensions to servicemembers, the Texas Consumer Credit Code, the California Automobile Sales Finance Act and the laws of any other state relating to retail installment sales of motor vehicles and ancillary products and/or services, State adaptations of the National Consumer Act and of the Uniform Consumer Credit Code, rules and regulations promulgated by the Consumer Financial Protection Bureau, all other federal, State and local consumer credit laws and other consumer protection laws relating to the conduct of the business of CPS, laws requiring the licensing of sale finance companies and/or lenders, the Uniform Commercial Code as it relates to secured retail installment sales and secured loans, state and local laws proscribing unlawful, unfair and/or deceptive acts and practices, federal, state and local laws relating to privacy and/or data security, and any rules, regulations and/or interpretations of the foregoing laws.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03" w:name="page104"/>
    <w:bookmarkEnd w:id="103"/>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Consumer Lender</w:t>
      </w:r>
      <w:r>
        <w:rPr>
          <w:rFonts w:ascii="Times New Roman" w:cs="Times New Roman" w:eastAsia="Times New Roman" w:hAnsi="Times New Roman"/>
          <w:sz w:val="18"/>
          <w:szCs w:val="18"/>
          <w:color w:val="auto"/>
        </w:rPr>
        <w:t>” means a Person that is licensed under applicable law to originate loans to natural persons resident in one or more of the United States of America and authorized by CPS to participate in its direct lending program, and includes the Seller.</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Consumer Lender Receivable</w:t>
      </w:r>
      <w:r>
        <w:rPr>
          <w:rFonts w:ascii="Times New Roman" w:cs="Times New Roman" w:eastAsia="Times New Roman" w:hAnsi="Times New Roman"/>
          <w:sz w:val="18"/>
          <w:szCs w:val="18"/>
          <w:color w:val="auto"/>
        </w:rPr>
        <w:t>” means any Receivable originated by the Seller or acquired by the Seller in the ordinary course of business from a Consumer Lender unaffiliated with the Seller and that is not a Dealer.</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 motor vehicle retail installment sale contract or an installment promissory note and security agreement, in each case relating to the sale or refinancing of new or used automobiles, light duty trucks, vans or minivans, and any other documents related thereto from time to time, including all Supporting Obligations of such Contract.</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Purchase Guidelines</w:t>
      </w:r>
      <w:r>
        <w:rPr>
          <w:rFonts w:ascii="Times New Roman" w:cs="Times New Roman" w:eastAsia="Times New Roman" w:hAnsi="Times New Roman"/>
          <w:sz w:val="18"/>
          <w:szCs w:val="18"/>
          <w:color w:val="auto"/>
        </w:rPr>
        <w:t xml:space="preserve">” means CPS’ established “Contract Purchase Guidelines” in the form attached to the Sale and Servicing Agreement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as the same may be amended, supplemented or otherwise modified from time to time in accordance with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jc w:val="both"/>
        <w:ind w:left="18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Cost of Funds Rate</w:t>
      </w:r>
      <w:r>
        <w:rPr>
          <w:rFonts w:ascii="Times New Roman" w:cs="Times New Roman" w:eastAsia="Times New Roman" w:hAnsi="Times New Roman"/>
          <w:sz w:val="18"/>
          <w:szCs w:val="18"/>
          <w:color w:val="auto"/>
        </w:rPr>
        <w:t xml:space="preserve">” shall mean, with respect to each Conduit Lender for any day during any Interest Period, the per annum rate equivalent to the weighted average of the per annum rates paid or payable by such Conduit Lender from time to time as interest on or otherwise (by means of interest rate hedges or otherwise) that are allocated on a fair and equitable basis, in whole or in part, by their respective Funding Agent (on behalf of such Conduit Lender), which rates shall reflect and give effect to (in each case, to the extent such costs are allocated, in whole or in part, to such commercial paper notes by the related Funding Agent (on behalf of such Conduit Lender)) (a) the commissions of placement agents and dealers in respect of such commercial paper notes, (b) all reasonable costs and expenses of any issuing and paying agent or other person responsible for the administration of such Conduit Lender’s commercial paper programs in connection with the preparation, completion, issuance, delivery or payment of such commercial paper, and (c) any other costs, fees and expenses associated with the funding or maintenance of the applicable CP Tranche by such Conduit Lender, including any liquidity support, credit enhancement, government sponsored funding programs (including the Federal Reserve Bank’s Commercial Paper Funding Facility), or any other borrowings by such Conduit Lender including, without limitation, borrowings to fund small or odd dollar amounts that are not easily accommodated in the commercial paper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component of such rate is a discount rate, in calculating the CP Cost of Funds Rate, the respective Funding Agent for such Conduit Lender shall for such component use the rate resulting from converting such discount rate to an interest bearing equivalent rate per annum.</w:t>
      </w:r>
    </w:p>
    <w:p>
      <w:pPr>
        <w:spacing w:after="0" w:line="1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Tranche</w:t>
      </w:r>
      <w:r>
        <w:rPr>
          <w:rFonts w:ascii="Times New Roman" w:cs="Times New Roman" w:eastAsia="Times New Roman" w:hAnsi="Times New Roman"/>
          <w:sz w:val="18"/>
          <w:szCs w:val="18"/>
          <w:color w:val="auto"/>
        </w:rPr>
        <w:t>” shall mean that portion of the Loans which bear interest by reference to the CP Cost of</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Funds Rate.</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CPS</w:t>
      </w:r>
      <w:r>
        <w:rPr>
          <w:rFonts w:ascii="Times New Roman" w:cs="Times New Roman" w:eastAsia="Times New Roman" w:hAnsi="Times New Roman"/>
          <w:sz w:val="18"/>
          <w:szCs w:val="18"/>
          <w:color w:val="auto"/>
        </w:rPr>
        <w:t>” means Consumer Portfolio Services, Inc., a California corporation.</w:t>
      </w:r>
    </w:p>
    <w:p>
      <w:pPr>
        <w:spacing w:after="0" w:line="225" w:lineRule="exact"/>
        <w:rPr>
          <w:sz w:val="20"/>
          <w:szCs w:val="20"/>
          <w:color w:val="auto"/>
        </w:rPr>
      </w:pPr>
    </w:p>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Cram Down Loss</w:t>
      </w:r>
      <w:r>
        <w:rPr>
          <w:rFonts w:ascii="Times New Roman" w:cs="Times New Roman" w:eastAsia="Times New Roman" w:hAnsi="Times New Roman"/>
          <w:sz w:val="18"/>
          <w:szCs w:val="18"/>
          <w:color w:val="auto"/>
        </w:rPr>
        <w:t>” means, with respect to a Receivable, if a court of appropriate jurisdiction in an insolvency proceeding shall have issued an order reducing the amount owed on a Receivable or otherwise modifying or restructuring Scheduled Receivable Payments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Receivable Payments as so modified or restructured. A “</w:t>
      </w:r>
      <w:r>
        <w:rPr>
          <w:rFonts w:ascii="Times New Roman" w:cs="Times New Roman" w:eastAsia="Times New Roman" w:hAnsi="Times New Roman"/>
          <w:sz w:val="18"/>
          <w:szCs w:val="18"/>
          <w:u w:val="single" w:color="auto"/>
          <w:color w:val="auto"/>
        </w:rPr>
        <w:t>Cram Down Loss</w:t>
      </w:r>
      <w:r>
        <w:rPr>
          <w:rFonts w:ascii="Times New Roman" w:cs="Times New Roman" w:eastAsia="Times New Roman" w:hAnsi="Times New Roman"/>
          <w:sz w:val="18"/>
          <w:szCs w:val="18"/>
          <w:color w:val="auto"/>
        </w:rPr>
        <w:t>” shall be deemed to have occurred on the date such order is entered.</w:t>
      </w:r>
    </w:p>
    <w:p>
      <w:pPr>
        <w:spacing w:after="0" w:line="18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Score</w:t>
      </w:r>
      <w:r>
        <w:rPr>
          <w:rFonts w:ascii="Times New Roman" w:cs="Times New Roman" w:eastAsia="Times New Roman" w:hAnsi="Times New Roman"/>
          <w:sz w:val="18"/>
          <w:szCs w:val="18"/>
          <w:color w:val="auto"/>
        </w:rPr>
        <w:t>” means the applicable credit score, for each primary Obligor, as determined by Equifax, Inc. or a comparable credit bureau.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4" w:name="page105"/>
    <w:bookmarkEnd w:id="104"/>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Net Loss</w:t>
      </w:r>
      <w:r>
        <w:rPr>
          <w:rFonts w:ascii="Times New Roman" w:cs="Times New Roman" w:eastAsia="Times New Roman" w:hAnsi="Times New Roman"/>
          <w:sz w:val="18"/>
          <w:szCs w:val="18"/>
          <w:color w:val="auto"/>
        </w:rPr>
        <w:t>” means, as of any date of determination and with respect to any Vintage Pool, the aggregate cumulative principal amount of automobile receivables acquired or originated by the Seller that have become Liquidated Receivables during the period beginning on the applicable date of origination or acquisition through the end of the Accrual Period immediately preceding the month in which such date of determination occurs, net of all Net Liquidation Proceeds and Recoveries with respect to such receivables as of the end of the Accrual Period immediately preceding the month in which such date of determination occurs.</w:t>
      </w:r>
    </w:p>
    <w:p>
      <w:pPr>
        <w:spacing w:after="0" w:line="187"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Net Loss Rate</w:t>
      </w:r>
      <w:r>
        <w:rPr>
          <w:rFonts w:ascii="Times New Roman" w:cs="Times New Roman" w:eastAsia="Times New Roman" w:hAnsi="Times New Roman"/>
          <w:sz w:val="18"/>
          <w:szCs w:val="18"/>
          <w:color w:val="auto"/>
        </w:rPr>
        <w:t xml:space="preserve">” means, as of any date of determination and with respect to any Vintage Pool, a rate, expressed as a percentage equal to a fraction, (I) the numerator of which is the Cumulative Net Losses with respect to all automobile receivables acquired or originated by the Seller in the related Vintage Pool and (II) the denominator of which is the aggregate principal balance of all automobile receivables acquired or originated by the Seller in the related Vintage Pool at the time of origination or acquisition by the Seller;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any sale or securitization by the Seller occurs on a servicing released basis, the Servicer and the Administrative Agent shall negotiate in good faith to amend the trigger levels relating to the calculation of Cumulative Net Loss Rate if such sale or securitization results in a significant change to the composition of the remaining receivables in a Vintage Pool or the Receivables, as applicable.</w:t>
      </w:r>
    </w:p>
    <w:p>
      <w:pPr>
        <w:spacing w:after="0" w:line="192"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Custodial Fees</w:t>
      </w:r>
      <w:r>
        <w:rPr>
          <w:rFonts w:ascii="Times New Roman" w:cs="Times New Roman" w:eastAsia="Times New Roman" w:hAnsi="Times New Roman"/>
          <w:sz w:val="18"/>
          <w:szCs w:val="18"/>
          <w:color w:val="auto"/>
        </w:rPr>
        <w:t>” means the fees payable to the Custodian entitled “Collateral Custody Fees” as set forth in the Fee Schedule.</w:t>
      </w:r>
    </w:p>
    <w:p>
      <w:pPr>
        <w:spacing w:after="0" w:line="162"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Computershare Trust Company, National Association, in its capacity as Custodian under the Sale and Servicing Agreement, together with its successors and assigns in such capacity.</w:t>
      </w:r>
    </w:p>
    <w:p>
      <w:pPr>
        <w:spacing w:after="0" w:line="162"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xml:space="preserve">” means, with respect to a Receivable or Receivables, the date specified as such for such Receivable or Receivables in the Schedule of Receivables attached to the Sale and Servicing Agreement or to the applicable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Cutoff Date for any Funding Date shall not be earlier than the Determination Date for the most recent Settlement Date.</w:t>
      </w:r>
    </w:p>
    <w:p>
      <w:pPr>
        <w:spacing w:after="0" w:line="180"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 SOFR, with the conventions for this rate (which will include a lookback) being established by the Administrative Agent in accordance with the conventions for this rate recommended by the Relevant Governmental Body for determining “Daily Simple SOFR” for syndicated or bilateral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83"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File</w:t>
      </w:r>
      <w:r>
        <w:rPr>
          <w:rFonts w:ascii="Times New Roman" w:cs="Times New Roman" w:eastAsia="Times New Roman" w:hAnsi="Times New Roman"/>
          <w:sz w:val="18"/>
          <w:szCs w:val="18"/>
          <w:color w:val="auto"/>
        </w:rPr>
        <w:t>” means, with respect to each Contract, an electronic systems data file that provides information for each item listed on Schedule E to the Sale and Servicing Agreement, to the extent that the Seller/Servicer maintains such items in its electronic systems data file for a given Contract.</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Dealer</w:t>
      </w:r>
      <w:r>
        <w:rPr>
          <w:rFonts w:ascii="Times New Roman" w:cs="Times New Roman" w:eastAsia="Times New Roman" w:hAnsi="Times New Roman"/>
          <w:sz w:val="18"/>
          <w:szCs w:val="18"/>
          <w:color w:val="auto"/>
        </w:rPr>
        <w:t>” means, with respect to a Receivable, the seller of the related Financed Vehicle, who originated and assigned such Receivable to the Seller, which Dealer shall not be an Affiliate of the Seller (including, without limitation, MFN and TFC) and shall have been approved by the Seller in accordance with its Contract Purchase Guidelines.</w:t>
      </w:r>
    </w:p>
    <w:p>
      <w:pPr>
        <w:spacing w:after="0" w:line="176"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Dealer Agreement</w:t>
      </w:r>
      <w:r>
        <w:rPr>
          <w:rFonts w:ascii="Times New Roman" w:cs="Times New Roman" w:eastAsia="Times New Roman" w:hAnsi="Times New Roman"/>
          <w:sz w:val="18"/>
          <w:szCs w:val="18"/>
          <w:color w:val="auto"/>
        </w:rPr>
        <w:t xml:space="preserve">” means each agreement between the Seller and a Dealer with respect to the origination of Receivables and providing for full recourse to such Dealer for any fraud or misrepresentation on the part of such Dealer, in form and substance substantially the same as the dealer agreement attached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to the Sale and Servicing Agreement.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occurrence that is, or with notice or the lapse of time or both would become, an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Event of Default.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05" w:name="page106"/>
    <w:bookmarkEnd w:id="105"/>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Fee</w:t>
      </w:r>
      <w:r>
        <w:rPr>
          <w:rFonts w:ascii="Times New Roman" w:cs="Times New Roman" w:eastAsia="Times New Roman" w:hAnsi="Times New Roman"/>
          <w:sz w:val="18"/>
          <w:szCs w:val="18"/>
          <w:color w:val="auto"/>
        </w:rPr>
        <w:t>” means, with respect to the Class A Loans, the Class A Default Fee, and, with respect to the Class B Loans, the Class B Default Fee.</w:t>
      </w:r>
    </w:p>
    <w:p>
      <w:pPr>
        <w:spacing w:after="0" w:line="162" w:lineRule="exact"/>
        <w:rPr>
          <w:sz w:val="20"/>
          <w:szCs w:val="20"/>
          <w:color w:val="auto"/>
        </w:rPr>
      </w:pPr>
    </w:p>
    <w:p>
      <w:pPr>
        <w:jc w:val="both"/>
        <w:ind w:left="180"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Receivable</w:t>
      </w:r>
      <w:r>
        <w:rPr>
          <w:rFonts w:ascii="Times New Roman" w:cs="Times New Roman" w:eastAsia="Times New Roman" w:hAnsi="Times New Roman"/>
          <w:sz w:val="18"/>
          <w:szCs w:val="18"/>
          <w:color w:val="auto"/>
        </w:rPr>
        <w:t>” means, with respect to any Receivable as of any date, a Receivable with respect to which: (i) more than [***] of its Scheduled Receivable Payment is more than 90 days past due as of the end of the immediately preceding Accrual Period, (ii) the Servicer has repossessed the related Financed Vehicle (and any applicable redemption or acceleration period has expired) as of the end of the immediately preceding Accrual Period, or (iii) such Receivable has been written off by the Servicer as uncollectible in accordance with the Servicer’s policies or the Servicer has determined in good faith that payments thereunder are not likely to be resumed. For purposes of this definition, a Receivable shall be deemed a “Defaulted Receivable” upon the first to occur of the events specified in items (i) through (iii) of the previous sentence.</w:t>
      </w:r>
    </w:p>
    <w:p>
      <w:pPr>
        <w:spacing w:after="0" w:line="192" w:lineRule="exact"/>
        <w:rPr>
          <w:sz w:val="20"/>
          <w:szCs w:val="20"/>
          <w:color w:val="auto"/>
        </w:rPr>
      </w:pPr>
    </w:p>
    <w:p>
      <w:pPr>
        <w:jc w:val="both"/>
        <w:ind w:left="18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shall mean any Committed Lender that (a) has failed to (i) fund all or any portion of its Loans on the date such Loans were required to be funded hereunder (and not otherwise funded by another Lender in its Lender Group)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(and not otherwise paid by another Lender in its Lender Group)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or (c) has become the subject of an Insolvency Event. Any determination by the Administrative Agent that a Lender is a Defaulting Lender under any one or more of clauses (a) through (c) above shall be conclusive and binding absent manifest error, and such Lender shall be deemed to be a Defaulting Lender upon delivery of written notice of such determination to the Borrower, the Servicer and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designation of a Committed Lender as a Defaulting Lender under clause (a)(ii) shall be in the reasonable discretion of the Administrative Agent.</w:t>
      </w:r>
    </w:p>
    <w:p>
      <w:pPr>
        <w:spacing w:after="0" w:line="193"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Defective Receivable</w:t>
      </w:r>
      <w:r>
        <w:rPr>
          <w:rFonts w:ascii="Times New Roman" w:cs="Times New Roman" w:eastAsia="Times New Roman" w:hAnsi="Times New Roman"/>
          <w:sz w:val="18"/>
          <w:szCs w:val="18"/>
          <w:color w:val="auto"/>
        </w:rPr>
        <w:t xml:space="preserve">” means a Receivable that is subject to (a) mandatory repurchase by the Seller pursuant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3.4(b)</w:t>
      </w:r>
      <w:r>
        <w:rPr>
          <w:rFonts w:ascii="Times New Roman" w:cs="Times New Roman" w:eastAsia="Times New Roman" w:hAnsi="Times New Roman"/>
          <w:sz w:val="18"/>
          <w:szCs w:val="18"/>
          <w:color w:val="auto"/>
        </w:rPr>
        <w:t xml:space="preserve"> of the Sale and Servicing Agreement or (b) mandatory purchase by the Servicer pursuant to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Claim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of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Claim Date</w:t>
      </w:r>
      <w:r>
        <w:rPr>
          <w:rFonts w:ascii="Times New Roman" w:cs="Times New Roman" w:eastAsia="Times New Roman" w:hAnsi="Times New Roman"/>
          <w:sz w:val="18"/>
          <w:szCs w:val="18"/>
          <w:color w:val="auto"/>
        </w:rPr>
        <w:t>” means, with respect to any Settlement Date, the Business Day immediately preceding such Settlement Date.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Delinquent Receivable</w:t>
      </w:r>
      <w:r>
        <w:rPr>
          <w:rFonts w:ascii="Times New Roman" w:cs="Times New Roman" w:eastAsia="Times New Roman" w:hAnsi="Times New Roman"/>
          <w:sz w:val="18"/>
          <w:szCs w:val="18"/>
          <w:color w:val="auto"/>
        </w:rPr>
        <w:t>” means, as of any date of determination, any Contract as to which more than</w:t>
      </w:r>
    </w:p>
    <w:p>
      <w:pPr>
        <w:spacing w:after="0" w:line="27" w:lineRule="exact"/>
        <w:rPr>
          <w:sz w:val="20"/>
          <w:szCs w:val="20"/>
          <w:color w:val="auto"/>
        </w:rPr>
      </w:pPr>
    </w:p>
    <w:p>
      <w:pPr>
        <w:jc w:val="both"/>
        <w:ind w:left="180" w:firstLine="4"/>
        <w:spacing w:after="0" w:line="255" w:lineRule="auto"/>
        <w:tabs>
          <w:tab w:leader="none" w:pos="6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Scheduled Receivable Payment is more than [***] days contractually delinquent as of such date, including any Contract for which the related Financed Vehicle has been repossessed and the proceeds thereof have not yet been realized by the Servicer.</w:t>
      </w:r>
    </w:p>
    <w:p>
      <w:pPr>
        <w:spacing w:after="0" w:line="186" w:lineRule="exact"/>
        <w:rPr>
          <w:sz w:val="20"/>
          <w:szCs w:val="20"/>
          <w:color w:val="auto"/>
        </w:rPr>
      </w:pPr>
    </w:p>
    <w:p>
      <w:pPr>
        <w:jc w:val="both"/>
        <w:ind w:left="180"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with respect to the Receivable Files, shall mean (x) with respect to a tangible Contract or other document in the Receivable File other than an Electronic Chattel Paper or an electronic Lien Certificate, to deliver physical possession of such tangible Contract or other document via reputable overnight delivery service, (y) with respect to Electronic Chattel Paper, to direct the transfer of such Electronic Chattel Paper to the Electronic Vault and (z) with respect to electronic Lien Certificates, to cause the applicable Title Intermediary to provide the Custodian with full electronic access to view such electronic Lien Certificates on the records of the Title Intermediary. The term “Delivered” shall have a corollary meaning.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6" w:name="page107"/>
    <w:bookmarkEnd w:id="106"/>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means, when used with respect to Pledged Account Property:</w:t>
      </w:r>
    </w:p>
    <w:p>
      <w:pPr>
        <w:spacing w:after="0" w:line="225" w:lineRule="exact"/>
        <w:rPr>
          <w:sz w:val="20"/>
          <w:szCs w:val="20"/>
          <w:color w:val="auto"/>
        </w:rPr>
      </w:pPr>
    </w:p>
    <w:p>
      <w:pPr>
        <w:jc w:val="both"/>
        <w:ind w:left="840" w:right="20" w:firstLine="640"/>
        <w:spacing w:after="0" w:line="261" w:lineRule="auto"/>
        <w:tabs>
          <w:tab w:leader="none" w:pos="21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and priority of a security interest in such Pledged Account Property which is governed by the law of a jurisdiction which has adopted the 1978 Revision to Article 8 of the UCC (and not the</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 Revision to Article 8 of the UCC as referred to in (ii) below):</w:t>
      </w:r>
    </w:p>
    <w:p>
      <w:pPr>
        <w:spacing w:after="0" w:line="206" w:lineRule="exact"/>
        <w:rPr>
          <w:rFonts w:ascii="Times New Roman" w:cs="Times New Roman" w:eastAsia="Times New Roman" w:hAnsi="Times New Roman"/>
          <w:sz w:val="18"/>
          <w:szCs w:val="18"/>
          <w:color w:val="auto"/>
        </w:rPr>
      </w:pPr>
    </w:p>
    <w:p>
      <w:pPr>
        <w:jc w:val="both"/>
        <w:ind w:left="840" w:firstLine="1287"/>
        <w:spacing w:after="0" w:line="251" w:lineRule="auto"/>
        <w:tabs>
          <w:tab w:leader="none" w:pos="278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bankers’ acceptances, commercial paper, negotiable certificates of deposit and other obligations that constitute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within the meaning of Section 9-102(a)(47) of the UCC and are susceptible of physical delivery, transfer thereof to the Administrative Agent or its nominee or custodian by physical delivery to the Administrative Agent or its nominee or custodian endorsed to, or registered in the name of, the Administrative Agent or its nominee or custodian or endorsed in blank, and, with respect to a certificated security (as defined in Section 8 102 of the UCC), transfer thereof (1) by delivery of such certificated security endorsed to, or registered in the name of, the Administrative Agent or its nominee or custodian or endorsed in blank to a financial intermediary (as defined in Section 8 313 of the UCC) and the making by such financial intermediary of entries on its books and records identifying such certificated securities as belonging to the Administrative Agent or its nominee or custodian and the sending by such financial intermediary of a confirmation of the purchase of such certificated security by the Administrative Agent or its nominee or custodian, or (2) by delivery thereof to a “</w:t>
      </w:r>
      <w:r>
        <w:rPr>
          <w:rFonts w:ascii="Times New Roman" w:cs="Times New Roman" w:eastAsia="Times New Roman" w:hAnsi="Times New Roman"/>
          <w:sz w:val="18"/>
          <w:szCs w:val="18"/>
          <w:u w:val="single" w:color="auto"/>
          <w:color w:val="auto"/>
        </w:rPr>
        <w:t>clearing corporation</w:t>
      </w:r>
      <w:r>
        <w:rPr>
          <w:rFonts w:ascii="Times New Roman" w:cs="Times New Roman" w:eastAsia="Times New Roman" w:hAnsi="Times New Roman"/>
          <w:sz w:val="18"/>
          <w:szCs w:val="18"/>
          <w:color w:val="auto"/>
        </w:rPr>
        <w:t>” (as defined in Section 8 102(3) of the UCC) and the making by such clearing corporation of appropriate entries on its books reducing the appropriate securities account of the transferor and increasing the appropriate securities account of a financial intermediary by the amount of such certificated security, the identification by the clearing corporation of the certificated securities for the sole and exclusive account of the financial intermediary, the maintenance of such certificated securities by such clearing corporation or a “</w:t>
      </w:r>
      <w:r>
        <w:rPr>
          <w:rFonts w:ascii="Times New Roman" w:cs="Times New Roman" w:eastAsia="Times New Roman" w:hAnsi="Times New Roman"/>
          <w:sz w:val="18"/>
          <w:szCs w:val="18"/>
          <w:u w:val="single" w:color="auto"/>
          <w:color w:val="auto"/>
        </w:rPr>
        <w:t>custodian bank</w:t>
      </w:r>
      <w:r>
        <w:rPr>
          <w:rFonts w:ascii="Times New Roman" w:cs="Times New Roman" w:eastAsia="Times New Roman" w:hAnsi="Times New Roman"/>
          <w:sz w:val="18"/>
          <w:szCs w:val="18"/>
          <w:color w:val="auto"/>
        </w:rPr>
        <w:t>” (as defined in Section 8 102(4) of the UCC) or the nominee of either subject to the clearing corporation’s exclusive control, the sending of a confirmation by the financial intermediary of the purchase by the Administrative Agent or its nominee or custodian of such securities and the making by such financial intermediary of entries on its books and records identifying such certificated securities as belonging to the Administrative Agent or its nominee or custodian (all of the foregoing, “</w:t>
      </w:r>
      <w:r>
        <w:rPr>
          <w:rFonts w:ascii="Times New Roman" w:cs="Times New Roman" w:eastAsia="Times New Roman" w:hAnsi="Times New Roman"/>
          <w:sz w:val="18"/>
          <w:szCs w:val="18"/>
          <w:u w:val="single" w:color="auto"/>
          <w:color w:val="auto"/>
        </w:rPr>
        <w:t>Physical Property</w:t>
      </w:r>
      <w:r>
        <w:rPr>
          <w:rFonts w:ascii="Times New Roman" w:cs="Times New Roman" w:eastAsia="Times New Roman" w:hAnsi="Times New Roman"/>
          <w:sz w:val="18"/>
          <w:szCs w:val="18"/>
          <w:color w:val="auto"/>
        </w:rPr>
        <w:t>”), and, in any event, any such Physical Property in registered form shall be in the name of the Administrative Agent or its nominee or custodian; and such additional or alternative procedures as may hereafter become appropriate to effect the complete transfer of ownership of any such Pledged Account Property to the Administrative Agent or its nominee or custodian, consistent with changes in applicable law or regulations or the interpretation thereof;</w:t>
      </w:r>
    </w:p>
    <w:p>
      <w:pPr>
        <w:spacing w:after="0" w:line="204" w:lineRule="exact"/>
        <w:rPr>
          <w:rFonts w:ascii="Times New Roman" w:cs="Times New Roman" w:eastAsia="Times New Roman" w:hAnsi="Times New Roman"/>
          <w:sz w:val="18"/>
          <w:szCs w:val="18"/>
          <w:color w:val="auto"/>
        </w:rPr>
      </w:pPr>
    </w:p>
    <w:p>
      <w:pPr>
        <w:jc w:val="both"/>
        <w:ind w:left="840" w:firstLine="1287"/>
        <w:spacing w:after="0" w:line="252" w:lineRule="auto"/>
        <w:tabs>
          <w:tab w:leader="none" w:pos="278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security issued by the U.S. Treasury, the Federal Home Loan Mortgage Corporation or by the Federal National Mortgage Association that is a book-entry security held through the Federal Reserve System pursuant to Federal book-entry regulations, the following procedures, all in accordance with applicable law, including applicable Federal regulations and Articles 8 and 9 of the UCC: book-entry registration of such Pledged Account Property to an appropriate book-entry account maintained with a Federal Reserve Bank by a financial intermediary which is also a “</w:t>
      </w:r>
      <w:r>
        <w:rPr>
          <w:rFonts w:ascii="Times New Roman" w:cs="Times New Roman" w:eastAsia="Times New Roman" w:hAnsi="Times New Roman"/>
          <w:sz w:val="18"/>
          <w:szCs w:val="18"/>
          <w:u w:val="single" w:color="auto"/>
          <w:color w:val="auto"/>
        </w:rPr>
        <w:t>depository</w:t>
      </w:r>
      <w:r>
        <w:rPr>
          <w:rFonts w:ascii="Times New Roman" w:cs="Times New Roman" w:eastAsia="Times New Roman" w:hAnsi="Times New Roman"/>
          <w:sz w:val="18"/>
          <w:szCs w:val="18"/>
          <w:color w:val="auto"/>
        </w:rPr>
        <w:t>” pursuant to applicable Federal regulations and issuance by such financial intermediary of a deposit advice or other written confirmation of such book-entry registration to the Administrative Agent or its nominee or custodian of the purchase by the Administrative Agent or its nominee or custodian of such book-entry securities; the making by such financial intermediary of entries in its books and records identifying such book-entry security held through the Federal Reserve System pursuant to Federal book-entry regulations as belonging to the Administrative Agent or its nominee or custodian and indicating that such custodian holds such Pledged Account Property solely as agent for the Administrative Agent or its nominee or custodian; and such additional or alternative procedures as may hereafter become appropriate to effect complete transfer of ownership of any such Pledged Account Property to the Administrative Agent or its nominee or custodian, consistent with changes in applicable law or regulations or the interpretation thereof; and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7" w:name="page108"/>
    <w:bookmarkEnd w:id="107"/>
    <w:p>
      <w:pPr>
        <w:jc w:val="both"/>
        <w:ind w:left="840" w:firstLine="1288"/>
        <w:spacing w:after="0" w:line="256" w:lineRule="auto"/>
        <w:tabs>
          <w:tab w:leader="none" w:pos="278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item of Pledged Account Property that is an uncertificated security under Article 8 of the UCC and that is not governed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registration on the books and records of the issuer thereof in the name of the financial intermediary, the sending of a confirmation by the financial intermediary of the purchase by the Administrative Agent or its nominee or custodian of such uncertificated security, the making by such financial intermediary of entries on its books and records identifying such uncertificated securities as belonging to the Administrative Agent or its nominee or custodian; or</w:t>
      </w:r>
    </w:p>
    <w:p>
      <w:pPr>
        <w:spacing w:after="0" w:line="187"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and priority of a security interest in such Pledged Account Property which is governed by the law of a jurisdiction which has adopted the 1994 Revision to Article 8 of the UCC:</w:t>
      </w:r>
    </w:p>
    <w:p>
      <w:pPr>
        <w:spacing w:after="0" w:line="161" w:lineRule="exact"/>
        <w:rPr>
          <w:rFonts w:ascii="Times New Roman" w:cs="Times New Roman" w:eastAsia="Times New Roman" w:hAnsi="Times New Roman"/>
          <w:sz w:val="18"/>
          <w:szCs w:val="18"/>
          <w:color w:val="auto"/>
        </w:rPr>
      </w:pPr>
    </w:p>
    <w:p>
      <w:pPr>
        <w:jc w:val="both"/>
        <w:ind w:left="840" w:right="20" w:firstLine="640"/>
        <w:spacing w:after="0" w:line="254" w:lineRule="auto"/>
        <w:tabs>
          <w:tab w:leader="none" w:pos="21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bankers’ acceptances, commercial paper, negotiable certificates of deposit and other obligations that constitute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within the meaning of Section 9-102(a)(47) of the UCC (other than certificated securities) and are susceptible of physical delivery, transfer thereof to the Administrative Agent by physical delivery to the Administrative Agent, indorsed to, or registered in the name of, the Administrative Agent or its nominee or indorsed in blank and such additional or alternative procedures as may hereafter become appropriate to effect the complete transfer of ownership of any such Pledged Account Property to the Administrative Agent free and clear of any adverse claims, consistent with changes in applicable law or regulations or the interpretation thereof;</w:t>
      </w:r>
    </w:p>
    <w:p>
      <w:pPr>
        <w:spacing w:after="0" w:line="191"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w:t>
      </w:r>
      <w:r>
        <w:rPr>
          <w:rFonts w:ascii="Times New Roman" w:cs="Times New Roman" w:eastAsia="Times New Roman" w:hAnsi="Times New Roman"/>
          <w:sz w:val="18"/>
          <w:szCs w:val="18"/>
          <w:u w:val="single" w:color="auto"/>
          <w:color w:val="auto"/>
        </w:rPr>
        <w:t>certificated security</w:t>
      </w:r>
      <w:r>
        <w:rPr>
          <w:rFonts w:ascii="Times New Roman" w:cs="Times New Roman" w:eastAsia="Times New Roman" w:hAnsi="Times New Roman"/>
          <w:sz w:val="18"/>
          <w:szCs w:val="18"/>
          <w:color w:val="auto"/>
        </w:rPr>
        <w:t>” (as defined in Section 8-102(a)(4) of the UCC), transfer</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left="1480" w:right="20" w:firstLine="1296"/>
        <w:spacing w:after="0" w:line="266" w:lineRule="auto"/>
        <w:tabs>
          <w:tab w:leader="none" w:pos="342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physical delivery of such certificated security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certificated security is in registered form, it shall be indorsed to, or registered in the name of, the Administrative Agent or indorsed in blank;</w:t>
      </w:r>
    </w:p>
    <w:p>
      <w:pPr>
        <w:spacing w:after="0" w:line="175" w:lineRule="exact"/>
        <w:rPr>
          <w:rFonts w:ascii="Times New Roman" w:cs="Times New Roman" w:eastAsia="Times New Roman" w:hAnsi="Times New Roman"/>
          <w:sz w:val="18"/>
          <w:szCs w:val="18"/>
          <w:color w:val="auto"/>
        </w:rPr>
      </w:pPr>
    </w:p>
    <w:p>
      <w:pPr>
        <w:jc w:val="both"/>
        <w:ind w:left="1480" w:right="20" w:firstLine="1296"/>
        <w:spacing w:after="0" w:line="261" w:lineRule="auto"/>
        <w:tabs>
          <w:tab w:leader="none" w:pos="342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physical delivery of such certificated security in registered form to a “</w:t>
      </w:r>
      <w:r>
        <w:rPr>
          <w:rFonts w:ascii="Times New Roman" w:cs="Times New Roman" w:eastAsia="Times New Roman" w:hAnsi="Times New Roman"/>
          <w:sz w:val="18"/>
          <w:szCs w:val="18"/>
          <w:u w:val="single" w:color="auto"/>
          <w:color w:val="auto"/>
        </w:rPr>
        <w:t>securities intermediary</w:t>
      </w:r>
      <w:r>
        <w:rPr>
          <w:rFonts w:ascii="Times New Roman" w:cs="Times New Roman" w:eastAsia="Times New Roman" w:hAnsi="Times New Roman"/>
          <w:sz w:val="18"/>
          <w:szCs w:val="18"/>
          <w:color w:val="auto"/>
        </w:rPr>
        <w:t>” (as defined in Section 8-102(a)(l4) of the UCC) acting on behalf of the Administrative Agent if the certificated security has been specially indorsed to the Administrative Agent by an effective indorsement.</w:t>
      </w:r>
    </w:p>
    <w:p>
      <w:pPr>
        <w:spacing w:after="0" w:line="179" w:lineRule="exact"/>
        <w:rPr>
          <w:rFonts w:ascii="Times New Roman" w:cs="Times New Roman" w:eastAsia="Times New Roman" w:hAnsi="Times New Roman"/>
          <w:sz w:val="18"/>
          <w:szCs w:val="18"/>
          <w:color w:val="auto"/>
        </w:rPr>
      </w:pPr>
    </w:p>
    <w:p>
      <w:pPr>
        <w:jc w:val="both"/>
        <w:ind w:left="840" w:firstLine="639"/>
        <w:spacing w:after="0" w:line="252" w:lineRule="auto"/>
        <w:tabs>
          <w:tab w:leader="none" w:pos="21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security issued by the U.S. Treasury, the Federal Home Loan Mortgage Corporation or by the Federal National Mortgage Association that is a book-entry security held through the Federal Reserve System pursuant to Federal book entry regulations, the following procedures, all in accordance with applicable law, including applicable federal regulations and Articles 8 and 9 of the UCC: book-entry registration of such property to an appropriate book-entry account maintained with a Federal Reserve Bank by a securities intermediary which is also a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pursuant to applicable federal regulations and issuance by such securities intermediary of a deposit advice or other written confirmation of such book-entry registration to the Administrative Agent of the purchase by the securities intermediary on behalf of the Administrative Agent of such book-entry security; the making by such securities intermediary of entries in its books and records identifying such book-entry security held through the Federal Reserve System pursuant to Federal book-entry regulations as belonging to the Administrative Agent and indicating that such securities intermediary holds such book-entry security solely as agent for the Administrative Agent; and such additional or alternative procedures as may hereafter become appropriate to effect complete transfer of ownership of any such Pledged Account Property to the Administrative Agent free of any adverse claims, consistent with changes in applicable law or regulations or the interpretation thereof;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8" w:name="page109"/>
    <w:bookmarkEnd w:id="108"/>
    <w:p>
      <w:pPr>
        <w:ind w:left="840" w:right="20" w:firstLine="640"/>
        <w:spacing w:after="0" w:line="282" w:lineRule="auto"/>
        <w:tabs>
          <w:tab w:leader="none" w:pos="21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item of Pledged Account Property that is an “</w:t>
      </w:r>
      <w:r>
        <w:rPr>
          <w:rFonts w:ascii="Times New Roman" w:cs="Times New Roman" w:eastAsia="Times New Roman" w:hAnsi="Times New Roman"/>
          <w:sz w:val="18"/>
          <w:szCs w:val="18"/>
          <w:u w:val="single" w:color="auto"/>
          <w:color w:val="auto"/>
        </w:rPr>
        <w:t>uncertificated security</w:t>
      </w:r>
      <w:r>
        <w:rPr>
          <w:rFonts w:ascii="Times New Roman" w:cs="Times New Roman" w:eastAsia="Times New Roman" w:hAnsi="Times New Roman"/>
          <w:sz w:val="18"/>
          <w:szCs w:val="18"/>
          <w:color w:val="auto"/>
        </w:rPr>
        <w:t xml:space="preserve">” (as defined in Section 8-102(a)(18) of the UCC) and that is not governed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transfer thereof:</w:t>
      </w:r>
    </w:p>
    <w:p>
      <w:pPr>
        <w:spacing w:after="0" w:line="162" w:lineRule="exact"/>
        <w:rPr>
          <w:sz w:val="20"/>
          <w:szCs w:val="20"/>
          <w:color w:val="auto"/>
        </w:rPr>
      </w:pPr>
    </w:p>
    <w:p>
      <w:pPr>
        <w:ind w:left="1480" w:right="260" w:firstLine="1296"/>
        <w:spacing w:after="0" w:line="282" w:lineRule="auto"/>
        <w:rPr>
          <w:sz w:val="20"/>
          <w:szCs w:val="20"/>
          <w:color w:val="auto"/>
        </w:rPr>
      </w:pPr>
      <w:r>
        <w:rPr>
          <w:rFonts w:ascii="Times New Roman" w:cs="Times New Roman" w:eastAsia="Times New Roman" w:hAnsi="Times New Roman"/>
          <w:sz w:val="18"/>
          <w:szCs w:val="18"/>
          <w:color w:val="auto"/>
        </w:rPr>
        <w:t>(1)(A) by registration to the Administrative Agent as the registered owner thereof, on the books and records of the issuer thereof;</w:t>
      </w:r>
    </w:p>
    <w:p>
      <w:pPr>
        <w:spacing w:after="0" w:line="162" w:lineRule="exact"/>
        <w:rPr>
          <w:sz w:val="20"/>
          <w:szCs w:val="20"/>
          <w:color w:val="auto"/>
        </w:rPr>
      </w:pPr>
    </w:p>
    <w:p>
      <w:pPr>
        <w:jc w:val="both"/>
        <w:ind w:left="2120" w:right="20" w:firstLine="1304"/>
        <w:spacing w:after="0" w:line="266" w:lineRule="auto"/>
        <w:tabs>
          <w:tab w:leader="none" w:pos="406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another Person (not a securities intermediary) who either becomes the registered owner of the uncertificated security on behalf of the Administrative Agent, or having become the registered owner acknowledges that it holds for the Administrative Agent;</w:t>
      </w:r>
    </w:p>
    <w:p>
      <w:pPr>
        <w:spacing w:after="0" w:line="175" w:lineRule="exact"/>
        <w:rPr>
          <w:rFonts w:ascii="Times New Roman" w:cs="Times New Roman" w:eastAsia="Times New Roman" w:hAnsi="Times New Roman"/>
          <w:sz w:val="18"/>
          <w:szCs w:val="18"/>
          <w:color w:val="auto"/>
        </w:rPr>
      </w:pPr>
    </w:p>
    <w:p>
      <w:pPr>
        <w:ind w:left="1480" w:right="20" w:firstLine="1296"/>
        <w:spacing w:after="0" w:line="282" w:lineRule="auto"/>
        <w:tabs>
          <w:tab w:leader="none" w:pos="304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thereof has agreed that it will comply with instructions originated by the Administrative Agent without further consent of the registered owner thereof;</w:t>
      </w:r>
    </w:p>
    <w:p>
      <w:pPr>
        <w:spacing w:after="0" w:line="161"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w:t>
      </w:r>
      <w:r>
        <w:rPr>
          <w:rFonts w:ascii="Times New Roman" w:cs="Times New Roman" w:eastAsia="Times New Roman" w:hAnsi="Times New Roman"/>
          <w:sz w:val="18"/>
          <w:szCs w:val="18"/>
          <w:u w:val="single" w:color="auto"/>
          <w:color w:val="auto"/>
        </w:rPr>
        <w:t>security entitlement</w:t>
      </w:r>
      <w:r>
        <w:rPr>
          <w:rFonts w:ascii="Times New Roman" w:cs="Times New Roman" w:eastAsia="Times New Roman" w:hAnsi="Times New Roman"/>
          <w:sz w:val="18"/>
          <w:szCs w:val="18"/>
          <w:color w:val="auto"/>
        </w:rPr>
        <w:t>” (as defined in Section 8-102(a)(17) of the UCC):</w:t>
      </w:r>
    </w:p>
    <w:p>
      <w:pPr>
        <w:spacing w:after="0" w:line="225" w:lineRule="exact"/>
        <w:rPr>
          <w:rFonts w:ascii="Times New Roman" w:cs="Times New Roman" w:eastAsia="Times New Roman" w:hAnsi="Times New Roman"/>
          <w:sz w:val="18"/>
          <w:szCs w:val="18"/>
          <w:color w:val="auto"/>
        </w:rPr>
      </w:pPr>
    </w:p>
    <w:p>
      <w:pPr>
        <w:jc w:val="both"/>
        <w:ind w:left="1480" w:right="20" w:firstLine="1296"/>
        <w:spacing w:after="0" w:line="252" w:lineRule="auto"/>
        <w:tabs>
          <w:tab w:leader="none" w:pos="30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securities intermediary (A) indicates by book entry that a “</w:t>
      </w:r>
      <w:r>
        <w:rPr>
          <w:rFonts w:ascii="Times New Roman" w:cs="Times New Roman" w:eastAsia="Times New Roman" w:hAnsi="Times New Roman"/>
          <w:sz w:val="18"/>
          <w:szCs w:val="18"/>
          <w:u w:val="single" w:color="auto"/>
          <w:color w:val="auto"/>
        </w:rPr>
        <w:t>financial asset</w:t>
      </w:r>
      <w:r>
        <w:rPr>
          <w:rFonts w:ascii="Times New Roman" w:cs="Times New Roman" w:eastAsia="Times New Roman" w:hAnsi="Times New Roman"/>
          <w:sz w:val="18"/>
          <w:szCs w:val="18"/>
          <w:color w:val="auto"/>
        </w:rPr>
        <w:t>” (as defined in Section 8-102(a)(9) of the UCC) has been credited to the Administrative Agent’s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(as defined in Section 8-501(a) of the UCC), (B) receives a financial asset (as so defined) from the Administrative Agent or acquires a financial asset for the Administrative Agent, and in either case, accepts it for credit to the Administrative Agent’s securities account (as so defined), (C) becomes obligated under other law, regulation or rule to credit a financial asset to the Administrative Agent’s securities account, or (D) has agreed that it will comply with “</w:t>
      </w:r>
      <w:r>
        <w:rPr>
          <w:rFonts w:ascii="Times New Roman" w:cs="Times New Roman" w:eastAsia="Times New Roman" w:hAnsi="Times New Roman"/>
          <w:sz w:val="18"/>
          <w:szCs w:val="18"/>
          <w:u w:val="single" w:color="auto"/>
          <w:color w:val="auto"/>
        </w:rPr>
        <w:t>entitlement orders</w:t>
      </w:r>
      <w:r>
        <w:rPr>
          <w:rFonts w:ascii="Times New Roman" w:cs="Times New Roman" w:eastAsia="Times New Roman" w:hAnsi="Times New Roman"/>
          <w:sz w:val="18"/>
          <w:szCs w:val="18"/>
          <w:color w:val="auto"/>
        </w:rPr>
        <w:t>” (as defined in Section 8-102(a)(8) of the UCC) originated by the Administrative Agent, without further consent by the “</w:t>
      </w:r>
      <w:r>
        <w:rPr>
          <w:rFonts w:ascii="Times New Roman" w:cs="Times New Roman" w:eastAsia="Times New Roman" w:hAnsi="Times New Roman"/>
          <w:sz w:val="18"/>
          <w:szCs w:val="18"/>
          <w:u w:val="single" w:color="auto"/>
          <w:color w:val="auto"/>
        </w:rPr>
        <w:t>entitlement holder</w:t>
      </w:r>
      <w:r>
        <w:rPr>
          <w:rFonts w:ascii="Times New Roman" w:cs="Times New Roman" w:eastAsia="Times New Roman" w:hAnsi="Times New Roman"/>
          <w:sz w:val="18"/>
          <w:szCs w:val="18"/>
          <w:color w:val="auto"/>
        </w:rPr>
        <w:t>” (as defined in Section 8-l02(a)(7) of the UCC), of a confirmation of the purchase and the making by such securities intermediary of entries on its books and records identifying as belonging to the Administrative Agent of (I) a specific certificated security in the securities intermediary’s possession, (II) a quantity of securities that constitute or are part of a fungible bulk of certificated securities in the securities intermediary’s possession, or (III) a quantity of securities that constitute or are part of a fungible bulk of securities shown on the account of the securities intermediary on the books of another securities intermediary;</w:t>
      </w:r>
    </w:p>
    <w:p>
      <w:pPr>
        <w:spacing w:after="0" w:line="195" w:lineRule="exact"/>
        <w:rPr>
          <w:rFonts w:ascii="Times New Roman" w:cs="Times New Roman" w:eastAsia="Times New Roman" w:hAnsi="Times New Roman"/>
          <w:sz w:val="18"/>
          <w:szCs w:val="18"/>
          <w:color w:val="auto"/>
        </w:rPr>
      </w:pPr>
    </w:p>
    <w:p>
      <w:pPr>
        <w:jc w:val="both"/>
        <w:ind w:left="840" w:right="20" w:firstLine="640"/>
        <w:spacing w:after="0" w:line="261" w:lineRule="auto"/>
        <w:tabs>
          <w:tab w:leader="none" w:pos="21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each case of delivery contemplated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subsection (ii)</w:t>
      </w:r>
      <w:r>
        <w:rPr>
          <w:rFonts w:ascii="Times New Roman" w:cs="Times New Roman" w:eastAsia="Times New Roman" w:hAnsi="Times New Roman"/>
          <w:sz w:val="18"/>
          <w:szCs w:val="18"/>
          <w:color w:val="auto"/>
        </w:rPr>
        <w:t xml:space="preserve"> hereof, the Administrative Agent shall make appropriate notations on its records, and shall cause the same to be made on the records of its nominees, indicating that such Collateral which constitutes a security is held in trust pursuant to and as provided in the Sale and Servicing Agreement.</w:t>
      </w:r>
    </w:p>
    <w:p>
      <w:pPr>
        <w:spacing w:after="0" w:line="180"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means (i) with respect to any calculation or other determination which by its terms is required to be made with respect to any Accrual Period, the last day of such Accrual Period, and (ii) with respect to any Funding Date or Settlement Date, the day that is three (3) Business Days prior to the required date of delivery of the related Borrowing Base Certificate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of this Agreement and the related Servicer’s Certificate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Sale and Servicing Agreement.</w:t>
      </w:r>
    </w:p>
    <w:p>
      <w:pPr>
        <w:spacing w:after="0" w:line="183" w:lineRule="exact"/>
        <w:rPr>
          <w:sz w:val="20"/>
          <w:szCs w:val="20"/>
          <w:color w:val="auto"/>
        </w:rPr>
      </w:pPr>
    </w:p>
    <w:p>
      <w:pPr>
        <w:ind w:left="180"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Account</w:t>
      </w:r>
      <w:r>
        <w:rPr>
          <w:rFonts w:ascii="Times New Roman" w:cs="Times New Roman" w:eastAsia="Times New Roman" w:hAnsi="Times New Roman"/>
          <w:sz w:val="18"/>
          <w:szCs w:val="18"/>
          <w:color w:val="auto"/>
        </w:rPr>
        <w:t xml:space="preserve">” means the account designated as such, established and maintained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Sale and Servicing Agreement.</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means lawful money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09" w:name="page110"/>
    <w:bookmarkEnd w:id="109"/>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Drawn Margin</w:t>
      </w:r>
      <w:r>
        <w:rPr>
          <w:rFonts w:ascii="Times New Roman" w:cs="Times New Roman" w:eastAsia="Times New Roman" w:hAnsi="Times New Roman"/>
          <w:sz w:val="18"/>
          <w:szCs w:val="18"/>
          <w:color w:val="auto"/>
        </w:rPr>
        <w:t>” means the Class A Drawn Margin or the Class B Drawn Margin, as applicable.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Amortization Event</w:t>
      </w:r>
      <w:r>
        <w:rPr>
          <w:rFonts w:ascii="Times New Roman" w:cs="Times New Roman" w:eastAsia="Times New Roman" w:hAnsi="Times New Roman"/>
          <w:sz w:val="18"/>
          <w:szCs w:val="18"/>
          <w:color w:val="auto"/>
        </w:rPr>
        <w:t>” means the occurrence of:</w:t>
      </w:r>
    </w:p>
    <w:p>
      <w:pPr>
        <w:spacing w:after="0" w:line="225" w:lineRule="exact"/>
        <w:rPr>
          <w:sz w:val="20"/>
          <w:szCs w:val="20"/>
          <w:color w:val="auto"/>
        </w:rPr>
      </w:pPr>
    </w:p>
    <w:p>
      <w:pPr>
        <w:ind w:left="2120" w:hanging="640"/>
        <w:spacing w:after="0"/>
        <w:tabs>
          <w:tab w:leader="none" w:pos="2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Servicer Termination Event;</w:t>
      </w:r>
    </w:p>
    <w:p>
      <w:pPr>
        <w:spacing w:after="0" w:line="22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Level I Trigger Event; or</w:t>
      </w:r>
    </w:p>
    <w:p>
      <w:pPr>
        <w:spacing w:after="0" w:line="225" w:lineRule="exact"/>
        <w:rPr>
          <w:rFonts w:ascii="Times New Roman" w:cs="Times New Roman" w:eastAsia="Times New Roman" w:hAnsi="Times New Roman"/>
          <w:sz w:val="18"/>
          <w:szCs w:val="18"/>
          <w:color w:val="auto"/>
        </w:rPr>
      </w:pPr>
    </w:p>
    <w:p>
      <w:pPr>
        <w:ind w:left="1160" w:right="1720" w:firstLine="320"/>
        <w:spacing w:after="0" w:line="530" w:lineRule="auto"/>
        <w:tabs>
          <w:tab w:leader="none" w:pos="213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Adverse Effect with respect to the Borrower, provided that Borrower shall have a reasonable amount of time of cure such Material Adverse Effect.</w:t>
      </w:r>
    </w:p>
    <w:p>
      <w:pPr>
        <w:spacing w:after="0" w:line="1"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member state of the European Union, Iceland, Liechtenstein and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Norway.</w:t>
      </w:r>
    </w:p>
    <w:p>
      <w:pPr>
        <w:spacing w:after="0" w:line="207"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Loss Matrix</w:t>
      </w:r>
      <w:r>
        <w:rPr>
          <w:rFonts w:ascii="Times New Roman" w:cs="Times New Roman" w:eastAsia="Times New Roman" w:hAnsi="Times New Roman"/>
          <w:sz w:val="18"/>
          <w:szCs w:val="18"/>
          <w:color w:val="auto"/>
        </w:rPr>
        <w:t>” means a matrix calculated for each Cohort as of the end of each calendar month as a percentage equal to the greater of (i) the applicable percentage for such Cohort set forth in the Loss Floor Matrix and (ii) the applicable percentage for such Cohort set forth in the Projected CNL Matrix.</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means “electronic chattel paper” under and as defined in Article 9 of the UCC.</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Collateral</w:t>
      </w:r>
      <w:r>
        <w:rPr>
          <w:rFonts w:ascii="Times New Roman" w:cs="Times New Roman" w:eastAsia="Times New Roman" w:hAnsi="Times New Roman"/>
          <w:sz w:val="18"/>
          <w:szCs w:val="18"/>
          <w:color w:val="auto"/>
        </w:rPr>
        <w:t>” has the meaning specified in the Electronic Collateral Control Agreement.</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Collateral Control Agreement</w:t>
      </w:r>
      <w:r>
        <w:rPr>
          <w:rFonts w:ascii="Times New Roman" w:cs="Times New Roman" w:eastAsia="Times New Roman" w:hAnsi="Times New Roman"/>
          <w:sz w:val="18"/>
          <w:szCs w:val="18"/>
          <w:color w:val="auto"/>
        </w:rPr>
        <w:t>” means that certain Electronic Collateral Control Agreement, dated as of July 11, 2024, by and among the Custodian, each contract owner joined thereto, each secured party joined thereto, CPS and the Electronic Vault Provider.</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Contract</w:t>
      </w:r>
      <w:r>
        <w:rPr>
          <w:rFonts w:ascii="Times New Roman" w:cs="Times New Roman" w:eastAsia="Times New Roman" w:hAnsi="Times New Roman"/>
          <w:sz w:val="18"/>
          <w:szCs w:val="18"/>
          <w:color w:val="auto"/>
        </w:rPr>
        <w:t xml:space="preserve">” means a Contract that was electronically executed and authenticated;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 Electronic Contract that has been Exported shall not constitute an Electronic Contract; provided, that an Electronic Contract that has been Exported shall not constitute an Electronic Contract.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File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Vault</w:t>
      </w:r>
      <w:r>
        <w:rPr>
          <w:rFonts w:ascii="Times New Roman" w:cs="Times New Roman" w:eastAsia="Times New Roman" w:hAnsi="Times New Roman"/>
          <w:sz w:val="18"/>
          <w:szCs w:val="18"/>
          <w:color w:val="auto"/>
        </w:rPr>
        <w:t>” means an electronic vault wherein custody of Electronic Contracts shall be maintained in electronic form by the Custodian on behalf of the Collateral Agent through the Electronic Vault Provider.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0" w:name="page111"/>
    <w:bookmarkEnd w:id="110"/>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Vault Provider</w:t>
      </w:r>
      <w:r>
        <w:rPr>
          <w:rFonts w:ascii="Times New Roman" w:cs="Times New Roman" w:eastAsia="Times New Roman" w:hAnsi="Times New Roman"/>
          <w:sz w:val="18"/>
          <w:szCs w:val="18"/>
          <w:color w:val="auto"/>
        </w:rPr>
        <w:t>” means (x) eOriginal, Inc. or (y) any third-party provider of a technology platform on which the Electronic Vault operates acting in such capacity with the consent of the Administrative Agent.</w:t>
      </w:r>
    </w:p>
    <w:p>
      <w:pPr>
        <w:spacing w:after="0" w:line="16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Vault Services Agreement</w:t>
      </w:r>
      <w:r>
        <w:rPr>
          <w:rFonts w:ascii="Times New Roman" w:cs="Times New Roman" w:eastAsia="Times New Roman" w:hAnsi="Times New Roman"/>
          <w:sz w:val="18"/>
          <w:szCs w:val="18"/>
          <w:color w:val="auto"/>
        </w:rPr>
        <w:t>” means the Order Form, dated as of March 23, 2023, between the Servicer and the Electronic Vault Provider, as amended by the First Amendment to the Order Form, dated as of April 5, 2023, with respect to the establishment and maintenance of the Electronic Vault System, as the same may be amended, restated or otherwise modified from time to time in accordance with its terms.</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Vault System</w:t>
      </w:r>
      <w:r>
        <w:rPr>
          <w:rFonts w:ascii="Times New Roman" w:cs="Times New Roman" w:eastAsia="Times New Roman" w:hAnsi="Times New Roman"/>
          <w:sz w:val="18"/>
          <w:szCs w:val="18"/>
          <w:color w:val="auto"/>
        </w:rPr>
        <w:t>” means the electronic vault system provided by the Electronic Vault Provider pursuant to the Electronic Vault Services Agreement.</w:t>
      </w:r>
    </w:p>
    <w:p>
      <w:pPr>
        <w:spacing w:after="0" w:line="162" w:lineRule="exact"/>
        <w:rPr>
          <w:sz w:val="20"/>
          <w:szCs w:val="20"/>
          <w:color w:val="auto"/>
        </w:rPr>
      </w:pPr>
    </w:p>
    <w:p>
      <w:pPr>
        <w:jc w:val="both"/>
        <w:ind w:left="1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w:t>
      </w:r>
      <w:r>
        <w:rPr>
          <w:rFonts w:ascii="Times New Roman" w:cs="Times New Roman" w:eastAsia="Times New Roman" w:hAnsi="Times New Roman"/>
          <w:sz w:val="18"/>
          <w:szCs w:val="18"/>
          <w:color w:val="auto"/>
        </w:rPr>
        <w:t>” means a segregated direct deposit account or segregated trust account maintained with either (i) a depository institution or trust company organized under the laws of the United States of America, or any of the States thereof, or the District of Columbia, having a certificate of deposit, short term deposit or commercial paper rating of</w:t>
      </w:r>
    </w:p>
    <w:p>
      <w:pPr>
        <w:spacing w:after="0" w:line="1" w:lineRule="exact"/>
        <w:rPr>
          <w:sz w:val="20"/>
          <w:szCs w:val="20"/>
          <w:color w:val="auto"/>
        </w:rPr>
      </w:pPr>
    </w:p>
    <w:p>
      <w:pPr>
        <w:jc w:val="both"/>
        <w:ind w:left="180" w:right="20" w:firstLine="4"/>
        <w:spacing w:after="0" w:line="251" w:lineRule="auto"/>
        <w:tabs>
          <w:tab w:leader="none" w:pos="4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Wells Fargo Bank, National Association, at least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by Standard &amp; Poor’s and “</w:t>
      </w:r>
      <w:r>
        <w:rPr>
          <w:rFonts w:ascii="Times New Roman" w:cs="Times New Roman" w:eastAsia="Times New Roman" w:hAnsi="Times New Roman"/>
          <w:sz w:val="18"/>
          <w:szCs w:val="18"/>
          <w:u w:val="single" w:color="auto"/>
          <w:color w:val="auto"/>
        </w:rPr>
        <w:t>Prime-1</w:t>
      </w:r>
      <w:r>
        <w:rPr>
          <w:rFonts w:ascii="Times New Roman" w:cs="Times New Roman" w:eastAsia="Times New Roman" w:hAnsi="Times New Roman"/>
          <w:sz w:val="18"/>
          <w:szCs w:val="18"/>
          <w:color w:val="auto"/>
        </w:rPr>
        <w:t>” by Moody’s and (y) with respect to any other depository institution or trust company, at least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by Standard &amp; Poor’s or “</w:t>
      </w:r>
      <w:r>
        <w:rPr>
          <w:rFonts w:ascii="Times New Roman" w:cs="Times New Roman" w:eastAsia="Times New Roman" w:hAnsi="Times New Roman"/>
          <w:sz w:val="18"/>
          <w:szCs w:val="18"/>
          <w:u w:val="single" w:color="auto"/>
          <w:color w:val="auto"/>
        </w:rPr>
        <w:t>Prime-2</w:t>
      </w:r>
      <w:r>
        <w:rPr>
          <w:rFonts w:ascii="Times New Roman" w:cs="Times New Roman" w:eastAsia="Times New Roman" w:hAnsi="Times New Roman"/>
          <w:sz w:val="18"/>
          <w:szCs w:val="18"/>
          <w:color w:val="auto"/>
        </w:rPr>
        <w:t>” by Moody’s and acceptable to the Administrative Agent, or (ii) in the case of a segregated trust account, the corporate trust department of a depository institution or trust company with a long-term issuer rating from S&amp;P and Moody’s signifying at least investment grade, or (iii) for so long as Citibank, N.A., is the Administrative Agent, Citibank, N.A. or any of its depository or trust company Affiliates. For the avoidance of doubt, any funds on deposit in the Trust Accounts that remain uninvested shall be held at a depository institution that satisfies the criteria set forth in clause (i) of the definition of Eligible Account.</w:t>
      </w:r>
    </w:p>
    <w:p>
      <w:pPr>
        <w:spacing w:after="0" w:line="194" w:lineRule="exact"/>
        <w:rPr>
          <w:sz w:val="20"/>
          <w:szCs w:val="20"/>
          <w:color w:val="auto"/>
        </w:rPr>
      </w:pPr>
    </w:p>
    <w:p>
      <w:pPr>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Investments</w:t>
      </w:r>
      <w:r>
        <w:rPr>
          <w:rFonts w:ascii="Times New Roman" w:cs="Times New Roman" w:eastAsia="Times New Roman" w:hAnsi="Times New Roman"/>
          <w:sz w:val="18"/>
          <w:szCs w:val="18"/>
          <w:color w:val="auto"/>
        </w:rPr>
        <w:t>” means Dollar-denominated book-entry securities, negotiable instruments or securities represented by instruments in bearer or registered form which evidence:</w:t>
      </w:r>
    </w:p>
    <w:p>
      <w:pPr>
        <w:spacing w:after="0" w:line="162" w:lineRule="exact"/>
        <w:rPr>
          <w:sz w:val="20"/>
          <w:szCs w:val="20"/>
          <w:color w:val="auto"/>
        </w:rPr>
      </w:pPr>
    </w:p>
    <w:p>
      <w:pPr>
        <w:ind w:left="180" w:right="20" w:firstLine="1300"/>
        <w:spacing w:after="0" w:line="282" w:lineRule="auto"/>
        <w:tabs>
          <w:tab w:leader="none" w:pos="1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issued by the U.S. Government and supported by the full faith and credit of the U.S. Treasury, either by statute or an opinion of the Attorney General of the United States;</w:t>
      </w:r>
    </w:p>
    <w:p>
      <w:pPr>
        <w:spacing w:after="0" w:line="161"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174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debt securities issued by U. S. Government-sponsored enterprises, U.S. Federal agencies, U.S. Federal financing banks, and international institutions whose capital stock has been subscribed for by the United States;</w:t>
      </w:r>
    </w:p>
    <w:p>
      <w:pPr>
        <w:spacing w:after="0" w:line="175"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17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of deposit, time deposits, and bankers acceptances of any bank or trust company incorporated under the laws of the United States or any State, provided that, at the date of acquisition, such investment, or the commercial paper or other short-term debt obligation of such bank or trust company has a short-term credit rating or ratings from Moody’s and S&amp;P, each at </w:t>
      </w:r>
      <w:r>
        <w:rPr>
          <w:rFonts w:ascii="Times New Roman" w:cs="Times New Roman" w:eastAsia="Times New Roman" w:hAnsi="Times New Roman"/>
          <w:sz w:val="18"/>
          <w:szCs w:val="18"/>
          <w:color w:val="FF0000"/>
        </w:rPr>
        <w:t>l</w:t>
      </w:r>
      <w:r>
        <w:rPr>
          <w:rFonts w:ascii="Times New Roman" w:cs="Times New Roman" w:eastAsia="Times New Roman" w:hAnsi="Times New Roman"/>
          <w:sz w:val="18"/>
          <w:szCs w:val="18"/>
          <w:color w:val="auto"/>
        </w:rPr>
        <w:t>“P-1” or at least “A-1”, as applicable;</w:t>
      </w:r>
    </w:p>
    <w:p>
      <w:pPr>
        <w:spacing w:after="0" w:line="179"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17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with any bank that is insured by the Federal Deposit Insurance Corporation and whose long-term obligations are rated “A2” or better by Moody’s and “A” or better by S&amp;P;</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73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of any corporation incorporated under the laws of the United States or any State which on the date of acquisition is rated by Moody’s and S&amp;P, provided each such credit rating is “P-1” or at least “A-1”, as applicable;</w:t>
      </w:r>
    </w:p>
    <w:p>
      <w:pPr>
        <w:spacing w:after="0" w:line="175"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17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mutual funds that are registered with the Securities and Exchange Commission under the Investment Company Act and operated in accordance with Rule 2a-7 and that at the time of such investment are rated “Aaa-mf” by Moody’s and “AAAm” by S&amp;P.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1" w:name="page112"/>
    <w:bookmarkEnd w:id="111"/>
    <w:p>
      <w:pPr>
        <w:jc w:val="both"/>
        <w:ind w:left="180" w:right="20" w:firstLine="1300"/>
        <w:spacing w:after="0" w:line="261" w:lineRule="auto"/>
        <w:tabs>
          <w:tab w:leader="none" w:pos="17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variable rate commercial paper, tax-exempt adjustable-rate option tender bonds, and other tax-exempt bonds or notes issued by municipalities in the United States, having a short-term rating of at least “MIG-1” or “VMIG-1” or a long-term rating of at least “Aa2” (Moody’s), and a short-term rating of “A-1” or a long-term rating of at least “AA” (S&amp;P); and</w:t>
      </w:r>
    </w:p>
    <w:p>
      <w:pPr>
        <w:spacing w:after="0" w:line="179" w:lineRule="exact"/>
        <w:rPr>
          <w:rFonts w:ascii="Times New Roman" w:cs="Times New Roman" w:eastAsia="Times New Roman" w:hAnsi="Times New Roman"/>
          <w:sz w:val="18"/>
          <w:szCs w:val="18"/>
          <w:color w:val="auto"/>
        </w:rPr>
      </w:pPr>
    </w:p>
    <w:p>
      <w:pPr>
        <w:jc w:val="both"/>
        <w:ind w:left="180" w:right="20" w:firstLine="1299"/>
        <w:spacing w:after="0" w:line="266" w:lineRule="auto"/>
        <w:tabs>
          <w:tab w:leader="none" w:pos="17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thirty (30) days, [***] percent collateralized, for underlying securities of the types described in clauses (a) and (b) above, entered into with any bank or trust company or its respective affiliate meeting the requirements specified in clause (c) above;</w:t>
      </w:r>
    </w:p>
    <w:p>
      <w:pPr>
        <w:spacing w:after="0" w:line="176" w:lineRule="exact"/>
        <w:rPr>
          <w:sz w:val="20"/>
          <w:szCs w:val="20"/>
          <w:color w:val="auto"/>
        </w:rPr>
      </w:pPr>
    </w:p>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all rating requirements are based on the time of purchase and (ii) Eligible Investments purchased with funds in the Collection Account shall be held until maturity and shall include only such investments which mature (or money market mutual funds that may be liquidated without a loss) no later than the Business Day prior to the next Payment Date and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no such Eligible Investment may be purchased at a premium to its principal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 Eligible Investment must have a fixed principal amount due at maturity and, if rated by S&amp;P, must not have an “r” suffix attached to the rating.</w:t>
      </w:r>
    </w:p>
    <w:p>
      <w:pPr>
        <w:spacing w:after="0" w:line="187"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Any of the foregoing Eligible Investments may be purchased by or through the Account Bank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Computershare Trust Company, National Association, is not serving as Account Bank, Eligible Investments shall be purchased through the Administrative Agent.</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Obligor</w:t>
      </w:r>
      <w:r>
        <w:rPr>
          <w:rFonts w:ascii="Times New Roman" w:cs="Times New Roman" w:eastAsia="Times New Roman" w:hAnsi="Times New Roman"/>
          <w:sz w:val="18"/>
          <w:szCs w:val="18"/>
          <w:color w:val="auto"/>
        </w:rPr>
        <w:t>” means an Obligor that (a) with respect to an Obligor for any Receivables other than a Post-Petition Receivable, is not currently in bankruptcy, (b) has made the required downpayment on the related Financed Vehicle in full, and (c) is domiciled in the United States (as evidenced by proof of residency).</w:t>
      </w:r>
    </w:p>
    <w:p>
      <w:pPr>
        <w:spacing w:after="0" w:line="176"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xml:space="preserve">” means, as of any date of determination, Receivables (a) that are not Delinquent Receivables, (b) that are not Liquidated Receivables or Defaulted Receivables, (c) that are not Repossessed Receivables, (d) that are not Defective Receivables; (e) that are not listed on Schedule I to the Trust Receipt (unless subsequently cured); and (f) that have the characteristics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Sale and Servicing Agreement.</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Servicer</w:t>
      </w:r>
      <w:r>
        <w:rPr>
          <w:rFonts w:ascii="Times New Roman" w:cs="Times New Roman" w:eastAsia="Times New Roman" w:hAnsi="Times New Roman"/>
          <w:sz w:val="18"/>
          <w:szCs w:val="18"/>
          <w:color w:val="auto"/>
        </w:rPr>
        <w:t>” means a Person approved to act as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xml:space="preserve">” under the Sale and Servicing Agreement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thereof.</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Concentration Amount</w:t>
      </w:r>
      <w:r>
        <w:rPr>
          <w:rFonts w:ascii="Times New Roman" w:cs="Times New Roman" w:eastAsia="Times New Roman" w:hAnsi="Times New Roman"/>
          <w:sz w:val="18"/>
          <w:szCs w:val="18"/>
          <w:color w:val="auto"/>
        </w:rPr>
        <w:t xml:space="preserve">” means the aggregate amount by which (without duplication) the Aggregate Principal Balance of Eligible Receivables sold to the Purchaser under the Sale and Servicing Agreement exceeds any of the Concentration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which Receivables to exclude for purposes of complying with any Concentration Requirement, the Purchaser shall exclude Receivables starting with those having the most recent origination dates.</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Spread</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for</w:t>
      </w:r>
      <w:r>
        <w:rPr>
          <w:rFonts w:ascii="Times New Roman" w:cs="Times New Roman" w:eastAsia="Times New Roman" w:hAnsi="Times New Roman"/>
          <w:sz w:val="18"/>
          <w:szCs w:val="18"/>
          <w:color w:val="auto"/>
        </w:rPr>
        <w:t xml:space="preserve"> on any date of determination, a rate equal to the positive difference of:</w:t>
      </w:r>
    </w:p>
    <w:p>
      <w:pPr>
        <w:spacing w:after="0" w:line="225" w:lineRule="exact"/>
        <w:rPr>
          <w:sz w:val="20"/>
          <w:szCs w:val="20"/>
          <w:color w:val="auto"/>
        </w:rPr>
      </w:pPr>
    </w:p>
    <w:p>
      <w:pPr>
        <w:jc w:val="both"/>
        <w:ind w:left="2120" w:right="20" w:hanging="640"/>
        <w:spacing w:after="0" w:line="266" w:lineRule="auto"/>
        <w:tabs>
          <w:tab w:leader="none" w:pos="2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weighted average interest rate of all Eligible Receivables included in the Total Borrowing Base as of the end of the Accrual Period immediately preceding such date of determination, </w:t>
      </w:r>
      <w:r>
        <w:rPr>
          <w:rFonts w:ascii="Times New Roman" w:cs="Times New Roman" w:eastAsia="Times New Roman" w:hAnsi="Times New Roman"/>
          <w:sz w:val="18"/>
          <w:szCs w:val="18"/>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2" w:name="page113"/>
    <w:bookmarkEnd w:id="112"/>
    <w:p>
      <w:pPr>
        <w:ind w:left="2120" w:hanging="640"/>
        <w:spacing w:after="0"/>
        <w:tabs>
          <w:tab w:leader="none" w:pos="2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225" w:lineRule="exact"/>
        <w:rPr>
          <w:rFonts w:ascii="Times New Roman" w:cs="Times New Roman" w:eastAsia="Times New Roman" w:hAnsi="Times New Roman"/>
          <w:sz w:val="18"/>
          <w:szCs w:val="18"/>
          <w:color w:val="auto"/>
        </w:rPr>
      </w:pPr>
    </w:p>
    <w:p>
      <w:pPr>
        <w:jc w:val="both"/>
        <w:ind w:left="2780" w:hanging="652"/>
        <w:spacing w:after="0" w:line="261" w:lineRule="auto"/>
        <w:tabs>
          <w:tab w:leader="none" w:pos="2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the Floating Rate and the quotient of (A) the daily average aggregate Loan Balance of the Loans during such immediately preceding Accrual Period, divided by (B) the average daily Aggregate Principal Balance of Eligible Receivables included in the Total Borrowing Base during such Accrual Period, </w:t>
      </w:r>
      <w:r>
        <w:rPr>
          <w:rFonts w:ascii="Times New Roman" w:cs="Times New Roman" w:eastAsia="Times New Roman" w:hAnsi="Times New Roman"/>
          <w:sz w:val="18"/>
          <w:szCs w:val="18"/>
          <w:u w:val="single" w:color="auto"/>
          <w:color w:val="auto"/>
        </w:rPr>
        <w:t>plus</w:t>
      </w:r>
    </w:p>
    <w:p>
      <w:pPr>
        <w:spacing w:after="0" w:line="179" w:lineRule="exact"/>
        <w:rPr>
          <w:rFonts w:ascii="Times New Roman" w:cs="Times New Roman" w:eastAsia="Times New Roman" w:hAnsi="Times New Roman"/>
          <w:sz w:val="18"/>
          <w:szCs w:val="18"/>
          <w:color w:val="auto"/>
        </w:rPr>
      </w:pPr>
    </w:p>
    <w:p>
      <w:pPr>
        <w:jc w:val="both"/>
        <w:ind w:left="2780" w:right="20" w:hanging="652"/>
        <w:spacing w:after="0" w:line="258" w:lineRule="auto"/>
        <w:tabs>
          <w:tab w:leader="none" w:pos="2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quotient of (A) the product of the Facility Fee Amount payable to the Class A Lenders on the Settlement Date relating to such Accrual Period and the excess of the daily average Class A Maximum Loan Balance Loans over the aggregate Class A Loan Balance during such Accrual Period, divided by (B) the aggregate Class A Maximum Loan Balance, </w:t>
      </w:r>
      <w:r>
        <w:rPr>
          <w:rFonts w:ascii="Times New Roman" w:cs="Times New Roman" w:eastAsia="Times New Roman" w:hAnsi="Times New Roman"/>
          <w:sz w:val="18"/>
          <w:szCs w:val="18"/>
          <w:u w:val="single" w:color="auto"/>
          <w:color w:val="auto"/>
        </w:rPr>
        <w:t>minus</w:t>
      </w:r>
    </w:p>
    <w:p>
      <w:pPr>
        <w:spacing w:after="0" w:line="183"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Servicing Fee Percentage, </w:t>
      </w:r>
      <w:r>
        <w:rPr>
          <w:rFonts w:ascii="Times New Roman" w:cs="Times New Roman" w:eastAsia="Times New Roman" w:hAnsi="Times New Roman"/>
          <w:sz w:val="18"/>
          <w:szCs w:val="18"/>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Servicing Fee Rate, </w:t>
      </w:r>
      <w:r>
        <w:rPr>
          <w:rFonts w:ascii="Times New Roman" w:cs="Times New Roman" w:eastAsia="Times New Roman" w:hAnsi="Times New Roman"/>
          <w:sz w:val="18"/>
          <w:szCs w:val="18"/>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Fee Rate.</w:t>
      </w:r>
    </w:p>
    <w:p>
      <w:pPr>
        <w:spacing w:after="0" w:line="225"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For purposes of this definition, (1) “</w:t>
      </w:r>
      <w:r>
        <w:rPr>
          <w:rFonts w:ascii="Times New Roman" w:cs="Times New Roman" w:eastAsia="Times New Roman" w:hAnsi="Times New Roman"/>
          <w:sz w:val="18"/>
          <w:szCs w:val="18"/>
          <w:u w:val="single" w:color="auto"/>
          <w:color w:val="auto"/>
        </w:rPr>
        <w:t>Backup Servicer Fee Rate</w:t>
      </w:r>
      <w:r>
        <w:rPr>
          <w:rFonts w:ascii="Times New Roman" w:cs="Times New Roman" w:eastAsia="Times New Roman" w:hAnsi="Times New Roman"/>
          <w:sz w:val="18"/>
          <w:szCs w:val="18"/>
          <w:color w:val="auto"/>
        </w:rPr>
        <w:t xml:space="preserve">” means for any Accrual Period, the rate equal to the product of (i) twelve,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Backup Servicing Fee for such Accrual Period,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average daily Aggregate Principal Balance of Eligible Receivables included in the Total Borrowing Base during such Accrual Period, (2) “</w:t>
      </w:r>
      <w:r>
        <w:rPr>
          <w:rFonts w:ascii="Times New Roman" w:cs="Times New Roman" w:eastAsia="Times New Roman" w:hAnsi="Times New Roman"/>
          <w:sz w:val="18"/>
          <w:szCs w:val="18"/>
          <w:u w:val="single" w:color="auto"/>
          <w:color w:val="auto"/>
        </w:rPr>
        <w:t>Account Bank Fee Rate</w:t>
      </w:r>
      <w:r>
        <w:rPr>
          <w:rFonts w:ascii="Times New Roman" w:cs="Times New Roman" w:eastAsia="Times New Roman" w:hAnsi="Times New Roman"/>
          <w:sz w:val="18"/>
          <w:szCs w:val="18"/>
          <w:color w:val="auto"/>
        </w:rPr>
        <w:t xml:space="preserve">” means for any Accrual Period, the rate equal to the product of (i) twelve,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Account Fee for such Accrual Period,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average daily Aggregate Principal Balance of Eligible Receivables included in the Total Borrowing Base during such Accrual Period, and (3) “</w:t>
      </w:r>
      <w:r>
        <w:rPr>
          <w:rFonts w:ascii="Times New Roman" w:cs="Times New Roman" w:eastAsia="Times New Roman" w:hAnsi="Times New Roman"/>
          <w:sz w:val="18"/>
          <w:szCs w:val="18"/>
          <w:u w:val="single" w:color="auto"/>
          <w:color w:val="auto"/>
        </w:rPr>
        <w:t>Floating Rate</w:t>
      </w:r>
      <w:r>
        <w:rPr>
          <w:rFonts w:ascii="Times New Roman" w:cs="Times New Roman" w:eastAsia="Times New Roman" w:hAnsi="Times New Roman"/>
          <w:sz w:val="18"/>
          <w:szCs w:val="18"/>
          <w:color w:val="auto"/>
        </w:rPr>
        <w:t xml:space="preserve">” for any Accrual Period shall equal the product of (i) a fraction, expressed as a percentage, the numerator of which is the sum of (x) the aggregate Class A Lender Daily Yield for each day during such Accrual Period and (y) the aggregate Class B Lender Daily Yield for each day during such Accrual Period, and the denominator of which is the daily average aggregate Loan Balance during such Accrual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twelve (12).</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shall mean each of (i) CPS Leasing, Inc., (ii) CPS Marketing, Inc., (iii) TFC Enterprises, LLC, (iv) Mercury Finance Company, LLC, (v) each Subsidiary of Mercury Finance Company, LLC, (vi) Page Funding, LLC, (vii) Page Three Funding, LLC, and (viii) Page Four Funding, LLC.</w:t>
      </w:r>
    </w:p>
    <w:p>
      <w:pPr>
        <w:spacing w:after="0" w:line="176" w:lineRule="exact"/>
        <w:rPr>
          <w:sz w:val="20"/>
          <w:szCs w:val="20"/>
          <w:color w:val="auto"/>
        </w:rPr>
      </w:pPr>
    </w:p>
    <w:p>
      <w:pPr>
        <w:jc w:val="both"/>
        <w:ind w:left="180" w:right="2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any Lender, Participant or any other recipient of any payment to be made by or on account of any Loan hereunder, (i) Taxes imposed on or measured by its net income (however denominated), and franchise Taxes imposed on it (in lieu of net income Taxes), by the jurisdiction (or any political subdivision thereof) as a result of a present or future connection between any such Lender, Participant or any recipient of any payment to be made by or on account of any Loan and such jurisdiction or political subdivision or Governmental Authority thereof; (ii) any branch profits Taxes imposed by any jurisdiction described in clause (i); (iii) taxes resulting from a Lender’s, Participant’s or a recipient’s failure to comply with the requirements of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of the Agreement or resulting from the inaccuracy of any certification made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(iv) in the case of a Lender, any United States federal withholding Taxes that would be imposed on amounts payable to such Lender based upon the applicable withholding rate in effect at the time such Lender becomes a party to the Agreement (or designates a new lending office), except that Taxes shall include (A) any amount that such Lender was previously entitled to receive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3.05(a)</w:t>
      </w:r>
      <w:r>
        <w:rPr>
          <w:rFonts w:ascii="Times New Roman" w:cs="Times New Roman" w:eastAsia="Times New Roman" w:hAnsi="Times New Roman"/>
          <w:sz w:val="18"/>
          <w:szCs w:val="18"/>
          <w:color w:val="auto"/>
        </w:rPr>
        <w:t xml:space="preserve"> of the Agreement, if any, with respect to such withholding Tax at the time such Lender becomes a party to the Agreement (or designates a new lending office) and which withholding Tax may not be eliminated by complying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and (B) additional United States federal withholding Taxes that may be imposed after the time such Lender becomes a party to the Agreement (or designates a new lending office), as a result of a change in law, rule, regulation, order or other decision with respect to any of the foregoing by any Governmental Authority; and (v) any United States federal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3" w:name="page114"/>
    <w:bookmarkEnd w:id="113"/>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Exported</w:t>
      </w:r>
      <w:r>
        <w:rPr>
          <w:rFonts w:ascii="Times New Roman" w:cs="Times New Roman" w:eastAsia="Times New Roman" w:hAnsi="Times New Roman"/>
          <w:sz w:val="18"/>
          <w:szCs w:val="18"/>
          <w:color w:val="auto"/>
        </w:rPr>
        <w:t>” means, with respect to a Contract, the Servicer (acting at the written direction of the Administrative Agent) or the Administrative Agent has decommissioned the related Electronic Contract and the Authoritative Copy (in the case of an Electronic Contract that constitutes Electronic Chattel Paper) or the electronically authenticated original record (in the case of an Electronic Contract that does not constitute Electronic Chattel Paper), as applicable, of such Contract is printed out pursuant to a “Paper Out”™ within the meaning specified in the System Description. “</w:t>
      </w:r>
      <w:r>
        <w:rPr>
          <w:rFonts w:ascii="Times New Roman" w:cs="Times New Roman" w:eastAsia="Times New Roman" w:hAnsi="Times New Roman"/>
          <w:sz w:val="18"/>
          <w:szCs w:val="18"/>
          <w:u w:val="single" w:color="auto"/>
          <w:color w:val="auto"/>
        </w:rPr>
        <w:t>Export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Exporting</w:t>
      </w:r>
      <w:r>
        <w:rPr>
          <w:rFonts w:ascii="Times New Roman" w:cs="Times New Roman" w:eastAsia="Times New Roman" w:hAnsi="Times New Roman"/>
          <w:sz w:val="18"/>
          <w:szCs w:val="18"/>
          <w:color w:val="auto"/>
        </w:rPr>
        <w:t>” shall have corollary meanings.</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Amount</w:t>
      </w:r>
      <w:r>
        <w:rPr>
          <w:rFonts w:ascii="Times New Roman" w:cs="Times New Roman" w:eastAsia="Times New Roman" w:hAnsi="Times New Roman"/>
          <w:sz w:val="18"/>
          <w:szCs w:val="18"/>
          <w:color w:val="auto"/>
        </w:rPr>
        <w:t>” means the sum of the Class A Facility Fee Amount and the Class B Facility Fee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Amount.</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Code Sections 1471 through 1474 as enacted on the Original Closing Date (or any amended or successor version) and any current or future regulations or official interpretations thereof.</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225" w:lineRule="exact"/>
        <w:rPr>
          <w:sz w:val="20"/>
          <w:szCs w:val="20"/>
          <w:color w:val="auto"/>
        </w:rPr>
      </w:pPr>
    </w:p>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specified period, a fluctuating interest rate per annum equal for each day during such period to the weighted average of the overnight federal funds rates as published in Federal Reserve Board Statistical Release H.15(519) or any successor or substitute publication selected by the Administrative Agent (or, if such day is not a Business Day, for the next preceding Business Day), or if, for any reason, such rate is not available on any day, the rate determined, in the reasonable opinion of the Administrative Agent, to be the rate at which overnight federal funds are being offered in the national federal funds market at 9:00 a.m. (New York City time).</w:t>
      </w:r>
    </w:p>
    <w:p>
      <w:pPr>
        <w:spacing w:after="0" w:line="18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that Ninth Amended and Restated</w:t>
      </w:r>
      <w:r>
        <w:rPr>
          <w:rFonts w:ascii="Times New Roman" w:cs="Times New Roman" w:eastAsia="Times New Roman" w:hAnsi="Times New Roman"/>
          <w:sz w:val="18"/>
          <w:szCs w:val="18"/>
          <w:u w:val="single" w:color="auto"/>
          <w:color w:val="0000FF"/>
        </w:rPr>
        <w:t>the Class A</w:t>
      </w:r>
      <w:r>
        <w:rPr>
          <w:rFonts w:ascii="Times New Roman" w:cs="Times New Roman" w:eastAsia="Times New Roman" w:hAnsi="Times New Roman"/>
          <w:sz w:val="18"/>
          <w:szCs w:val="18"/>
          <w:color w:val="auto"/>
        </w:rPr>
        <w:t xml:space="preserve"> Fee Letter</w:t>
      </w:r>
      <w:r>
        <w:rPr>
          <w:rFonts w:ascii="Times New Roman" w:cs="Times New Roman" w:eastAsia="Times New Roman" w:hAnsi="Times New Roman"/>
          <w:sz w:val="18"/>
          <w:szCs w:val="18"/>
          <w:color w:val="FF0000"/>
          <w:strike w:val="1"/>
        </w:rPr>
        <w:t>, dated as of the Restatement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Closing Date, made by the Administrative Agent, and accepted by CPS and the Borrower</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Schedule</w:t>
      </w:r>
      <w:r>
        <w:rPr>
          <w:rFonts w:ascii="Times New Roman" w:cs="Times New Roman" w:eastAsia="Times New Roman" w:hAnsi="Times New Roman"/>
          <w:sz w:val="18"/>
          <w:szCs w:val="18"/>
          <w:color w:val="auto"/>
        </w:rPr>
        <w:t xml:space="preserve">” means that certain Schedule of Fees dated April 23, 2012, and attached to the Sale and Servicing Agreement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as may be amended, supplemented or otherwise modified from time to time with the prior written consent of the Administrative Agent, such consent not to be unreasonably withheld, conditioned or delayed.</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Financed Vehicle</w:t>
      </w:r>
      <w:r>
        <w:rPr>
          <w:rFonts w:ascii="Times New Roman" w:cs="Times New Roman" w:eastAsia="Times New Roman" w:hAnsi="Times New Roman"/>
          <w:sz w:val="18"/>
          <w:szCs w:val="18"/>
          <w:color w:val="auto"/>
        </w:rPr>
        <w:t>” means a new or used automobile, light truck, van or minivan, together with all accessions thereto, securing an Obligor’s indebtedness under a Receivable.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or its successor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Rate</w:t>
      </w:r>
      <w:r>
        <w:rPr>
          <w:rFonts w:ascii="Times New Roman" w:cs="Times New Roman" w:eastAsia="Times New Roman" w:hAnsi="Times New Roman"/>
          <w:sz w:val="18"/>
          <w:szCs w:val="18"/>
          <w:color w:val="auto"/>
        </w:rPr>
        <w:t>” means a per annum rate of interest equal to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basis points ([***]).</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shall mean the Board of Governors of the Federal Reserve System of the United States.</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Agent</w:t>
      </w:r>
      <w:r>
        <w:rPr>
          <w:rFonts w:ascii="Times New Roman" w:cs="Times New Roman" w:eastAsia="Times New Roman" w:hAnsi="Times New Roman"/>
          <w:sz w:val="18"/>
          <w:szCs w:val="18"/>
          <w:color w:val="auto"/>
        </w:rPr>
        <w:t xml:space="preserve">” means, for each Lender Group, the financial institution set forth opposite the name of such Lender Group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as Funding Agent and its permitted successors and assigns.</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Agreement</w:t>
      </w:r>
      <w:r>
        <w:rPr>
          <w:rFonts w:ascii="Times New Roman" w:cs="Times New Roman" w:eastAsia="Times New Roman" w:hAnsi="Times New Roman"/>
          <w:sz w:val="18"/>
          <w:szCs w:val="18"/>
          <w:color w:val="auto"/>
        </w:rPr>
        <w:t>” shall mean any agreement or instrument executed by any liquidity provider, credit enhancement provider or other provider of back-up purchase support or facilities with or for the benefit of any Lender to fund such Lender’s funding obligations under this Agreement.</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means (a) with respect to the Class A Loans, the Business Day on which a Class A Loan occurs, and (b) with respect to the Class B Loans, the Business Day on which a Class B Loan occurs.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4" w:name="page115"/>
    <w:bookmarkEnd w:id="114"/>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Termination Date</w:t>
      </w:r>
      <w:r>
        <w:rPr>
          <w:rFonts w:ascii="Times New Roman" w:cs="Times New Roman" w:eastAsia="Times New Roman" w:hAnsi="Times New Roman"/>
          <w:sz w:val="18"/>
          <w:szCs w:val="18"/>
          <w:color w:val="auto"/>
        </w:rPr>
        <w:t xml:space="preserve">” means the first to occur of (a) July </w:t>
      </w:r>
      <w:r>
        <w:rPr>
          <w:rFonts w:ascii="Times New Roman" w:cs="Times New Roman" w:eastAsia="Times New Roman" w:hAnsi="Times New Roman"/>
          <w:sz w:val="18"/>
          <w:szCs w:val="18"/>
          <w:color w:val="FF0000"/>
          <w:strike w:val="1"/>
        </w:rPr>
        <w:t>15</w:t>
      </w:r>
      <w:r>
        <w:rPr>
          <w:rFonts w:ascii="Times New Roman" w:cs="Times New Roman" w:eastAsia="Times New Roman" w:hAnsi="Times New Roman"/>
          <w:sz w:val="18"/>
          <w:szCs w:val="18"/>
          <w:u w:val="single" w:color="auto"/>
          <w:color w:val="0000FF"/>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2026</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auto"/>
        </w:rPr>
        <w:t xml:space="preserve">, (b) the date of the occurrence of either an Early Amortization Event or an Event of Default specified in </w:t>
      </w:r>
      <w:r>
        <w:rPr>
          <w:rFonts w:ascii="Times New Roman" w:cs="Times New Roman" w:eastAsia="Times New Roman" w:hAnsi="Times New Roman"/>
          <w:sz w:val="18"/>
          <w:szCs w:val="18"/>
          <w:u w:val="single" w:color="auto"/>
          <w:color w:val="auto"/>
        </w:rPr>
        <w:t>Section 8.01(a)(v)</w:t>
      </w:r>
      <w:r>
        <w:rPr>
          <w:rFonts w:ascii="Times New Roman" w:cs="Times New Roman" w:eastAsia="Times New Roman" w:hAnsi="Times New Roman"/>
          <w:sz w:val="18"/>
          <w:szCs w:val="18"/>
          <w:color w:val="auto"/>
        </w:rPr>
        <w:t xml:space="preserve"> of this Agreement,</w:t>
      </w:r>
    </w:p>
    <w:p>
      <w:pPr>
        <w:jc w:val="both"/>
        <w:ind w:left="180" w:right="20" w:firstLine="4"/>
        <w:spacing w:after="0" w:line="253" w:lineRule="auto"/>
        <w:tabs>
          <w:tab w:leader="none" w:pos="4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of the declaration of any Event of Default (other than an Event of Default specified in </w:t>
      </w:r>
      <w:r>
        <w:rPr>
          <w:rFonts w:ascii="Times New Roman" w:cs="Times New Roman" w:eastAsia="Times New Roman" w:hAnsi="Times New Roman"/>
          <w:sz w:val="18"/>
          <w:szCs w:val="18"/>
          <w:u w:val="single" w:color="auto"/>
          <w:color w:val="auto"/>
        </w:rPr>
        <w:t>Section 8.01(a)(v)</w:t>
      </w:r>
      <w:r>
        <w:rPr>
          <w:rFonts w:ascii="Times New Roman" w:cs="Times New Roman" w:eastAsia="Times New Roman" w:hAnsi="Times New Roman"/>
          <w:sz w:val="18"/>
          <w:szCs w:val="18"/>
          <w:color w:val="auto"/>
        </w:rPr>
        <w:t xml:space="preserve"> of this Agreement), (d) any date upon which the sum of each of the Transfer of Servicing Percentages for all transfers of servicing effected by CPS on or after the Original Closing Date exceeds 25%, (e) the date upon which the Servicer or the Borrower fails to accept a proposed assignee under the circumstances described in </w:t>
      </w:r>
      <w:r>
        <w:rPr>
          <w:rFonts w:ascii="Times New Roman" w:cs="Times New Roman" w:eastAsia="Times New Roman" w:hAnsi="Times New Roman"/>
          <w:sz w:val="18"/>
          <w:szCs w:val="18"/>
          <w:u w:val="single" w:color="auto"/>
          <w:color w:val="auto"/>
        </w:rPr>
        <w:t>Section 9.03(c)(iii)</w:t>
      </w:r>
      <w:r>
        <w:rPr>
          <w:rFonts w:ascii="Times New Roman" w:cs="Times New Roman" w:eastAsia="Times New Roman" w:hAnsi="Times New Roman"/>
          <w:sz w:val="18"/>
          <w:szCs w:val="18"/>
          <w:color w:val="auto"/>
        </w:rPr>
        <w:t xml:space="preserve"> of this Agreement, and (f) the occurrence and continuance of a Turbo Event.</w:t>
      </w:r>
    </w:p>
    <w:p>
      <w:pPr>
        <w:spacing w:after="0" w:line="187"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 occasioned by the promulgation of rules, regulations, pronouncements or opinions by the Financial Accounting Standards Board, the American Institute of Certified Public Accountants or the Securities and Exchange Commission (or successors thereto or agencies with similar functions) from time to time.</w:t>
      </w:r>
    </w:p>
    <w:p>
      <w:pPr>
        <w:spacing w:after="0" w:line="180"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United States of America, any state, local or other political subdivision thereof and any entity exercising executive, legislative, judicial, quasi-judicial, regulatory, or administrative functions thereof pertaining thereto.</w:t>
      </w:r>
    </w:p>
    <w:p>
      <w:pPr>
        <w:spacing w:after="0" w:line="176"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means to mortgage, pledge, bargain, sell, warrant, alienate, remise, release, convey, assign, transfer, create, grant a lien upon and a security interest in and right of set-off against, deposit, set over and confirm pursuant to the Security Agreement. A Grant of the Pledged LLC Interests or the Collateral, as the case may be, or of any other agreement or instrument shall include all rights, powers and options (but none of the obligations) of the granting party thereunder, including, as and to the extent provided in the Loan Documents, the immediate and continuing right (after an Event of Default) to claim for, collect, receive and give receipt for principal and interest payments in respect of the Pledged LLC Interests or the Collateral, as the case may be, and all other moneys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Hired NRSRO</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5.01(p)</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Image File</w:t>
      </w:r>
      <w:r>
        <w:rPr>
          <w:rFonts w:ascii="Times New Roman" w:cs="Times New Roman" w:eastAsia="Times New Roman" w:hAnsi="Times New Roman"/>
          <w:sz w:val="18"/>
          <w:szCs w:val="18"/>
          <w:color w:val="auto"/>
        </w:rPr>
        <w:t>” means, with respect to each Contract, an electronic system data file that provides information for each item listed on Schedule F attached to the Sale and Servicing Agreement.</w:t>
      </w:r>
    </w:p>
    <w:p>
      <w:pPr>
        <w:spacing w:after="0" w:line="162" w:lineRule="exact"/>
        <w:rPr>
          <w:sz w:val="20"/>
          <w:szCs w:val="20"/>
          <w:color w:val="auto"/>
        </w:rPr>
      </w:pPr>
    </w:p>
    <w:p>
      <w:pPr>
        <w:jc w:val="both"/>
        <w:ind w:left="180"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at any time, any (a) indebtedness or liability of such Person for borrowed money whether or not evidenced by bonds, debentures, notes (including any subordinated notes), repurchase agreements and similar arrangements, or other instruments, or for the deferred purchase price of property or services (including trade obligations); (b) obligations of such Person as lessee under leases which should be, in accordance with GAAP, recorded as capital leases; (c) current liabilities of such Person in respect of unfunded vested benefits under plans covered by Title IV of ERISA; (d) obligations issued for or liabilities incurred on the account of such Person; (e) obligations or liabilities of such Person arising under acceptance facilities; (f) obligations of such Person under any guarantees, endorsements (other than for collection or deposit in the ordinary course of business) and other contingent obligations to purchase, to provide funds for payment, to supply funds to invest in any Person or otherwise to assure a creditor against loss; (g) obligations of others secured by any lien on property or assets of such Person, whether or not the obligations have been assumed by such Person; or (h) obligations of such Person under any interest rate or currency exchange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5" w:name="page116"/>
    <w:bookmarkEnd w:id="115"/>
    <w:p>
      <w:pPr>
        <w:jc w:val="both"/>
        <w:ind w:left="18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means, when used with respect to any specified Person, that the person (a) is in fact independent of the Borrower, any other obligor upon the Loans, the Seller, the Purchaser, the Servicer and any Affiliate of any of the foregoing persons, (b) does not have any direct financial interest or any material indirect financial interest in the Borrower, any other obligor on the Loans, the Seller, the Purchaser, the Servicer or any Affiliate of any of the foregoing Persons and (c) is not connected with the Borrower, any other obligor on the Loans, the Seller, the Purchaser, the Servicer or any Affiliate of any of the foregoing Persons as an officer, employee, promoter, underwriter, trustee, partner, director or Person performing similar functions.</w:t>
      </w:r>
    </w:p>
    <w:p>
      <w:pPr>
        <w:spacing w:after="0" w:line="189"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means (a) Crowe Horwath LLP or (b) a firm of independent certified public accountants registered with the Public Company Accounting Oversight Board and otherwise reasonably acceptable to the Administrative Agent.</w:t>
      </w:r>
    </w:p>
    <w:p>
      <w:pPr>
        <w:spacing w:after="0" w:line="176"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Receivable</w:t>
      </w:r>
      <w:r>
        <w:rPr>
          <w:rFonts w:ascii="Times New Roman" w:cs="Times New Roman" w:eastAsia="Times New Roman" w:hAnsi="Times New Roman"/>
          <w:sz w:val="18"/>
          <w:szCs w:val="18"/>
          <w:color w:val="auto"/>
        </w:rPr>
        <w:t>” means any Receivable other than an Eligible Receivable. “</w:t>
      </w:r>
      <w:r>
        <w:rPr>
          <w:rFonts w:ascii="Times New Roman" w:cs="Times New Roman" w:eastAsia="Times New Roman" w:hAnsi="Times New Roman"/>
          <w:sz w:val="18"/>
          <w:szCs w:val="18"/>
          <w:u w:val="single" w:color="auto"/>
          <w:color w:val="auto"/>
        </w:rPr>
        <w:t>Integrity Check</w:t>
      </w:r>
      <w:r>
        <w:rPr>
          <w:rFonts w:ascii="Times New Roman" w:cs="Times New Roman" w:eastAsia="Times New Roman" w:hAnsi="Times New Roman"/>
          <w:sz w:val="18"/>
          <w:szCs w:val="18"/>
          <w:color w:val="auto"/>
        </w:rPr>
        <w:t>” shall have the meaning ascribed to such term in the System Description.</w:t>
      </w:r>
    </w:p>
    <w:p>
      <w:pPr>
        <w:spacing w:after="0" w:line="162" w:lineRule="exact"/>
        <w:rPr>
          <w:sz w:val="20"/>
          <w:szCs w:val="20"/>
          <w:color w:val="auto"/>
        </w:rPr>
      </w:pPr>
    </w:p>
    <w:p>
      <w:pPr>
        <w:jc w:val="both"/>
        <w:ind w:left="18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means, with respect to a specified Person, (a) the institution of a proceeding or the filing of a petition against such Person seeking the entry of a decree or order for relief by a court having jurisdiction in the premises in respect of such Person or any substantial part of its property in an involuntary case under any applicable federal or state bankruptcy, insolvency or other similar law now or hereafter in effect, seeking the appointment of a receiver, liquidator, assignee, custodian, trustee, sequestrator or similar official for such Person or for any substantial part of its property, or ordering the winding-up or liquidation of such Person’s affairs, and such proceeding or petition, decree or order shall remain unstayed or undismissed for a period of 60 consecutive days or an order or decree for the requested relief is earlier entered or issued; or (b) the commencement by such Person of a voluntary case under any applicable federal or state bankruptcy, insolvency or other similar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97" w:lineRule="exact"/>
        <w:rPr>
          <w:sz w:val="20"/>
          <w:szCs w:val="20"/>
          <w:color w:val="auto"/>
        </w:rPr>
      </w:pPr>
    </w:p>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Instructing Party</w:t>
      </w:r>
      <w:r>
        <w:rPr>
          <w:rFonts w:ascii="Times New Roman" w:cs="Times New Roman" w:eastAsia="Times New Roman" w:hAnsi="Times New Roman"/>
          <w:sz w:val="18"/>
          <w:szCs w:val="18"/>
          <w:color w:val="auto"/>
        </w:rPr>
        <w:t>” means (i) prior to an Event of Default, the Servicer and (ii) from and after an Event of Default, the Administrative Agent. Until the Account Bank or the Collateral Agent receives notice from the Administrative Agent that an Event of Default has occurred, the Account Bank and the Collateral Agent shall treat the Servicer as the Instructing Party. The Servicer and the Administrative Agent shall provide the Collateral Agent from time to time with notice of persons authorized to instruct the Collateral Agent on their behalf, in each case with a certificate of the title and signature of such Persons.</w:t>
      </w:r>
    </w:p>
    <w:p>
      <w:pPr>
        <w:spacing w:after="0" w:line="187"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with respect to a Loan and any Settlement Date, the period from, and including, the Determination Date for the immediately preceding Settlement Date (or from and including the initial Funding Date for such Loan, in the case of the first Settlement Date) to, but excluding, the Determination Date for such Settlement 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6" w:name="page117"/>
    <w:bookmarkEnd w:id="116"/>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 Agreement.</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Earnings</w:t>
      </w:r>
      <w:r>
        <w:rPr>
          <w:rFonts w:ascii="Times New Roman" w:cs="Times New Roman" w:eastAsia="Times New Roman" w:hAnsi="Times New Roman"/>
          <w:sz w:val="18"/>
          <w:szCs w:val="18"/>
          <w:color w:val="auto"/>
        </w:rPr>
        <w:t xml:space="preserve">” means, with respect to any Settlement Date and any Pledged Account, the investment earnings on Pledged Account Property and deposited into such Pledged Account pursuant to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Class A Lender and Class B Lender.</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Group</w:t>
      </w:r>
      <w:r>
        <w:rPr>
          <w:rFonts w:ascii="Times New Roman" w:cs="Times New Roman" w:eastAsia="Times New Roman" w:hAnsi="Times New Roman"/>
          <w:sz w:val="18"/>
          <w:szCs w:val="18"/>
          <w:color w:val="auto"/>
        </w:rPr>
        <w:t>” shall mean (i) in the case of a Lender Group containing a Conduit Lender, such Conduit Lender and the Committed Lender(s) with respect to such Conduit Lender, or (ii) otherwise, a Committed Lender.</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Level I Trigger Event</w:t>
      </w:r>
      <w:r>
        <w:rPr>
          <w:rFonts w:ascii="Times New Roman" w:cs="Times New Roman" w:eastAsia="Times New Roman" w:hAnsi="Times New Roman"/>
          <w:sz w:val="18"/>
          <w:szCs w:val="18"/>
          <w:color w:val="auto"/>
        </w:rPr>
        <w:t>” means the occurrence of a breach of the “Level I Trigger” if the aggregate principal balance of receivables (excluding the Receivables) evidenced by Contracts serviced by the Seller and its Subsidiaries shall be less than [***].</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security interest, lien, charge, pledge, equity, or encumbrance of any kind, in each case, that attach to the respective Receivable by operation of law as a result of an Obligor’s failure to pay an obligation.</w:t>
      </w:r>
    </w:p>
    <w:p>
      <w:pPr>
        <w:spacing w:after="0" w:line="16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 Certificate</w:t>
      </w:r>
      <w:r>
        <w:rPr>
          <w:rFonts w:ascii="Times New Roman" w:cs="Times New Roman" w:eastAsia="Times New Roman" w:hAnsi="Times New Roman"/>
          <w:sz w:val="18"/>
          <w:szCs w:val="18"/>
          <w:color w:val="auto"/>
        </w:rPr>
        <w:t>” means, with respect to a Financed Vehicle, an original certificate of title, certificate of lien or other notification issued by the Registrar of Titles of the applicable State to a secured party that indicates that the Lien of the secured party on the Financed Vehicle is recorded with the State for purposes of establishing the existence and priority of a secured party’s Lien in such Financed Vehicle.</w:t>
      </w:r>
    </w:p>
    <w:p>
      <w:pPr>
        <w:spacing w:after="0" w:line="180" w:lineRule="exact"/>
        <w:rPr>
          <w:sz w:val="20"/>
          <w:szCs w:val="20"/>
          <w:color w:val="auto"/>
        </w:rPr>
      </w:pPr>
    </w:p>
    <w:p>
      <w:pPr>
        <w:jc w:val="both"/>
        <w:ind w:left="180"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Liquidated Receivable</w:t>
      </w:r>
      <w:r>
        <w:rPr>
          <w:rFonts w:ascii="Times New Roman" w:cs="Times New Roman" w:eastAsia="Times New Roman" w:hAnsi="Times New Roman"/>
          <w:sz w:val="18"/>
          <w:szCs w:val="18"/>
          <w:color w:val="auto"/>
        </w:rPr>
        <w:t>” means any Receivable (i) which has been liquidated by the Servicer through the sale of the Financed Vehicle or (ii) for which the related Financed Vehicle has been repossessed and 90 days have elapsed since the date of such repossession or (iii) as to which more than [***] of a Scheduled Receivable Payment of more than ten dollars shall have become 120 (or, if the related Financed Vehicle has been repossessed, 210) or more days delinquent as of the end of an Accrual Period, (iv) with respect to which proceeds have been received which, in the Servicer’s judgment, constitute the final amounts recoverable in respect of such Receivable or (v) the related Obligor has filed for bankruptcy under Federal or state law and the Servicer has determined that its loss is known. For purposes of this definition, a Receivable shall be deemed a “Liquidated Receivable” upon the first to occur of the events specified in items (i) through (v) of the previous sentence.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7" w:name="page118"/>
    <w:bookmarkEnd w:id="117"/>
    <w:p>
      <w:pPr>
        <w:jc w:val="both"/>
        <w:ind w:left="180"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Expenses</w:t>
      </w:r>
      <w:r>
        <w:rPr>
          <w:rFonts w:ascii="Times New Roman" w:cs="Times New Roman" w:eastAsia="Times New Roman" w:hAnsi="Times New Roman"/>
          <w:sz w:val="18"/>
          <w:szCs w:val="18"/>
          <w:color w:val="auto"/>
        </w:rPr>
        <w:t xml:space="preserve">” means, with respect to a Liquidated Receivable, reasonable out-of-pocket expenses, other than any overhead expenses, incurred by the Servicer in connection with the collection and realization of the full amounts due under such Liquidated Receivable (including the attempted liquidation of a Receivable which is brought current and is no longer in default during such attempted liquidation) and the repossession and sale of any property acquired in respect thereof which are not recoverable as proceeds paid by any insurer under any type of motor vehicle insurance policy related to such Receivable. Liquidation Expenses shall include (i) all out-of-pocket bankruptcy and replevin related expenses incurred by the Servicer with respect to a Receivable, (ii) out-of-pocket expenses incurred by the Servicer in conducting field calls to the extent that the related </w:t>
      </w:r>
      <w:r>
        <w:rPr>
          <w:rFonts w:ascii="Times New Roman" w:cs="Times New Roman" w:eastAsia="Times New Roman" w:hAnsi="Times New Roman"/>
          <w:sz w:val="18"/>
          <w:szCs w:val="18"/>
          <w:color w:val="FF0000"/>
          <w:strike w:val="1"/>
        </w:rPr>
        <w:t>Financial</w:t>
      </w:r>
      <w:r>
        <w:rPr>
          <w:rFonts w:ascii="Times New Roman" w:cs="Times New Roman" w:eastAsia="Times New Roman" w:hAnsi="Times New Roman"/>
          <w:sz w:val="18"/>
          <w:szCs w:val="18"/>
          <w:u w:val="single" w:color="auto"/>
          <w:color w:val="0000FF"/>
        </w:rPr>
        <w:t>Financed</w:t>
      </w:r>
      <w:r>
        <w:rPr>
          <w:rFonts w:ascii="Times New Roman" w:cs="Times New Roman" w:eastAsia="Times New Roman" w:hAnsi="Times New Roman"/>
          <w:sz w:val="18"/>
          <w:szCs w:val="18"/>
          <w:color w:val="auto"/>
        </w:rPr>
        <w:t xml:space="preserve"> Vehicle is actually repossessed by the Servicer or one of its repossession agents, and (iii) out-of-pocket expenses paid by the Servicer to third party agencies in conducting “skip tracing”. Liquidation Expenses shall not include any Ancillary Fees or other administrative fees and expenses or similar charges collected with respect to such Contract.</w:t>
      </w:r>
    </w:p>
    <w:p>
      <w:pPr>
        <w:spacing w:after="0" w:line="1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Amended and Restated Limited Liability Company Agreement of the Borrower dated as of May 11, 2012, entered into by CPS and Folio Funding Three LLC, and as such agreement may be further amended, supplemented or otherwise modified from time to time in accordance with the terms thereof.</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 Class A Loan or a Class B Loan.</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Balance</w:t>
      </w:r>
      <w:r>
        <w:rPr>
          <w:rFonts w:ascii="Times New Roman" w:cs="Times New Roman" w:eastAsia="Times New Roman" w:hAnsi="Times New Roman"/>
          <w:sz w:val="18"/>
          <w:szCs w:val="18"/>
          <w:color w:val="auto"/>
        </w:rPr>
        <w:t>” means (a) with respect to the Class A Loans, the Class A Loan Balance, and (b) with respect to the Class B Loans, the Class B Loan Balance.</w:t>
      </w:r>
    </w:p>
    <w:p>
      <w:pPr>
        <w:spacing w:after="0" w:line="162"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Sale and Servicing Agreement, the Lockbox Agreement, the Security Agreement, the Pledge Agreement, the LLC Agreement, each Assignment, the </w:t>
      </w:r>
      <w:r>
        <w:rPr>
          <w:rFonts w:ascii="Times New Roman" w:cs="Times New Roman" w:eastAsia="Times New Roman" w:hAnsi="Times New Roman"/>
          <w:sz w:val="18"/>
          <w:szCs w:val="18"/>
          <w:u w:val="single" w:color="auto"/>
          <w:color w:val="0000FF"/>
        </w:rPr>
        <w:t>Class A</w:t>
      </w:r>
      <w:r>
        <w:rPr>
          <w:rFonts w:ascii="Times New Roman" w:cs="Times New Roman" w:eastAsia="Times New Roman" w:hAnsi="Times New Roman"/>
          <w:sz w:val="18"/>
          <w:szCs w:val="18"/>
          <w:color w:val="auto"/>
        </w:rPr>
        <w:t xml:space="preserve"> Fee Letter, the Class B Fee Letter, the Consent and Agreement, and each other contract, agreement, undertaking or other instrument executed in connection with any of the foregoing, including all exhibits, annexes and schedules attached to any of the foregoing, and other documents and certificates delivered in connection therewith.</w:t>
      </w:r>
    </w:p>
    <w:p>
      <w:pPr>
        <w:spacing w:after="0" w:line="183"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Loan-to-Value Ratio</w:t>
      </w:r>
      <w:r>
        <w:rPr>
          <w:rFonts w:ascii="Times New Roman" w:cs="Times New Roman" w:eastAsia="Times New Roman" w:hAnsi="Times New Roman"/>
          <w:sz w:val="18"/>
          <w:szCs w:val="18"/>
          <w:color w:val="auto"/>
        </w:rPr>
        <w:t>” means, with respect to any Receivable, the ratio, at the time of origination or acquisition by the Seller, of (i) the unpaid Principal Balance of such Receivable to (ii) (A) for used Financed Vehicles, the wholesale book value of the related Financed Vehicle as set forth in the Kelly Blue Book®, the NADA Official Used Car Guide® or the Black Book Wholesale Average Condition or (B) for new Financed Vehicles, the manufacturer’s invoice price.</w:t>
      </w:r>
    </w:p>
    <w:p>
      <w:pPr>
        <w:spacing w:after="0" w:line="183"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Account</w:t>
      </w:r>
      <w:r>
        <w:rPr>
          <w:rFonts w:ascii="Times New Roman" w:cs="Times New Roman" w:eastAsia="Times New Roman" w:hAnsi="Times New Roman"/>
          <w:sz w:val="18"/>
          <w:szCs w:val="18"/>
          <w:color w:val="auto"/>
        </w:rPr>
        <w:t xml:space="preserve">” means the account maintained in the name of the Purchaser on behalf of the Collateral Agent for the further benefit of the Secured Parties by the Lockbox Bank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Agreement</w:t>
      </w:r>
      <w:r>
        <w:rPr>
          <w:rFonts w:ascii="Times New Roman" w:cs="Times New Roman" w:eastAsia="Times New Roman" w:hAnsi="Times New Roman"/>
          <w:sz w:val="18"/>
          <w:szCs w:val="18"/>
          <w:color w:val="auto"/>
        </w:rPr>
        <w:t>” means the Deposit Account Control Agreement dated as of May 11, 2012, by and among the Purchaser, the Servicer, the Collateral Agent and the Lockbox Bank, as such agreement may be amended, supplemented or otherwise modified from time to time in accordance with the terms thereof, unless the Administrative Agent shall cease to be a party thereunder, or such agreement shall be terminated in accordance with its terms, in which event “</w:t>
      </w:r>
      <w:r>
        <w:rPr>
          <w:rFonts w:ascii="Times New Roman" w:cs="Times New Roman" w:eastAsia="Times New Roman" w:hAnsi="Times New Roman"/>
          <w:sz w:val="18"/>
          <w:szCs w:val="18"/>
          <w:u w:val="single" w:color="auto"/>
          <w:color w:val="auto"/>
        </w:rPr>
        <w:t>Lockbox Agreement</w:t>
      </w:r>
      <w:r>
        <w:rPr>
          <w:rFonts w:ascii="Times New Roman" w:cs="Times New Roman" w:eastAsia="Times New Roman" w:hAnsi="Times New Roman"/>
          <w:sz w:val="18"/>
          <w:szCs w:val="18"/>
          <w:color w:val="auto"/>
        </w:rPr>
        <w:t>” shall mean such other agreement(s), in form and substance acceptable to the Administrative Agent, among the Servicer, the Purchaser, the Collateral Agent and the Lockbox Bank and any other appropriate parties.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8" w:name="page119"/>
    <w:bookmarkEnd w:id="118"/>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Bank</w:t>
      </w:r>
      <w:r>
        <w:rPr>
          <w:rFonts w:ascii="Times New Roman" w:cs="Times New Roman" w:eastAsia="Times New Roman" w:hAnsi="Times New Roman"/>
          <w:sz w:val="18"/>
          <w:szCs w:val="18"/>
          <w:color w:val="auto"/>
        </w:rPr>
        <w:t>” means, initially, Wells Fargo Bank, National Association, and on any date upon which the Lockbox Account is no longer maintained at Wells Fargo Bank, National Association, a depository institution named by the Servicer and acceptable to the Majority Lenders and the Administrative Agent at which the Lockbox Account is established and maintained as of such date.</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Processor</w:t>
      </w:r>
      <w:r>
        <w:rPr>
          <w:rFonts w:ascii="Times New Roman" w:cs="Times New Roman" w:eastAsia="Times New Roman" w:hAnsi="Times New Roman"/>
          <w:sz w:val="18"/>
          <w:szCs w:val="18"/>
          <w:color w:val="auto"/>
        </w:rPr>
        <w:t>” means, initially, Wells Fargo Bank, National Association, together with its successors and assigns in such capacity.</w:t>
      </w:r>
    </w:p>
    <w:p>
      <w:pPr>
        <w:spacing w:after="0" w:line="16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 Floor Matrix</w:t>
      </w:r>
      <w:r>
        <w:rPr>
          <w:rFonts w:ascii="Times New Roman" w:cs="Times New Roman" w:eastAsia="Times New Roman" w:hAnsi="Times New Roman"/>
          <w:sz w:val="18"/>
          <w:szCs w:val="18"/>
          <w:color w:val="auto"/>
        </w:rPr>
        <w:t xml:space="preserve">” means a nine (9) Cohort matrix based on loan product types established on July </w:t>
      </w:r>
      <w:r>
        <w:rPr>
          <w:rFonts w:ascii="Times New Roman" w:cs="Times New Roman" w:eastAsia="Times New Roman" w:hAnsi="Times New Roman"/>
          <w:sz w:val="18"/>
          <w:szCs w:val="18"/>
          <w:color w:val="FF0000"/>
          <w:strike w:val="1"/>
        </w:rPr>
        <w:t>11</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for which the minimum projected lifetime losses for Eligible Receivables in each Cohort, other than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Seasoned Receivable Cohort, will be calculated each month, as set forth in the table entitled “Loss Floor Matrix” in the Advance Rate Calculator.</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means (a) initially, the Class A Majority Lenders, and (b) from and after the date the Class A Loans have been paid in full and the Class A Commitments have been terminated, the Class B Majority Lenders.</w:t>
      </w:r>
    </w:p>
    <w:p>
      <w:pPr>
        <w:spacing w:after="0" w:line="162" w:lineRule="exact"/>
        <w:rPr>
          <w:sz w:val="20"/>
          <w:szCs w:val="20"/>
          <w:color w:val="auto"/>
        </w:rPr>
      </w:pPr>
    </w:p>
    <w:p>
      <w:pPr>
        <w:jc w:val="both"/>
        <w:ind w:left="180"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event, matter, condition or circumstance which (a) materially and adversely affects the business, assets, condition (financial or otherwise), results of operations, properties (whether real, personal or otherwise) or prospects of (i) the Seller, the Purchaser or the Borrower, in each case, individually or taken as a whole, or (ii) CPS and its Subsidiaries, taken as a whole; (b) materially impairs the ability of CPS or any of its Subsidiaries to perform or observe its obligations under any Loan Document to which it is a party; (c) materially impairs the rights, powers or remedies of a Lender under any of the Loan Documents; (d) materially adversely affects (i) the legality, binding affect, validity or enforceability of any of the Loan Documents or (ii) the validity, attachment, perfection, priority or enforcement of any Liens granted in favor of the Collateral Agent or the ability of the Collateral Agent on behalf of the Lenders to realize the benefits of the security afforded under the Loan Documents, or (e) constitutes an act, omission, event, matter, condition or circumstance of CPS or any of its Subsidiaries that materially adversely affects (i) the value, collectability or marketability of any Loan, (ii) the value or marketability of the Receivables, or (iii) the probability that amounts now or hereafter due in respect of the Receivables will be collected on a timely basis.</w:t>
      </w:r>
    </w:p>
    <w:p>
      <w:pPr>
        <w:spacing w:after="0" w:line="190"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 effect on (a) the value or marketability of the Receivables, the Pledged LLC Interests or any of the other Collateral (including, without limitation, the enforceability or collectability of the Receivables) attributable to an act, omission, event, matter, condition or circumstance of CPS or any of its Subsidiaries; (b) the business, operations, properties or condition (financial or otherwise) or prospects of the Seller, the Servicer, the Purchaser, the Borrower or CPS, in each case, individually or taken as a whole; (c) the validity or enforceability of this or any of the other Loan Documents or the rights or remedies of the Administrative Agent, any Lender hereunder or thereunder or the validity, perfection or priority of any Lien in favor of the Collateral Agent for the benefit of any Secured Party granted thereunder; (d) the timely payment of the principal of or interest on any Loans or other amounts payable under the Loan Documents; or (e) the ability of the Seller, the Servicer, the Purchaser, the Borrower or CPS to perform its obligations under any Loan Document to which it is a party, in each case that materially and adversely affects any Lender, the interests of any such party under the Loan Documents, or the value, collectability or marketability of any Loan.</w:t>
      </w:r>
    </w:p>
    <w:p>
      <w:pPr>
        <w:spacing w:after="0" w:line="19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July </w:t>
      </w:r>
      <w:r>
        <w:rPr>
          <w:rFonts w:ascii="Times New Roman" w:cs="Times New Roman" w:eastAsia="Times New Roman" w:hAnsi="Times New Roman"/>
          <w:sz w:val="18"/>
          <w:szCs w:val="18"/>
          <w:color w:val="FF0000"/>
          <w:strike w:val="1"/>
        </w:rPr>
        <w:t>15</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auto"/>
        </w:rPr>
        <w:t>, or, if such date is not a Business Day, the immediately preceding Business Day; provided, however, that solely for the purpose of satisfying the Ratings Requirement or the Ratings Requirement Bring-Down, the Maturity Date shall be deemed to be the date that is 86 months after the Funding Termination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19" w:name="page120"/>
    <w:bookmarkEnd w:id="119"/>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Loan Balance</w:t>
      </w:r>
      <w:r>
        <w:rPr>
          <w:rFonts w:ascii="Times New Roman" w:cs="Times New Roman" w:eastAsia="Times New Roman" w:hAnsi="Times New Roman"/>
          <w:sz w:val="18"/>
          <w:szCs w:val="18"/>
          <w:color w:val="auto"/>
        </w:rPr>
        <w:t>” means, in the case of the Class A Loans, the Class A Maximum Loan Balance and in the case of the Class B Loans, the Class B Maximum Loan Balance.</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Excess Spread Requirement</w:t>
      </w:r>
      <w:r>
        <w:rPr>
          <w:rFonts w:ascii="Times New Roman" w:cs="Times New Roman" w:eastAsia="Times New Roman" w:hAnsi="Times New Roman"/>
          <w:sz w:val="18"/>
          <w:szCs w:val="18"/>
          <w:color w:val="auto"/>
        </w:rPr>
        <w:t>” means, as of any date of determination, that the Excess Spread for the most recently ended Accrual Period is greater than [***].</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MFN</w:t>
      </w:r>
      <w:r>
        <w:rPr>
          <w:rFonts w:ascii="Times New Roman" w:cs="Times New Roman" w:eastAsia="Times New Roman" w:hAnsi="Times New Roman"/>
          <w:sz w:val="18"/>
          <w:szCs w:val="18"/>
          <w:color w:val="auto"/>
        </w:rPr>
        <w:t>” means Mercury Finance Company LLC, a Delaware limited liability company.</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its successor.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Plan which is a multiemployer plan as defined in Section 4001(a)(3) of</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Acquisition Fee</w:t>
      </w:r>
      <w:r>
        <w:rPr>
          <w:rFonts w:ascii="Times New Roman" w:cs="Times New Roman" w:eastAsia="Times New Roman" w:hAnsi="Times New Roman"/>
          <w:sz w:val="18"/>
          <w:szCs w:val="18"/>
          <w:color w:val="auto"/>
        </w:rPr>
        <w:t>” means, for any Receivable, NETACQFEE as reflected in the data tape fields delivered prior to each Funding Date, which amount shall represent the difference between the original Principal Balance of the related Receivable and the amount paid by the Seller to the Dealer for such Receivable (without giving effect to the Seller netting from such amount the first payment due with respect to such Receivable).</w:t>
      </w:r>
    </w:p>
    <w:p>
      <w:pPr>
        <w:spacing w:after="0" w:line="180"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Eligible Receivables Balance</w:t>
      </w:r>
      <w:r>
        <w:rPr>
          <w:rFonts w:ascii="Times New Roman" w:cs="Times New Roman" w:eastAsia="Times New Roman" w:hAnsi="Times New Roman"/>
          <w:sz w:val="18"/>
          <w:szCs w:val="18"/>
          <w:color w:val="auto"/>
        </w:rPr>
        <w:t>” means, as of any date of determination, the excess of (a) the Aggregate Principal Balance of all Eligible Receivables as of such date of determination over (b) the Excess Concentration Amount for the Eligible Receivables.</w:t>
      </w:r>
    </w:p>
    <w:p>
      <w:pPr>
        <w:spacing w:after="0" w:line="176" w:lineRule="exact"/>
        <w:rPr>
          <w:sz w:val="20"/>
          <w:szCs w:val="20"/>
          <w:color w:val="auto"/>
        </w:rPr>
      </w:pPr>
    </w:p>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Liquidation Proceeds</w:t>
      </w:r>
      <w:r>
        <w:rPr>
          <w:rFonts w:ascii="Times New Roman" w:cs="Times New Roman" w:eastAsia="Times New Roman" w:hAnsi="Times New Roman"/>
          <w:sz w:val="18"/>
          <w:szCs w:val="18"/>
          <w:color w:val="auto"/>
        </w:rPr>
        <w:t xml:space="preserve">” means, with respect to a Liquidated Receivable, all amounts realized with respect to such Receivable during the Accrual Period in which such Receivable became a Liquidated Receivable, net of (i) reasonable expenses incurred by the Servicer in connection with the collection of such Receivable and the repossession and disposition of the Financed Vehicle and the reasonable cost of legal counsel with the enforcement of a Liquidated Receivable and (ii) amounts that are required to be refunded to the Obligor on such Receivable;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Net Liquidation Proceeds with respect to any Receivable shall in no event be less than zero.</w:t>
      </w:r>
    </w:p>
    <w:p>
      <w:pPr>
        <w:spacing w:after="0" w:line="18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on a Receivable means the purchaser or co-purchasers of the Financed Vehicle and any other Person who owes payments under the Receivable.</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or the Chief Investment Officer of the Seller, the Purchaser or the Servicer, as appropriate.</w:t>
      </w:r>
    </w:p>
    <w:p>
      <w:pPr>
        <w:spacing w:after="0" w:line="162"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Collateral</w:t>
      </w:r>
      <w:r>
        <w:rPr>
          <w:rFonts w:ascii="Times New Roman" w:cs="Times New Roman" w:eastAsia="Times New Roman" w:hAnsi="Times New Roman"/>
          <w:sz w:val="18"/>
          <w:szCs w:val="18"/>
          <w:color w:val="auto"/>
        </w:rPr>
        <w:t>” means the Pledged LLC Interests and that portion of the Collateral upon which an Opinion of Counsel is rendered by outside counsel on the Original Closing Date as to the perfection and priority of the Collateral Agent’s security interest, for the benefit of the Secured Parties, in the Pledged LLC Interests and such Collateral.</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but need not be counsel to the Purchaser, the Seller or the Servicer, which counsel shall be reasonably acceptable to the Administrative Agent and which opinion shall be acceptable in form and substance to the Administrative Agent.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Closing Date</w:t>
      </w:r>
      <w:r>
        <w:rPr>
          <w:rFonts w:ascii="Times New Roman" w:cs="Times New Roman" w:eastAsia="Times New Roman" w:hAnsi="Times New Roman"/>
          <w:sz w:val="18"/>
          <w:szCs w:val="18"/>
          <w:color w:val="auto"/>
        </w:rPr>
        <w:t>” means May 11, 2012.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0" w:name="page121"/>
    <w:bookmarkEnd w:id="120"/>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Conveyed Property</w:t>
      </w:r>
      <w:r>
        <w:rPr>
          <w:rFonts w:ascii="Times New Roman" w:cs="Times New Roman" w:eastAsia="Times New Roman" w:hAnsi="Times New Roman"/>
          <w:sz w:val="18"/>
          <w:szCs w:val="18"/>
          <w:color w:val="auto"/>
        </w:rPr>
        <w:t xml:space="preserve">” means all property conveyed by the Seller to the Purchaser pursuant to </w:t>
      </w:r>
      <w:r>
        <w:rPr>
          <w:rFonts w:ascii="Times New Roman" w:cs="Times New Roman" w:eastAsia="Times New Roman" w:hAnsi="Times New Roman"/>
          <w:sz w:val="18"/>
          <w:szCs w:val="18"/>
          <w:u w:val="single" w:color="auto"/>
          <w:color w:val="auto"/>
        </w:rPr>
        <w:t>Sections 2.1 (a)(ii)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of the Sale and Servicing Agreement and Section 2 of each Assignment.</w:t>
      </w:r>
    </w:p>
    <w:p>
      <w:pPr>
        <w:spacing w:after="0" w:line="162"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 of Record</w:t>
      </w:r>
      <w:r>
        <w:rPr>
          <w:rFonts w:ascii="Times New Roman" w:cs="Times New Roman" w:eastAsia="Times New Roman" w:hAnsi="Times New Roman"/>
          <w:sz w:val="18"/>
          <w:szCs w:val="18"/>
          <w:color w:val="auto"/>
        </w:rPr>
        <w:t>” means the owner of an Authoritative Copy (in the case of an Electronic Contract that constitutes Electronic Chattel Paper) or an electronically authenticated original record of an executed Contract (in the case of an Electronic Contract that does not constitute Electronic Chattel Paper), which, within the Electronic Vault System, is the Borrower.</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limited liability company, joint venture, association, joint stock company, trust (including any beneficiary thereof), unincorporated organization or government or any agency or political subdivision thereof.</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Physical Property</w:t>
      </w:r>
      <w:r>
        <w:rPr>
          <w:rFonts w:ascii="Times New Roman" w:cs="Times New Roman" w:eastAsia="Times New Roman" w:hAnsi="Times New Roman"/>
          <w:sz w:val="18"/>
          <w:szCs w:val="18"/>
          <w:color w:val="auto"/>
        </w:rPr>
        <w:t>” has the meaning given to such term in the definition of “Delivery” above.</w:t>
      </w:r>
    </w:p>
    <w:p>
      <w:pPr>
        <w:spacing w:after="0" w:line="225"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Person that is (i) an “employee benefit plan” (as defined in Section 3(3) of ERISA) that is subject to the provisions of Title I of ERISA, (ii) a “plan” (as defined in Section 4975(e)(1) of the Code) that is subject to Section 4975 of the Code or (ii) any entity whose underlying assets include assets of a plan described in (i) or (ii) above by reason of such plan’s investment in the entity.</w:t>
      </w:r>
    </w:p>
    <w:p>
      <w:pPr>
        <w:spacing w:after="0" w:line="180"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the Pledge and Security Agreement dated as of May 11, 2012, by and among CPS and the Collateral Agent for the benefit of the Secured Parties, as such agreement may be amended, supplemented or otherwise modified from time to time in accordance with the terms thereof.</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Account Property</w:t>
      </w:r>
      <w:r>
        <w:rPr>
          <w:rFonts w:ascii="Times New Roman" w:cs="Times New Roman" w:eastAsia="Times New Roman" w:hAnsi="Times New Roman"/>
          <w:sz w:val="18"/>
          <w:szCs w:val="18"/>
          <w:color w:val="auto"/>
        </w:rPr>
        <w:t>” means the Pledged Accounts, all amounts and investments held from time to time in any Pledged Account (whether in the form of deposit accounts, Physical Property, book-entry securities, uncertificated securities or otherwise), and all proceeds of the foregoing.</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Accounts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of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LLC Interests</w:t>
      </w:r>
      <w:r>
        <w:rPr>
          <w:rFonts w:ascii="Times New Roman" w:cs="Times New Roman" w:eastAsia="Times New Roman" w:hAnsi="Times New Roman"/>
          <w:sz w:val="18"/>
          <w:szCs w:val="18"/>
          <w:color w:val="auto"/>
        </w:rPr>
        <w:t>” has the meaning assigned to such term in the Pledge Agreement.</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Post-Office Box</w:t>
      </w:r>
      <w:r>
        <w:rPr>
          <w:rFonts w:ascii="Times New Roman" w:cs="Times New Roman" w:eastAsia="Times New Roman" w:hAnsi="Times New Roman"/>
          <w:sz w:val="18"/>
          <w:szCs w:val="18"/>
          <w:color w:val="auto"/>
        </w:rPr>
        <w:t xml:space="preserve">” means the separate post-office box established and maintained by the Servicer in the name of the Purchaser for the benefit of the Administrative Agent for the further benefit of the Lenders, established and maintained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Receivable</w:t>
      </w:r>
      <w:r>
        <w:rPr>
          <w:rFonts w:ascii="Times New Roman" w:cs="Times New Roman" w:eastAsia="Times New Roman" w:hAnsi="Times New Roman"/>
          <w:sz w:val="18"/>
          <w:szCs w:val="18"/>
          <w:color w:val="auto"/>
        </w:rPr>
        <w:t>” means a Receivable that was originated while the Obligor under such Receivable was the subject of any federal, state or other bankruptcy, insolvency or similar proceeding.</w:t>
      </w:r>
    </w:p>
    <w:p>
      <w:pPr>
        <w:spacing w:after="0" w:line="162"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for any date of determination means the highest rate of interest (or if a range is given, the highest prime rate) published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on such date as constituting the “prime rate” or “base rate” in such publication’s table of Money Rates or, if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is not published on such date, then in </w:t>
      </w:r>
      <w:r>
        <w:rPr>
          <w:rFonts w:ascii="Times New Roman" w:cs="Times New Roman" w:eastAsia="Times New Roman" w:hAnsi="Times New Roman"/>
          <w:sz w:val="18"/>
          <w:szCs w:val="18"/>
          <w:u w:val="single" w:color="auto"/>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Journal</w:t>
      </w:r>
      <w:r>
        <w:rPr>
          <w:rFonts w:ascii="Times New Roman" w:cs="Times New Roman" w:eastAsia="Times New Roman" w:hAnsi="Times New Roman"/>
          <w:sz w:val="18"/>
          <w:szCs w:val="18"/>
          <w:color w:val="auto"/>
        </w:rPr>
        <w:t xml:space="preserve"> most recently published.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21" w:name="page122"/>
    <w:bookmarkEnd w:id="121"/>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Balance</w:t>
      </w:r>
      <w:r>
        <w:rPr>
          <w:rFonts w:ascii="Times New Roman" w:cs="Times New Roman" w:eastAsia="Times New Roman" w:hAnsi="Times New Roman"/>
          <w:sz w:val="18"/>
          <w:szCs w:val="18"/>
          <w:color w:val="auto"/>
        </w:rPr>
        <w:t>” of a Receivable, as of the close of business as of any day of determination, means the Amount Financed minus the sum of the following amounts without duplication: (i) that portion of all Scheduled Receivable Payments actually received on or prior to such day allocable to principal using the Simple Interest Method; (ii) any payment of the Purchase Amount with respect to the Receivable allocable to principal; (iii) any Cram Down Loss in respect of such Receivable; and (iv) any prepayment in full or any partial prepayment applied to reduce the principal balance of the Receivable.</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Loan Share</w:t>
      </w:r>
      <w:r>
        <w:rPr>
          <w:rFonts w:ascii="Times New Roman" w:cs="Times New Roman" w:eastAsia="Times New Roman" w:hAnsi="Times New Roman"/>
          <w:sz w:val="18"/>
          <w:szCs w:val="18"/>
          <w:color w:val="auto"/>
        </w:rPr>
        <w:t>” means (i) with respect to the Class A Loans, a percentage equal to the quotient of</w:t>
      </w:r>
    </w:p>
    <w:p>
      <w:pPr>
        <w:spacing w:after="0" w:line="27" w:lineRule="exact"/>
        <w:rPr>
          <w:sz w:val="20"/>
          <w:szCs w:val="20"/>
          <w:color w:val="auto"/>
        </w:rPr>
      </w:pPr>
    </w:p>
    <w:p>
      <w:pPr>
        <w:ind w:left="180" w:right="20" w:firstLine="4"/>
        <w:spacing w:after="0" w:line="260" w:lineRule="auto"/>
        <w:tabs>
          <w:tab w:leader="none" w:pos="4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Advance Rate divided by (y) the Total Advance Rate and (ii) with respect to the Class B Loans, a percentage equal to the quotient of (x) the Class B Advance Rate divided by (y) the Total Advance Rate.</w:t>
      </w:r>
    </w:p>
    <w:p>
      <w:pPr>
        <w:spacing w:after="0" w:line="181"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Loan Share Breach</w:t>
      </w:r>
      <w:r>
        <w:rPr>
          <w:rFonts w:ascii="Times New Roman" w:cs="Times New Roman" w:eastAsia="Times New Roman" w:hAnsi="Times New Roman"/>
          <w:sz w:val="18"/>
          <w:szCs w:val="18"/>
          <w:color w:val="auto"/>
        </w:rPr>
        <w:t>” means, as of any date of determination prior to the Funding Termination Date, the outstanding principal amount of the Class A Loans and the Class B Loans is in a proportion that is not equivalent to their respective Pro Rata Loan Shares.</w:t>
      </w:r>
    </w:p>
    <w:p>
      <w:pPr>
        <w:spacing w:after="0" w:line="176" w:lineRule="exact"/>
        <w:rPr>
          <w:sz w:val="20"/>
          <w:szCs w:val="20"/>
          <w:color w:val="auto"/>
        </w:rPr>
      </w:pPr>
    </w:p>
    <w:p>
      <w:pPr>
        <w:jc w:val="both"/>
        <w:ind w:left="180" w:right="20" w:firstLine="1296"/>
        <w:spacing w:after="0" w:line="29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Loan Share Breach Date</w:t>
      </w:r>
      <w:r>
        <w:rPr>
          <w:rFonts w:ascii="Times New Roman" w:cs="Times New Roman" w:eastAsia="Times New Roman" w:hAnsi="Times New Roman"/>
          <w:sz w:val="18"/>
          <w:szCs w:val="18"/>
          <w:color w:val="auto"/>
        </w:rPr>
        <w:t>” means, prior to the Funding Termination Date, any Business Day which is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Business Day on which there is a Pro Rata Loan Share Breach.</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suit in equity, action at law or other judicial or administrative proceeding.</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Sale and Servicing Agreement.</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Projected CNL</w:t>
      </w:r>
      <w:r>
        <w:rPr>
          <w:rFonts w:ascii="Times New Roman" w:cs="Times New Roman" w:eastAsia="Times New Roman" w:hAnsi="Times New Roman"/>
          <w:sz w:val="18"/>
          <w:szCs w:val="18"/>
          <w:color w:val="auto"/>
        </w:rPr>
        <w:t>” means for each Vintage Pool in a Cohort, the quotient resulting from dividing the most current Cumulative Net Loss Rate for such Vintage Pool in such Cohort by the corresponding point on the applicable timing curve in Exhibit D.</w:t>
      </w:r>
    </w:p>
    <w:p>
      <w:pPr>
        <w:spacing w:after="0" w:line="176" w:lineRule="exact"/>
        <w:rPr>
          <w:sz w:val="20"/>
          <w:szCs w:val="20"/>
          <w:color w:val="auto"/>
        </w:rPr>
      </w:pPr>
    </w:p>
    <w:p>
      <w:pPr>
        <w:jc w:val="both"/>
        <w:ind w:left="180" w:right="2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Projected CNL Matrix</w:t>
      </w:r>
      <w:r>
        <w:rPr>
          <w:rFonts w:ascii="Times New Roman" w:cs="Times New Roman" w:eastAsia="Times New Roman" w:hAnsi="Times New Roman"/>
          <w:sz w:val="18"/>
          <w:szCs w:val="18"/>
          <w:color w:val="auto"/>
        </w:rPr>
        <w:t>” means a nine (9) Cohort matrix updated in the Advance Rate Calculator on each Settlement Date, in which the projected Cumulative Net Loss for each Cohort (other than the Cohort associated with Seasoned Receivables) will be the greater of (X) the quotient of (A) the sum of the products for each Vintage Pool that is a Tested Vintage (6 Months Seasoned) of (i) the aggregate principal balance of all automobile receivables acquired or originated by the Seller in such Vintage Pool at the time of origination for such Cohort and (ii) the Projected CNL for the related Vintage Pool, and (B) the aggregate principal balance of all automobile receivables acquired or originated by the Seller for all Vintage Pools in such Cohort at the time of origination for such Cohort or (Y) the quotient of (A) the sum of the products for each Vintage Pool that is a Tested Vintage (12 Months Seasoned) of (i) the aggregate principal balance of all automobile receivables acquired or originated by the Seller in such Vintage Pool at the time of origination for such Cohort and (ii) the Projected CNL for the related Vintage Pool, and (B) the aggregate principal balance of all automobile receivables acquired or originated by the Seller for all Vintage Pools in such Cohort at the time of origination for such Cohort; provided that the result derived under clause (X) above will only be considered to be greater than clause (Y) if the resulting Projected CNL for such Cohort is also greater than the product of (a) [***] and (b) the applicable percentage for such Cohort set forth in the Loss Floor Matrix.</w:t>
      </w:r>
    </w:p>
    <w:p>
      <w:pPr>
        <w:spacing w:after="0" w:line="197"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Amount</w:t>
      </w:r>
      <w:r>
        <w:rPr>
          <w:rFonts w:ascii="Times New Roman" w:cs="Times New Roman" w:eastAsia="Times New Roman" w:hAnsi="Times New Roman"/>
          <w:sz w:val="18"/>
          <w:szCs w:val="18"/>
          <w:color w:val="auto"/>
        </w:rPr>
        <w:t>” means, on any date with respect to a Defective Receivable, the sum of (a) the Principal Balance of such Receivable as of the date of purchase and (b) all accrued and unpaid interest on the Receivable as of such date, after giving effect to the receipt of any moneys collected (from whatever source) on such Receivable, if any, as of such date.</w:t>
      </w:r>
    </w:p>
    <w:p>
      <w:pPr>
        <w:spacing w:after="0" w:line="180"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with respect to each Receivable and related Other Conveyed Property transferred to the Purchaser on any Funding Date, an amount equal to the Principal Balance of such Receivable as of such Funding Date, as applicable.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2" w:name="page123"/>
    <w:bookmarkEnd w:id="122"/>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Receivable</w:t>
      </w:r>
      <w:r>
        <w:rPr>
          <w:rFonts w:ascii="Times New Roman" w:cs="Times New Roman" w:eastAsia="Times New Roman" w:hAnsi="Times New Roman"/>
          <w:sz w:val="18"/>
          <w:szCs w:val="18"/>
          <w:color w:val="auto"/>
        </w:rPr>
        <w:t xml:space="preserve">” means a Receivable purchased as of the close of business on the last day of an Accrual Period by the Servicer 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the Sale and Servicing Agreement or repurchased by the Seller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Page Eight Funding LLC, its successors and permitted assigns.</w:t>
      </w:r>
    </w:p>
    <w:p>
      <w:pPr>
        <w:spacing w:after="0" w:line="225"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Property</w:t>
      </w:r>
      <w:r>
        <w:rPr>
          <w:rFonts w:ascii="Times New Roman" w:cs="Times New Roman" w:eastAsia="Times New Roman" w:hAnsi="Times New Roman"/>
          <w:sz w:val="18"/>
          <w:szCs w:val="18"/>
          <w:color w:val="auto"/>
        </w:rPr>
        <w:t>” means the Receivables and Other Conveyed Property, together with certain monies received after the related Cutoff Date, the Receivables Insurance Policies, the Collection Account (including all Eligible Investments therein and all proceeds therefrom), the Lockbox Account and certain other rights under the Sale and Servicing Agreement.</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Requirement</w:t>
      </w:r>
      <w:r>
        <w:rPr>
          <w:rFonts w:ascii="Times New Roman" w:cs="Times New Roman" w:eastAsia="Times New Roman" w:hAnsi="Times New Roman"/>
          <w:sz w:val="18"/>
          <w:szCs w:val="18"/>
          <w:color w:val="auto"/>
        </w:rPr>
        <w:t>” means the obligation of the Borrower to obtain an initial explicit, public and monitored rating from Standard &amp; Poor’s of “BBB” or better with respect to the Class A Loans.</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Requirement Bring-Down</w:t>
      </w:r>
      <w:r>
        <w:rPr>
          <w:rFonts w:ascii="Times New Roman" w:cs="Times New Roman" w:eastAsia="Times New Roman" w:hAnsi="Times New Roman"/>
          <w:sz w:val="18"/>
          <w:szCs w:val="18"/>
          <w:color w:val="auto"/>
        </w:rPr>
        <w:t xml:space="preserve">” means an election by the Administrative Agent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xml:space="preserve">” means each Contract listed on the Schedule of Receivables and all rights and obligations thereunder, except for Receivables that have become (a) Purchased Receivables or (b) Ineligible Receivables transferred to the Seller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Sale and Servicing Agreement and, for the avoidance of doubt, shall include all Related Receivables (other than Related Receivables that have become Purchased Receivables or Ineligible Receivables transferred to the Seller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Sale and Servicing Agreement).</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 Files</w:t>
      </w:r>
      <w:r>
        <w:rPr>
          <w:rFonts w:ascii="Times New Roman" w:cs="Times New Roman" w:eastAsia="Times New Roman" w:hAnsi="Times New Roman"/>
          <w:sz w:val="18"/>
          <w:szCs w:val="18"/>
          <w:color w:val="auto"/>
        </w:rPr>
        <w:t xml:space="preserve">” means the documents specified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of the Sale and Servicing Agreement.</w:t>
      </w:r>
    </w:p>
    <w:p>
      <w:pPr>
        <w:spacing w:after="0" w:line="225"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Insurance Policy</w:t>
      </w:r>
      <w:r>
        <w:rPr>
          <w:rFonts w:ascii="Times New Roman" w:cs="Times New Roman" w:eastAsia="Times New Roman" w:hAnsi="Times New Roman"/>
          <w:sz w:val="18"/>
          <w:szCs w:val="18"/>
          <w:color w:val="auto"/>
        </w:rPr>
        <w:t xml:space="preserve">” means, with respect to a Receivable, any insurance policy (including the insurance policies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Sale and Servicing Agreement) benefiting the holder of the Receivable providing loss or physical damage, credit life, credit accident, health, credit disability, theft, mechanical breakdown or similar coverage with respect to the Financed Vehicle or the Obligor, including without limitation any GAP, vendor’s single interest or other collateral protection insurance policy or coverage.</w:t>
      </w:r>
    </w:p>
    <w:p>
      <w:pPr>
        <w:spacing w:after="0" w:line="183"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 Settlement Date, the close of business on the day immediately preceding such Settlement Date.</w:t>
      </w:r>
    </w:p>
    <w:p>
      <w:pPr>
        <w:spacing w:after="0" w:line="16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Recoveries</w:t>
      </w:r>
      <w:r>
        <w:rPr>
          <w:rFonts w:ascii="Times New Roman" w:cs="Times New Roman" w:eastAsia="Times New Roman" w:hAnsi="Times New Roman"/>
          <w:sz w:val="18"/>
          <w:szCs w:val="18"/>
          <w:color w:val="auto"/>
        </w:rPr>
        <w:t>” means with respect to a Liquidated Receivable, the monies collected from whatever source, during any Accrual Period following the Accrual Period in which such Receivable became a Liquidated Receivable, net of the reasonable costs of liquidation plus any amounts required by law to be remitted to the Obligor (without duplication of amounts netted against the amounts realized in calculating the Net Liquidation Proceeds).</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 of Titles</w:t>
      </w:r>
      <w:r>
        <w:rPr>
          <w:rFonts w:ascii="Times New Roman" w:cs="Times New Roman" w:eastAsia="Times New Roman" w:hAnsi="Times New Roman"/>
          <w:sz w:val="18"/>
          <w:szCs w:val="18"/>
          <w:color w:val="auto"/>
        </w:rPr>
        <w:t>” means, with respect to any state, the governmental agency or body responsible for the registration of, and the issuance of certificates of title relating to, motor vehicles and liens thereon.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3" w:name="page124"/>
    <w:bookmarkEnd w:id="123"/>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Receivables</w:t>
      </w:r>
      <w:r>
        <w:rPr>
          <w:rFonts w:ascii="Times New Roman" w:cs="Times New Roman" w:eastAsia="Times New Roman" w:hAnsi="Times New Roman"/>
          <w:sz w:val="18"/>
          <w:szCs w:val="18"/>
          <w:color w:val="auto"/>
        </w:rPr>
        <w:t>” means, with respect to a Funding Date, the Receivables listed on Schedule A to the applicable Assignment executed and delivered by the Seller with respect to such Funding Date.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Sale and Servicing Agreement.</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Repossessed Receivable</w:t>
      </w:r>
      <w:r>
        <w:rPr>
          <w:rFonts w:ascii="Times New Roman" w:cs="Times New Roman" w:eastAsia="Times New Roman" w:hAnsi="Times New Roman"/>
          <w:sz w:val="18"/>
          <w:szCs w:val="18"/>
          <w:color w:val="auto"/>
        </w:rPr>
        <w:t>” means a Receivable with respect to which the earliest of the following shall have occurred: (i) the date the Financed Vehicle is actually repossessed and (ii) 30 days after the date the Financed Vehicle is authorized for repossession.</w:t>
      </w:r>
    </w:p>
    <w:p>
      <w:pPr>
        <w:spacing w:after="0" w:line="176"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Legend</w:t>
      </w:r>
      <w:r>
        <w:rPr>
          <w:rFonts w:ascii="Times New Roman" w:cs="Times New Roman" w:eastAsia="Times New Roman" w:hAnsi="Times New Roman"/>
          <w:sz w:val="18"/>
          <w:szCs w:val="18"/>
          <w:color w:val="auto"/>
        </w:rPr>
        <w:t>” shall mean a watermark notation applied by the Electronic Vault System to every page of an Electronic Contract that reads “Page Eight Funding, LLC, with Citibank, N.A., as Collateral Agent, as secured party through its designated custodian Computershare Trust Company”.</w:t>
      </w:r>
    </w:p>
    <w:p>
      <w:pPr>
        <w:spacing w:after="0" w:line="17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Reserve Account Amount</w:t>
      </w:r>
      <w:r>
        <w:rPr>
          <w:rFonts w:ascii="Times New Roman" w:cs="Times New Roman" w:eastAsia="Times New Roman" w:hAnsi="Times New Roman"/>
          <w:sz w:val="18"/>
          <w:szCs w:val="18"/>
          <w:color w:val="auto"/>
        </w:rPr>
        <w:t xml:space="preserve">” means, as of any date of determination, the greater of (i) the Required Reserve Percentage multiplied by the Aggregate Principal Balance of the Net Eligible Receivables on such date of determination and (ii)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aggregate Loan Balance of the Notes is zero, the Required Reserve Account Amount shall be zero.</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Reserve Percentage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property is subject.</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 Account</w:t>
      </w:r>
      <w:r>
        <w:rPr>
          <w:rFonts w:ascii="Times New Roman" w:cs="Times New Roman" w:eastAsia="Times New Roman" w:hAnsi="Times New Roman"/>
          <w:sz w:val="18"/>
          <w:szCs w:val="18"/>
          <w:color w:val="auto"/>
        </w:rPr>
        <w:t xml:space="preserve">” means the account designated as such, established and maintained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4.04(a)</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Closing Date</w:t>
      </w:r>
      <w:r>
        <w:rPr>
          <w:rFonts w:ascii="Times New Roman" w:cs="Times New Roman" w:eastAsia="Times New Roman" w:hAnsi="Times New Roman"/>
          <w:sz w:val="18"/>
          <w:szCs w:val="18"/>
          <w:color w:val="auto"/>
        </w:rPr>
        <w:t>” means November 1, 2024.</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means Rule 17g-5 of the Exchange Act, as the same may be amended from time to time and any successor rule or regulation thereto.</w:t>
      </w:r>
    </w:p>
    <w:p>
      <w:pPr>
        <w:spacing w:after="0" w:line="162"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Servicing Agreement</w:t>
      </w:r>
      <w:r>
        <w:rPr>
          <w:rFonts w:ascii="Times New Roman" w:cs="Times New Roman" w:eastAsia="Times New Roman" w:hAnsi="Times New Roman"/>
          <w:sz w:val="18"/>
          <w:szCs w:val="18"/>
          <w:color w:val="auto"/>
        </w:rPr>
        <w:t>” means the Third Amended and Restated Sale and Servicing Agreement dated as of the Restatement Closing Date, among Page Eight Funding LLC, as Purchaser and Borrower, CPS, as Seller and Servicer, Computershare Trust Company, National Association, as the Backup Servicer, the Custodian and the Account Bank, as the same may be amended, supplemented or otherwise modified from time to time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4" w:name="page125"/>
    <w:bookmarkEnd w:id="124"/>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trade, or financial sanctions, requirements, or embargoes imposed, administered, or enforced from time to time by any Sanctions Authority.</w:t>
      </w:r>
    </w:p>
    <w:p>
      <w:pPr>
        <w:spacing w:after="0" w:line="162"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Authority</w:t>
      </w:r>
      <w:r>
        <w:rPr>
          <w:rFonts w:ascii="Times New Roman" w:cs="Times New Roman" w:eastAsia="Times New Roman" w:hAnsi="Times New Roman"/>
          <w:sz w:val="18"/>
          <w:szCs w:val="18"/>
          <w:color w:val="auto"/>
        </w:rPr>
        <w:t>” means the United States (including, without limitation, the Office of Foreign Assets Control of the U.S. Department of the Treasury and the U.S. Department of State), the United Kingdom (including, without limitation, Her Majesty’s Treasury), the European Union and any EU member state, the United Nations Security Council, and any other relevant sanctions authority.</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at any time, a country or territory that is, or whose government is, the subject of Sanctions.</w:t>
      </w:r>
    </w:p>
    <w:p>
      <w:pPr>
        <w:spacing w:after="0" w:line="162" w:lineRule="exact"/>
        <w:rPr>
          <w:sz w:val="20"/>
          <w:szCs w:val="20"/>
          <w:color w:val="auto"/>
        </w:rPr>
      </w:pPr>
    </w:p>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 related list maintained by any Sanctions Authority, (b) any Person located, organized, or resident in a Sanctioned Jurisdiction, or (c) any other subject of Sanctions, including, without limitation, any Person controlled or 50 percent or more owned in the aggregate, directly or indirectly, by, or acting for or on behalf of, or at the direction of, any such Person or Persons described in the foregoing clauses (a) or (b).</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Target</w:t>
      </w:r>
      <w:r>
        <w:rPr>
          <w:rFonts w:ascii="Times New Roman" w:cs="Times New Roman" w:eastAsia="Times New Roman" w:hAnsi="Times New Roman"/>
          <w:sz w:val="18"/>
          <w:szCs w:val="18"/>
          <w:color w:val="auto"/>
        </w:rPr>
        <w:t>” means a Sanctioned Person or Sanctioned Jurisdiction.</w:t>
      </w:r>
    </w:p>
    <w:p>
      <w:pPr>
        <w:spacing w:after="0" w:line="225"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Receivable Payment</w:t>
      </w:r>
      <w:r>
        <w:rPr>
          <w:rFonts w:ascii="Times New Roman" w:cs="Times New Roman" w:eastAsia="Times New Roman" w:hAnsi="Times New Roman"/>
          <w:sz w:val="18"/>
          <w:szCs w:val="18"/>
          <w:color w:val="auto"/>
        </w:rPr>
        <w:t xml:space="preserve">” means, with respect to any Accrual Period for any Receivable, the amount set forth in such Receivable as required to be paid by the Obligor in such Accrual Period. If after the Original Closing Date, the Obligor’s obligation under a Receivable with respect to an Accrual Period has been modified so as to differ from the amount specified in such Receivable (i) as a result of the order of a court in an insolvency proceeding involving the Obligor, (ii) pursuant to the Servicemembers Civil Relief Act or similar state laws, or (iii) as a result of modifications or extensions of the Receivable permitted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Sale and Servicing Agreement, the Scheduled Receivable Payment with respect to such Accrual Period shall refer to the Obligor’s payment obligation with respect to such Accrual Period as so modified.</w:t>
      </w:r>
    </w:p>
    <w:p>
      <w:pPr>
        <w:spacing w:after="0" w:line="19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Receivables</w:t>
      </w:r>
      <w:r>
        <w:rPr>
          <w:rFonts w:ascii="Times New Roman" w:cs="Times New Roman" w:eastAsia="Times New Roman" w:hAnsi="Times New Roman"/>
          <w:sz w:val="18"/>
          <w:szCs w:val="18"/>
          <w:color w:val="auto"/>
        </w:rPr>
        <w:t>” means the schedule of all Receivables purchased by the Purchaser pursuant to the Sale and Servicing Agreement and each Assignment, which is attached as Schedule A to the Sale and Servicing Agreement, as amended or supplemented from time to time upon each Assignment of Receivables or in accordance with the terms of the Sale and Servicing Agreement.</w:t>
      </w:r>
    </w:p>
    <w:p>
      <w:pPr>
        <w:spacing w:after="0" w:line="180"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Payments</w:t>
      </w:r>
      <w:r>
        <w:rPr>
          <w:rFonts w:ascii="Times New Roman" w:cs="Times New Roman" w:eastAsia="Times New Roman" w:hAnsi="Times New Roman"/>
          <w:sz w:val="18"/>
          <w:szCs w:val="18"/>
          <w:color w:val="auto"/>
        </w:rPr>
        <w:t>” means regularly scheduled payments to be made by an Obligor pursuant to the terms of the related Contract.</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Seasoned Receivable</w:t>
      </w:r>
      <w:r>
        <w:rPr>
          <w:rFonts w:ascii="Times New Roman" w:cs="Times New Roman" w:eastAsia="Times New Roman" w:hAnsi="Times New Roman"/>
          <w:sz w:val="18"/>
          <w:szCs w:val="18"/>
          <w:color w:val="auto"/>
        </w:rPr>
        <w:t>” means a Receivable for which there are twenty (20) or fewer Scheduled Payments remaining under the terms of the related Contract.</w:t>
      </w:r>
    </w:p>
    <w:p>
      <w:pPr>
        <w:spacing w:after="0" w:line="162"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all amounts and obligations which the Borrower, the Seller, the Servicer, the Purchaser or CPS may at any time owe under the Loan Documents to, or on behalf of the Lenders and/or the Administrative Agent or Collateral Agent for the benefit of the Secured Parties (or any of them), in each case whether now owed or hereafter arising.</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5" w:name="page126"/>
    <w:bookmarkEnd w:id="125"/>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Closing Date</w:t>
      </w:r>
      <w:r>
        <w:rPr>
          <w:rFonts w:ascii="Times New Roman" w:cs="Times New Roman" w:eastAsia="Times New Roman" w:hAnsi="Times New Roman"/>
          <w:sz w:val="18"/>
          <w:szCs w:val="18"/>
          <w:color w:val="auto"/>
        </w:rPr>
        <w:t>” shall mean the closing date for a Securitization Transaction.</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Documents</w:t>
      </w:r>
      <w:r>
        <w:rPr>
          <w:rFonts w:ascii="Times New Roman" w:cs="Times New Roman" w:eastAsia="Times New Roman" w:hAnsi="Times New Roman"/>
          <w:sz w:val="18"/>
          <w:szCs w:val="18"/>
          <w:color w:val="auto"/>
        </w:rPr>
        <w:t>” means, collectively, all agreements, documents, instruments and certificates executed and delivered in connection with any Securitization Transaction.</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Transaction</w:t>
      </w:r>
      <w:r>
        <w:rPr>
          <w:rFonts w:ascii="Times New Roman" w:cs="Times New Roman" w:eastAsia="Times New Roman" w:hAnsi="Times New Roman"/>
          <w:sz w:val="18"/>
          <w:szCs w:val="18"/>
          <w:color w:val="auto"/>
        </w:rPr>
        <w:t>” means a term securitization of Receivables.</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the Amended and Restated Security Agreement dated as of November 1, 2024, by and among CPS, the Borrower and the Collateral Agent for the benefit of the Secured Parties, as such agreement may be amended, supplemented or otherwise modified from time to time in accordance with the terms thereof.</w:t>
      </w:r>
    </w:p>
    <w:p>
      <w:pPr>
        <w:spacing w:after="0" w:line="176"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Security Agreement and each other security agreement, instrument and document executed and delivered pursuant thereto.</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means Consumer Portfolio Services, Inc., and its successors in interest to the extent permitted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Contract</w:t>
      </w:r>
      <w:r>
        <w:rPr>
          <w:rFonts w:ascii="Times New Roman" w:cs="Times New Roman" w:eastAsia="Times New Roman" w:hAnsi="Times New Roman"/>
          <w:sz w:val="18"/>
          <w:szCs w:val="18"/>
          <w:color w:val="auto"/>
        </w:rPr>
        <w:t>” means, with respect to a Financed Vehicle, any third-party service contracts entered in by, or on behalf of, the Seller or Servicer.</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xml:space="preserve">” means, initially, Consumer Portfolio Services, Inc., as the servicer of the Receivables, and each successor Servicer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Sale and Servicing Agreement.</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 Termination Event</w:t>
      </w:r>
      <w:r>
        <w:rPr>
          <w:rFonts w:ascii="Times New Roman" w:cs="Times New Roman" w:eastAsia="Times New Roman" w:hAnsi="Times New Roman"/>
          <w:sz w:val="18"/>
          <w:szCs w:val="18"/>
          <w:color w:val="auto"/>
        </w:rPr>
        <w:t xml:space="preserve">” means an event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Servicer’s Certificate</w:t>
      </w:r>
      <w:r>
        <w:rPr>
          <w:rFonts w:ascii="Times New Roman" w:cs="Times New Roman" w:eastAsia="Times New Roman" w:hAnsi="Times New Roman"/>
          <w:sz w:val="18"/>
          <w:szCs w:val="18"/>
          <w:color w:val="auto"/>
        </w:rPr>
        <w:t xml:space="preserve">” means a certificate completed and executed by a Servicing Officer and delivered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Sale and Servicing Agreement, substantially in the form of Schedule A-1 to the Sale and Servicing Agreement.</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of the Sale and Servicing Agreement.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Fee Percentage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180"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File</w:t>
      </w:r>
      <w:r>
        <w:rPr>
          <w:rFonts w:ascii="Times New Roman" w:cs="Times New Roman" w:eastAsia="Times New Roman" w:hAnsi="Times New Roman"/>
          <w:sz w:val="18"/>
          <w:szCs w:val="18"/>
          <w:color w:val="auto"/>
        </w:rPr>
        <w:t>” means, with respect to a Receivable, a file containing the following documents or instruments with respect to such Receivable: (i) a true and correct copy of the fully executed original of the Receivable; (ii) the original credit application, or a physical or electronic copy thereof; (iii) if such Receivable was not originated in a state in which the Obligor may maintain possession of the certificate of title, a true and correct copy of the original certificate of title with respect to the related Financed Vehicle; (iv) if such Receivable was originated in a state that provides the Obligor may maintain possession of the certificate of title and the Custodian does not maintain possession of the certificate of title, a true and correct copy of the Lien Certificate showing the Seller as sole lienholder, provided, that if the original lien certificate has not yet been received by the Custodian, a copy of the application therefor showing the Seller as secured party or a dealer guaranty of title shall suffice for purposes of clauses (iii) and (iv); (v) any agreement(s) modifying the Receivable (including, without limitation, any extension agreement(s)); (vi) a copy of the Receivable for any supplemental warranty purchased with respect to the Financed Vehicle; (vii) acceptable vehicle valuation documentation consisting of the dealer invoice or sticker for new cars and reference to the most recently published National Automobile Dealers Association Used Car Price Guide or Kelly Blue Book or similar vehicle valuation document, based on year, make and model of the related Financed Vehicle for used cars and (viii) any documents specifically relating to the Obligor or the Financed Vehicle maintained by the Seller or its designee in its servicing files as of the date hereof. The documents referred to above may be maintained in microfiche or electronic form.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6" w:name="page127"/>
    <w:bookmarkEnd w:id="126"/>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Guidelines</w:t>
      </w:r>
      <w:r>
        <w:rPr>
          <w:rFonts w:ascii="Times New Roman" w:cs="Times New Roman" w:eastAsia="Times New Roman" w:hAnsi="Times New Roman"/>
          <w:sz w:val="18"/>
          <w:szCs w:val="18"/>
          <w:color w:val="auto"/>
        </w:rPr>
        <w:t xml:space="preserve">” means CPS’s established servicing guidelines in the form attached to the Sale and Servicing Agreement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as the same may be amended, supplemented or modified from time to time in accordance with </w:t>
      </w:r>
      <w:r>
        <w:rPr>
          <w:rFonts w:ascii="Times New Roman" w:cs="Times New Roman" w:eastAsia="Times New Roman" w:hAnsi="Times New Roman"/>
          <w:sz w:val="18"/>
          <w:szCs w:val="18"/>
          <w:u w:val="single" w:color="auto"/>
          <w:color w:val="auto"/>
        </w:rPr>
        <w:t>Section 9.1(k)</w:t>
      </w:r>
      <w:r>
        <w:rPr>
          <w:rFonts w:ascii="Times New Roman" w:cs="Times New Roman" w:eastAsia="Times New Roman" w:hAnsi="Times New Roman"/>
          <w:sz w:val="18"/>
          <w:szCs w:val="18"/>
          <w:color w:val="auto"/>
        </w:rPr>
        <w:t xml:space="preserve"> of the Sale and Servicing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Backup Servicer is acting as successor Servicer under the Sale and Servicing Agreement, the Servicing Guidelines shall be the Backup Servicer’s usual and customary servicing policies and procedures for auto loan receivables and obligors having similar terms, conditions and credit characteristics as the Receivables and the related Obligors.</w:t>
      </w:r>
    </w:p>
    <w:p>
      <w:pPr>
        <w:spacing w:after="0" w:line="187"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Officer</w:t>
      </w:r>
      <w:r>
        <w:rPr>
          <w:rFonts w:ascii="Times New Roman" w:cs="Times New Roman" w:eastAsia="Times New Roman" w:hAnsi="Times New Roman"/>
          <w:sz w:val="18"/>
          <w:szCs w:val="18"/>
          <w:color w:val="auto"/>
        </w:rPr>
        <w:t>” means any Person whose name appears on a list of Servicing Officers delivered to the Administrative Agent and the Lenders, as the same may be amended, modified or supplemented from time to time.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Standard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Transfer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Sale and Servicing Agreement.</w:t>
      </w:r>
    </w:p>
    <w:p>
      <w:pPr>
        <w:spacing w:after="0" w:line="165" w:lineRule="exact"/>
        <w:rPr>
          <w:sz w:val="20"/>
          <w:szCs w:val="20"/>
          <w:color w:val="auto"/>
        </w:rPr>
      </w:pPr>
    </w:p>
    <w:p>
      <w:pPr>
        <w:jc w:val="both"/>
        <w:ind w:left="180" w:firstLine="1296"/>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each month, and if such day is not a Business Day, the next succeeding Business Day.</w:t>
      </w:r>
    </w:p>
    <w:p>
      <w:pPr>
        <w:spacing w:after="0" w:line="198"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Simple Interest Method</w:t>
      </w:r>
      <w:r>
        <w:rPr>
          <w:rFonts w:ascii="Times New Roman" w:cs="Times New Roman" w:eastAsia="Times New Roman" w:hAnsi="Times New Roman"/>
          <w:sz w:val="18"/>
          <w:szCs w:val="18"/>
          <w:color w:val="auto"/>
        </w:rPr>
        <w:t>” means the method of allocating a fixed level payment between principal and interest, pursuant to which the portion of such payment that is allocated to interest is equal to the product of the APR multiplied by the unpaid balance multiplied by the period of time (expressed as a fraction of a year, based on the actual number of days in the calendar month and the actual number of days in the calendar year) elapsed since the preceding payment of interest was made and the remainder of such payment is allocable to principal.</w:t>
      </w:r>
    </w:p>
    <w:p>
      <w:pPr>
        <w:spacing w:after="0" w:line="183"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Simple Interest Receivable</w:t>
      </w:r>
      <w:r>
        <w:rPr>
          <w:rFonts w:ascii="Times New Roman" w:cs="Times New Roman" w:eastAsia="Times New Roman" w:hAnsi="Times New Roman"/>
          <w:sz w:val="18"/>
          <w:szCs w:val="18"/>
          <w:color w:val="auto"/>
        </w:rPr>
        <w:t>” means a Receivable under which the portion of the payment allocable to interest and the portion allocable to principal is determined in accordance with the Simple Interest Method.</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Tranche</w:t>
      </w:r>
      <w:r>
        <w:rPr>
          <w:rFonts w:ascii="Times New Roman" w:cs="Times New Roman" w:eastAsia="Times New Roman" w:hAnsi="Times New Roman"/>
          <w:sz w:val="18"/>
          <w:szCs w:val="18"/>
          <w:color w:val="auto"/>
        </w:rPr>
        <w:t>” shall mean that portion of the Loans which bear interest by reference to the SOFR Yield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Yield Rate</w:t>
      </w:r>
      <w:r>
        <w:rPr>
          <w:rFonts w:ascii="Times New Roman" w:cs="Times New Roman" w:eastAsia="Times New Roman" w:hAnsi="Times New Roman"/>
          <w:sz w:val="18"/>
          <w:szCs w:val="18"/>
          <w:color w:val="auto"/>
        </w:rPr>
        <w:t xml:space="preserve">” shall mean, with respect to a Lender on any day, the sum of (i) the greater of (x) Adjusted Term SOFR and (y) the Floor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Drawn Margin.</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Affiliate</w:t>
      </w:r>
      <w:r>
        <w:rPr>
          <w:rFonts w:ascii="Times New Roman" w:cs="Times New Roman" w:eastAsia="Times New Roman" w:hAnsi="Times New Roman"/>
          <w:sz w:val="18"/>
          <w:szCs w:val="18"/>
          <w:color w:val="auto"/>
        </w:rPr>
        <w:t>” means any Affiliate of CPS that is not an Excluded Subsidiary.</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&amp; Poor’s</w:t>
      </w:r>
      <w:r>
        <w:rPr>
          <w:rFonts w:ascii="Times New Roman" w:cs="Times New Roman" w:eastAsia="Times New Roman" w:hAnsi="Times New Roman"/>
          <w:sz w:val="18"/>
          <w:szCs w:val="18"/>
          <w:color w:val="auto"/>
        </w:rPr>
        <w:t>” means S&amp;P Global Ratings, a S&amp;P Global Inc. business, or its successor.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w:t>
      </w:r>
      <w:r>
        <w:rPr>
          <w:rFonts w:ascii="Times New Roman" w:cs="Times New Roman" w:eastAsia="Times New Roman" w:hAnsi="Times New Roman"/>
          <w:sz w:val="18"/>
          <w:szCs w:val="18"/>
          <w:color w:val="auto"/>
        </w:rPr>
        <w:t>” means any one of the 50 states of the United States of America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27" w:name="page128"/>
    <w:bookmarkEnd w:id="127"/>
    <w:p>
      <w:pPr>
        <w:jc w:val="both"/>
        <w:ind w:left="180" w:right="20" w:firstLine="135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a majority of the outstanding shares of capital stock or other equity interests having ordinary voting power for the election of directors or their equivalent is at the time owned by such Person directly or through one or more Subsidiaries.</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Obligation</w:t>
      </w:r>
      <w:r>
        <w:rPr>
          <w:rFonts w:ascii="Times New Roman" w:cs="Times New Roman" w:eastAsia="Times New Roman" w:hAnsi="Times New Roman"/>
          <w:sz w:val="18"/>
          <w:szCs w:val="18"/>
          <w:color w:val="auto"/>
        </w:rPr>
        <w:t>” has the meaning given to such term in Section 9-102(a)(77) of the UCC.</w:t>
      </w:r>
    </w:p>
    <w:p>
      <w:pPr>
        <w:spacing w:after="0" w:line="225"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 Description</w:t>
      </w:r>
      <w:r>
        <w:rPr>
          <w:rFonts w:ascii="Times New Roman" w:cs="Times New Roman" w:eastAsia="Times New Roman" w:hAnsi="Times New Roman"/>
          <w:sz w:val="18"/>
          <w:szCs w:val="18"/>
          <w:color w:val="auto"/>
        </w:rPr>
        <w:t>” shall mean the written description of the Electronic Vault System provided by the Electronic Vault Provider and referenced in the Electronic Collateral Control Agreement.</w:t>
      </w:r>
    </w:p>
    <w:p>
      <w:pPr>
        <w:spacing w:after="0" w:line="162"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Net Worth</w:t>
      </w:r>
      <w:r>
        <w:rPr>
          <w:rFonts w:ascii="Times New Roman" w:cs="Times New Roman" w:eastAsia="Times New Roman" w:hAnsi="Times New Roman"/>
          <w:sz w:val="18"/>
          <w:szCs w:val="18"/>
          <w:color w:val="auto"/>
        </w:rPr>
        <w:t>” means, with respect to any fiscal quarter, the total shareholders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equity of CPS and its consolidated Subsidiaries that, in accordance with GAAP, is reflected on the consolidated balance sheet of CPS and its consolidated Subsidiaries as of the end of such fiscal quarter, minus the aggregate amount of </w:t>
      </w:r>
      <w:r>
        <w:rPr>
          <w:rFonts w:ascii="Times New Roman" w:cs="Times New Roman" w:eastAsia="Times New Roman" w:hAnsi="Times New Roman"/>
          <w:sz w:val="18"/>
          <w:szCs w:val="18"/>
          <w:color w:val="FF0000"/>
          <w:strike w:val="1"/>
        </w:rPr>
        <w:t>CPS's</w:t>
      </w:r>
      <w:r>
        <w:rPr>
          <w:rFonts w:ascii="Times New Roman" w:cs="Times New Roman" w:eastAsia="Times New Roman" w:hAnsi="Times New Roman"/>
          <w:sz w:val="18"/>
          <w:szCs w:val="18"/>
          <w:u w:val="single" w:color="auto"/>
          <w:color w:val="0000FF"/>
        </w:rPr>
        <w:t>CPS’</w:t>
      </w:r>
      <w:r>
        <w:rPr>
          <w:rFonts w:ascii="Times New Roman" w:cs="Times New Roman" w:eastAsia="Times New Roman" w:hAnsi="Times New Roman"/>
          <w:sz w:val="18"/>
          <w:szCs w:val="18"/>
          <w:color w:val="auto"/>
        </w:rPr>
        <w:t xml:space="preserve"> and its consolidated Subsidiaries' intangible assets, including without limitation, goodwill, franchises, licenses, patents, trademarks, tradenames, copyrights and service marks.</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left="180"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the Term SOFR Reference Rate for an applicable tenor of three (3) months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(including pursuant to the immediately preceding proviso) shall ever be less than the Floor Rate, then Term SOFR shall be deemed to be the Floor Rate.</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 ([***] basis points) per annum.</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 for an applicable tenor of three (3) months.</w:t>
      </w:r>
    </w:p>
    <w:p>
      <w:pPr>
        <w:spacing w:after="0" w:line="162"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on which the Lenders shall have received payment and performance of all Secured Obligations and disbursed such payments in accordance with the Loan Documents and any and all other amounts due and payable to the Lenders pursuant to the Loan Documents have been paid in full.</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Tested Vintage (6 Months Seasoned)</w:t>
      </w:r>
      <w:r>
        <w:rPr>
          <w:rFonts w:ascii="Times New Roman" w:cs="Times New Roman" w:eastAsia="Times New Roman" w:hAnsi="Times New Roman"/>
          <w:sz w:val="18"/>
          <w:szCs w:val="18"/>
          <w:color w:val="auto"/>
        </w:rPr>
        <w:t>” means, as of any date of determination, the four (4) most recent Vintage Pool comprised of receivables for which there is at least six (6) months of loss history for each such Vintage Pool.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8" w:name="page129"/>
    <w:bookmarkEnd w:id="128"/>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Tested Vintage (12 Months Seasoned)</w:t>
      </w:r>
      <w:r>
        <w:rPr>
          <w:rFonts w:ascii="Times New Roman" w:cs="Times New Roman" w:eastAsia="Times New Roman" w:hAnsi="Times New Roman"/>
          <w:sz w:val="18"/>
          <w:szCs w:val="18"/>
          <w:color w:val="auto"/>
        </w:rPr>
        <w:t>” means, as of any date of determination, the four (4) most recent Vintage Pools comprised of receivables for which there is at least twelve (12) months of loss history for each such Vintage Pool.</w:t>
      </w:r>
    </w:p>
    <w:p>
      <w:pPr>
        <w:spacing w:after="0" w:line="176"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Texas Franchise Tax</w:t>
      </w:r>
      <w:r>
        <w:rPr>
          <w:rFonts w:ascii="Times New Roman" w:cs="Times New Roman" w:eastAsia="Times New Roman" w:hAnsi="Times New Roman"/>
          <w:sz w:val="18"/>
          <w:szCs w:val="18"/>
          <w:color w:val="auto"/>
        </w:rPr>
        <w:t>” means any tax imposed by the State of Texas pursuant to Tex. Tax Code Ann. § 171.001 (Vernon 2005), as amended by Tex. H.B. 3, 79th Leg., 3d C.S. (2006).</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TFC</w:t>
      </w:r>
      <w:r>
        <w:rPr>
          <w:rFonts w:ascii="Times New Roman" w:cs="Times New Roman" w:eastAsia="Times New Roman" w:hAnsi="Times New Roman"/>
          <w:sz w:val="18"/>
          <w:szCs w:val="18"/>
          <w:color w:val="auto"/>
        </w:rPr>
        <w:t>” means TFC Enterprises LLC., a Delaware limited liability company.</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Intermediary</w:t>
      </w:r>
      <w:r>
        <w:rPr>
          <w:rFonts w:ascii="Times New Roman" w:cs="Times New Roman" w:eastAsia="Times New Roman" w:hAnsi="Times New Roman"/>
          <w:sz w:val="18"/>
          <w:szCs w:val="18"/>
          <w:color w:val="auto"/>
        </w:rPr>
        <w:t>” means FDI Collateral Management or other subsidiary or affiliate of DealerTrack,</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Advance Rate</w:t>
      </w:r>
      <w:r>
        <w:rPr>
          <w:rFonts w:ascii="Times New Roman" w:cs="Times New Roman" w:eastAsia="Times New Roman" w:hAnsi="Times New Roman"/>
          <w:sz w:val="18"/>
          <w:szCs w:val="18"/>
          <w:color w:val="auto"/>
        </w:rPr>
        <w:t>” means, as of any date of determination, the Class B Advance Rate.</w:t>
      </w:r>
    </w:p>
    <w:p>
      <w:pPr>
        <w:spacing w:after="0" w:line="225"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Borrowing Base</w:t>
      </w:r>
      <w:r>
        <w:rPr>
          <w:rFonts w:ascii="Times New Roman" w:cs="Times New Roman" w:eastAsia="Times New Roman" w:hAnsi="Times New Roman"/>
          <w:sz w:val="18"/>
          <w:szCs w:val="18"/>
          <w:color w:val="auto"/>
        </w:rPr>
        <w:t>” means, as of any date of determination, an amount equal to the sum of (i) the product of (A) the Total Advance Rate multiplied by (B) the Net Eligible Receivables Balance, plus (ii) any Collections representing principal payment amounts on deposit in the Collection Account as of such date of determination (but only to the extent that such Collections have already been applied to reduce the Principal Balance of the related Receivables as reflected in the Net Eligible Receivables Balance).</w:t>
      </w:r>
    </w:p>
    <w:p>
      <w:pPr>
        <w:spacing w:after="0" w:line="183"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of Servicing Percentage</w:t>
      </w:r>
      <w:r>
        <w:rPr>
          <w:rFonts w:ascii="Times New Roman" w:cs="Times New Roman" w:eastAsia="Times New Roman" w:hAnsi="Times New Roman"/>
          <w:sz w:val="18"/>
          <w:szCs w:val="18"/>
          <w:color w:val="auto"/>
        </w:rPr>
        <w:t>” means with respect to the transfer of servicing rights with respect to all Contracts originated, serviced or purchased by CPS, at any time and in a single transaction, the aggregate outstanding principal balance of such Contracts with respect to which servicing rights have been transferred from CPS to another party at such time, expressed as a percentage of all such Contracts serviced by CPS without giving effect to any such servicing transfer.</w:t>
      </w:r>
    </w:p>
    <w:p>
      <w:pPr>
        <w:spacing w:after="0" w:line="183"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 Borrowing Request</w:t>
      </w:r>
      <w:r>
        <w:rPr>
          <w:rFonts w:ascii="Times New Roman" w:cs="Times New Roman" w:eastAsia="Times New Roman" w:hAnsi="Times New Roman"/>
          <w:sz w:val="18"/>
          <w:szCs w:val="18"/>
          <w:color w:val="auto"/>
        </w:rPr>
        <w:t xml:space="preserve">” means a request by the Borrower in accordance with the terms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2.03(b)</w:t>
      </w:r>
      <w:r>
        <w:rPr>
          <w:rFonts w:ascii="Times New Roman" w:cs="Times New Roman" w:eastAsia="Times New Roman" w:hAnsi="Times New Roman"/>
          <w:sz w:val="18"/>
          <w:szCs w:val="18"/>
          <w:color w:val="auto"/>
        </w:rPr>
        <w:t>, in connection with which the Borrower is not drawing any additional Loans but is instead resizing the outstanding principal amount of the Class A Loans and the Class B Loans to their respective Pro Rata Loan Shares.</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Receipt</w:t>
      </w:r>
      <w:r>
        <w:rPr>
          <w:rFonts w:ascii="Times New Roman" w:cs="Times New Roman" w:eastAsia="Times New Roman" w:hAnsi="Times New Roman"/>
          <w:sz w:val="18"/>
          <w:szCs w:val="18"/>
          <w:color w:val="auto"/>
        </w:rPr>
        <w:t xml:space="preserve">” means a trust receipt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Sale and Servicing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Turbo Event</w:t>
      </w:r>
      <w:r>
        <w:rPr>
          <w:rFonts w:ascii="Times New Roman" w:cs="Times New Roman" w:eastAsia="Times New Roman" w:hAnsi="Times New Roman"/>
          <w:sz w:val="18"/>
          <w:szCs w:val="18"/>
          <w:color w:val="auto"/>
        </w:rPr>
        <w:t>” means any of (i) the failure of the Borrower to comply with its obligations to engage in a Securitization Transaction beyond 180 days after the most recent Securitization Closing Date or (ii) as of the last day of each Accrual Period during the Term, the failure of CPS to have sold to the Purchaser, for inclusion in the Collateral, not less than [***] of all automobile receivables originated or acquired from Dealers by CPS or its Affiliates in the ordinary course of business consistent with CPS’s past securitizations (and which may include receivables acquired by CPS in a clean-up call of existing CPS-sponsored securitizations, but which shall exclude receivables acquired in any bulk purchase and any receivables originated under CPS’s “Zeta” program) during such Accrual Period and the immediately preceding Accrual Period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measured on a two-month rolling basis).</w:t>
      </w:r>
    </w:p>
    <w:p>
      <w:pPr>
        <w:spacing w:after="0" w:line="1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the relevant jurisdiction, as amended from</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time to time.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29" w:name="page130"/>
    <w:bookmarkEnd w:id="129"/>
    <w:p>
      <w:pPr>
        <w:jc w:val="both"/>
        <w:ind w:left="180"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3"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left="180"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left="180"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Vintage Pool</w:t>
      </w:r>
      <w:r>
        <w:rPr>
          <w:rFonts w:ascii="Times New Roman" w:cs="Times New Roman" w:eastAsia="Times New Roman" w:hAnsi="Times New Roman"/>
          <w:sz w:val="18"/>
          <w:szCs w:val="18"/>
          <w:color w:val="auto"/>
        </w:rPr>
        <w:t xml:space="preserve">” means as of any date of determination occurring between the Original Closing Date and the Maturity Date, the pool of all automobile receivables originated, or acquired from Dealers, by the Seller during any completed calendar quarter from the eighth preceding calendar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Vintage Pool is either a Tested Vintage (6 Months Seasoned) or a Tested Vintage (12 Months Seasoned).</w:t>
      </w:r>
    </w:p>
    <w:p>
      <w:pPr>
        <w:spacing w:after="0" w:line="180"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w:t>
      </w:r>
      <w:r>
        <w:rPr>
          <w:rFonts w:ascii="Times New Roman" w:cs="Times New Roman" w:eastAsia="Times New Roman" w:hAnsi="Times New Roman"/>
          <w:sz w:val="18"/>
          <w:szCs w:val="18"/>
          <w:color w:val="auto"/>
        </w:rPr>
        <w:t>” means Class A Yield or Class B Yield, as applicable.</w:t>
      </w:r>
    </w:p>
    <w:p>
      <w:pPr>
        <w:spacing w:after="0" w:line="225" w:lineRule="exact"/>
        <w:rPr>
          <w:sz w:val="20"/>
          <w:szCs w:val="20"/>
          <w:color w:val="auto"/>
        </w:rPr>
      </w:pPr>
    </w:p>
    <w:p>
      <w:pPr>
        <w:jc w:val="both"/>
        <w:ind w:left="180"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xml:space="preserve">. The definitions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All references herein to Articles, Sections, Exhibits and Schedules shall be deemed references to Articles and Sections of, and Exhibits and Schedules to, this Agreement unless the context shall otherwise require. Except as otherwise expressly provided herein, (a) any reference in this Agreement to any Loan Document means such document as amended, restated, supplemented or otherwise modified from time to time and (b) all terms of an accounting or financial nature shall be construed in accordance with GAAP,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0" w:name="page131"/>
    <w:bookmarkEnd w:id="130"/>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300"/>
        <w:spacing w:after="0" w:line="252" w:lineRule="auto"/>
        <w:tabs>
          <w:tab w:leader="none" w:pos="21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(including, without limitation, the conditions precedent to the initial Class A Loans and each subsequent Class A Loan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relying upon the representations and warranties herein set forth, (i) each Committed Lender that is a Class A Lender agrees, severally and not jointly, to make Class A Loans to the Borrower, and (ii) each Conduit Lender that is a Class A Lender, if any, may, in its sole discretion, agree to make, and if such Conduit Lender determines that it will not fund, or, if there is no Conduit Lender with respect to any Lender Group, the Committed Lender with respect to such Lender Group, agrees to make, Class A Loans to the Borrower, in each case at any time and from time to time on or after the date hereof, up to the amount of its respective Class A Commitment, and until the earlier of the Funding Termination Date and the termination of the Commitment of such Conduit Lender in accordance with the terms hereof. Each Class A Loan requested by the Borrower shall be made ratably by each Lender Group based on the respective Class A Commitment Percentage of such Lender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Class A Loan shall be required or permitted to be made by any Class A Lender in a Lender Group on any date if, after giving effect to such Class A Loan (or portion thereof), (i) the portion of the applicable Class A Loan Balance outstanding and funded by such Lender Group would exceed the related Class A Commitment for such Lender Group, (ii) such Class A Lender’s Applicable Percentage of the Class A Loan Balance would exceed such Class A Lender’s Applicable Percentage of the Class A Maximum Loan Balance, (iii) the Class A Loan Balance outstanding would exceed the Class A Maximum Loan Balance in effect, or (</w:t>
      </w:r>
      <w:r>
        <w:rPr>
          <w:rFonts w:ascii="Times New Roman" w:cs="Times New Roman" w:eastAsia="Times New Roman" w:hAnsi="Times New Roman"/>
          <w:sz w:val="18"/>
          <w:szCs w:val="18"/>
          <w:color w:val="auto"/>
          <w:strike w:val="1"/>
        </w:rPr>
        <w:t>iii</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such Class A Loan would result in a Class A Borrowing Base Deficiency. Within the limits set forth in the preceding sentence and subject to the terms, conditions and limitations set forth herein, the Borrower may borrow, pay or prepay and reborrow Class A Loans.</w:t>
      </w:r>
    </w:p>
    <w:p>
      <w:pPr>
        <w:spacing w:after="0" w:line="191"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(including, without limitation, the conditions precedent to the initial Class B Loan and each subsequent Class B Loan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relying upon the representations and warranties herein set forth, each Committed Lender that is a Class B Lender agrees, severally and not jointly, to make Class B Loans to the Borrower, at any time and from time to time on or after the date hereof, up to the amount of its respective Class B Commitment, and until the earlier of the Funding Termination Date and the termination of the Commitment of such Lender in accordance with the terms hereof. Each Class B Loan requested by the Borrower shall be made ratably by each Lender Group based on the respective Class B Commitment Percentage of such Lender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Class B Loan shall be required or permitted to be made by any Class B Lender if, after giving effect to such Class B Loan, (i) the portion of the aggregate Class B Loan Balance outstanding and funded by such Class B Lender would exceed the related Class B Commitment for such Class B Lender, (ii) such Class B Lender’s Applicable Percentage of the Class B Loan Balance would exceed such Class B Lender’s Applicable Percentage of the Class B Maximum Loan Balance, (iii) the Class B Loan Balance outstanding would exceed the Class B Maximum Loan Balance in effect, or (</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xml:space="preserve">) such Class B Loan would result in a Class B Borrowing Base Deficiency. Within the limits set forth in the preceding sentence and subject to the terms, conditions and limitations set forth herein, the Borrower may borrow, pay or prepay and reborrow Class B Loans. </w:t>
      </w:r>
      <w:r>
        <w:rPr>
          <w:rFonts w:ascii="Times New Roman" w:cs="Times New Roman" w:eastAsia="Times New Roman" w:hAnsi="Times New Roman"/>
          <w:sz w:val="18"/>
          <w:szCs w:val="18"/>
          <w:u w:val="single" w:color="auto"/>
          <w:color w:val="0000FF"/>
        </w:rPr>
        <w:t>Notwithstanding anything to the contrary in this Section 2.01(b), the Class B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at their sole discretion, for Funding Dates following the Restatement Closing Date, reallocate as between the Class B Lenders only, the amount each Class B Lender is required to fund under this Section 2.01(b) on any Funding Date until the percentage of the portion of the aggregate Class B Loan Balance, after giving effect to any Class B Loans being made on such Funding Date, of each Class B Lender equals each such Class B Lender’s Applicable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-3046730</wp:posOffset>
            </wp:positionV>
            <wp:extent cx="889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2" w:right="1299" w:bottom="1440" w:gutter="0" w:footer="0" w:header="0"/>
        </w:sectPr>
      </w:pPr>
    </w:p>
    <w:bookmarkStart w:id="131" w:name="page132"/>
    <w:bookmarkEnd w:id="131"/>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9"/>
        <w:spacing w:after="0" w:line="253" w:lineRule="auto"/>
        <w:tabs>
          <w:tab w:leader="none" w:pos="21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(i) with respect to the Class A Loans, made as part of a borrowing of Class A Loans on the applicable Funding Date made by the Class A Lenders ratably in accordance with their respective Class A Commitments and (ii) with respect to the Class B Loans, made as part of a borrowing of Class B Loans on the applicable Funding Date made by the Class B Lenders ratably in accordance with their respective Class B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Lender to make any Loan shall not in itself relieve any other Lender of its obligation to lend hereunder (it being understood, however, that no Lender, other than a Committed Lender for a Conduit Lender, shall be responsible for the failure of any other Lender to make any Loan required to be made by such other Lender). The Loans shall be in an aggregate principal amount that is (i) not less than [***] (or such other minimum amount as the Borrower and the Administrative Agent shall agree from time to time) or (ii) not more than the remaining available balance of the aggregate Commitments.</w:t>
      </w:r>
    </w:p>
    <w:p>
      <w:pPr>
        <w:spacing w:after="0" w:line="194"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1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at its option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exercise of such option shall not affect the obligation of the Borrower to repay such Loan in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left="180" w:firstLine="1299"/>
        <w:spacing w:after="0" w:line="254" w:lineRule="auto"/>
        <w:tabs>
          <w:tab w:leader="none" w:pos="21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A Lender shall make each Loan to be made by it hereunder on the proposed date thereof by wire transfer of immediately available funds to such account in New York City as the Administrative Agent may designate not later than 10:00 a.m., New York City time. (x) In the case of the Class A Loans, the Administrative Agent shall remit the amounts so received, or (y) in the case of the Class B Loans, the Class B Lenders shall remit, in each case (i) (net of amounts required to be deposited in the Reserve Account pursuant to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by wire transfer of immediately available funds to an account in the name of the Borrower, maintained in the United States and designated by the Borrower in the applicable Borrowing Request or (ii) if Loans will not be made on such date because any condition precedent herein specified shall not have been met, return the amounts so received to the respective Lenders.</w:t>
      </w:r>
    </w:p>
    <w:p>
      <w:pPr>
        <w:spacing w:after="0" w:line="191"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Funding Agent for a Class A Lender Group prior to the date any Class A Loans are to made hereunder that such Class A Lender Group will not make available to the Administrative Agent such Class A Lender Group’s Class A Loan, the Administrative Agent may assume that such Class A Lender Group has made its Class A Loan available to the Administrative Agent on the date of such Class A Loans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above, and the Administrative Agent may, in reliance upon such assumption, make available to the Borrower on such date a corresponding amount. If the Administrative Agent shall have so made funds available then, to the extent that such Class A Lender Group shall not have made its Class A Loan available to the Administrative Agent, the related Committed Lender(s)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Class A Loans in question and (ii) in the case of such Committed Lender(s), a rate determined by the Administrative Agent to represent its cost of overnight or short term funds (which determination shall be conclusive absent manifest error). If such Committed Lender(s) shall repay to the Administrative Agent such corresponding amount, such amount shall constitute such Committed Lender’s Class A Loan for purposes of this Agreement.</w:t>
      </w:r>
    </w:p>
    <w:p>
      <w:pPr>
        <w:spacing w:after="0" w:line="195"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Conduit Lender shall have any obligation to pay any amount required to be paid by it hereunder in excess of any amount available to such Conduit Lender after paying or making provision for the payment of its commercial paper notes; and each of the other parties hereto agrees that it will not have a claim under Section 101(5) of the Bankruptcy Code if and to the extent that any such payment obligation owed to it by Conduit Lender exceeds the amount available to such Conduit Lender to pay such amount after paying or making provision for the payment of its commercial paper notes.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2" w:name="page133"/>
    <w:bookmarkEnd w:id="132"/>
    <w:p>
      <w:pPr>
        <w:jc w:val="both"/>
        <w:ind w:left="180" w:right="20" w:firstLine="1299"/>
        <w:spacing w:after="0" w:line="255" w:lineRule="auto"/>
        <w:tabs>
          <w:tab w:leader="none" w:pos="21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requested by the Borrower as of the Funding Date shall be funded by each Lender as determined by the Administrative Agent in its discretion as either a SOFR Tranche, a CP Tranche or a Base Rate Tranche, as applicable; provided, that no Conduit Lender shall fund any related Loan as a SOFR Tranche or a Base Rate Tranche and no Lender that is not a Conduit Lender shall fund any related Loan as a CP Tranche; provided, further, that if any related Loan is not funded by the Conduit Lenders as a CP Tranche, then such Loan shall be funded by the respective Committed Lenders as a SOFR Tranche or a Base Rate Tranche hereunder; provided further that all Lenders that are not Conduit Lenders shall fund Loans on the same basis.</w:t>
      </w:r>
    </w:p>
    <w:p>
      <w:pPr>
        <w:spacing w:after="0" w:line="189"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Borrowing Procedure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0" w:firstLine="1300"/>
        <w:spacing w:after="0" w:line="251" w:lineRule="auto"/>
        <w:tabs>
          <w:tab w:leader="none" w:pos="212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request a Loan, the Borrower shall deliver by hand or by facsimile or other electronic means to the Administrative Agent a duly completed Borrowing Request, together with the related Addition Notice, Borrowing Base Certificate and data tape or other electronic file containing information regarding the Related Receivables to be transferred on such Funding Date not later than 1:00 p.m., New York City time, one Business Day before the proposed Funding Date; provided, that the Borrower shall use its best efforts to provide the Funding Agent for the Class B Lenders, two Business Days before any proposed Funding Date for a Class B Loan, with a notification that includes an estimate of the proposed Funding Date and the proposed amount of the Class B Loan to be funded on such proposed Funding Date (which such notice may be delivered via electronic mail). Such Borrowing Base Certificate shall provide the current calculation of the Total Borrowing Base (i) if such Funding Date is a Settlement Date, as of the end of business on the related Determination Date, or (ii) if such Funding Date is not a Settlement Date, as of the end of business on the Determination Date for the most recent Settlement Date (or as of the end of business on such date as agreed by the Administrative Agent). The Borrower shall submit (y) in the case of the Class A Lenders, no more than two (2) Borrowing Requests (and accompanying Addition Notices and Borrowing Base Certificates) per week, unless otherwise agreed by the Administrative Agent, and (y) in the case of the Class B Lenders, no more than one (1) Borrowing Requests (and accompanying Addition Notices and Borrowing Base Certificates) per week, unless otherwise agreed by the Class B Lenders. Each Borrowing Request shall be irrevocable, shall be signed by or on behalf of the Borrower and shall specify the following information: (i) the Funding Date of such Loans (which shall be a Business Day); (ii) the number and location of the account to which funds are to be disbursed (which shall be an account that complies with the requirements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2.02(c)</w:t>
      </w:r>
      <w:r>
        <w:rPr>
          <w:rFonts w:ascii="Times New Roman" w:cs="Times New Roman" w:eastAsia="Times New Roman" w:hAnsi="Times New Roman"/>
          <w:sz w:val="18"/>
          <w:szCs w:val="18"/>
          <w:color w:val="auto"/>
        </w:rPr>
        <w:t>); (iii) the aggregate amount of Class A Loans and Class B Loans to be borrowed; provided, that, in connection with any Borrowing Request pursuant to which Class B Loans will be funded, after giving effect to such funding the total outstanding principal amount of Class A Loans and Class B Loans shall be in their respective Pro Rata Loan Shares; and</w:t>
      </w:r>
    </w:p>
    <w:p>
      <w:pPr>
        <w:spacing w:after="0" w:line="8" w:lineRule="exact"/>
        <w:rPr>
          <w:rFonts w:ascii="Times New Roman" w:cs="Times New Roman" w:eastAsia="Times New Roman" w:hAnsi="Times New Roman"/>
          <w:sz w:val="18"/>
          <w:szCs w:val="18"/>
          <w:color w:val="auto"/>
        </w:rPr>
      </w:pPr>
    </w:p>
    <w:p>
      <w:pPr>
        <w:jc w:val="both"/>
        <w:ind w:left="180" w:right="20" w:firstLine="4"/>
        <w:spacing w:after="0" w:line="253" w:lineRule="auto"/>
        <w:tabs>
          <w:tab w:leader="none" w:pos="4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 Rata Loan Shares for the Class A Loans and the Class B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 contrary specification in any Borrowing Request, each requested borrowing of Loans shall comply with the requirements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 Administrative Agent shall promptly advise the Lenders of any notice given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the contents thereof), and of each Lender’s portion of the requested Loans.</w:t>
      </w:r>
    </w:p>
    <w:p>
      <w:pPr>
        <w:spacing w:after="0" w:line="188" w:lineRule="exact"/>
        <w:rPr>
          <w:rFonts w:ascii="Times New Roman" w:cs="Times New Roman" w:eastAsia="Times New Roman" w:hAnsi="Times New Roman"/>
          <w:sz w:val="18"/>
          <w:szCs w:val="18"/>
          <w:color w:val="auto"/>
        </w:rPr>
      </w:pPr>
    </w:p>
    <w:p>
      <w:pPr>
        <w:jc w:val="both"/>
        <w:ind w:left="180" w:firstLine="1299"/>
        <w:spacing w:after="0" w:line="253" w:lineRule="auto"/>
        <w:tabs>
          <w:tab w:leader="none" w:pos="21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1:00 p.m., New York City time, one (1) Business Day prior to any Pro Rata Loan Share Breach Date, the Borrower shall deliver by hand or by electronic mail to the Administrative Agent a duly completed True-Up Borrowing Request, together with the related Borrowing Base Certificate (which such Borrowing Base Certificate may, for the avoidance of doubt, be the Borrowing Base Certificate used on the most recent of the most recent Funding Date or Settlement Date). In connection with a True-Up Borrowing Request, the Borrower shall not draw any additional Class A Loans or Class B Loans but will instead adjust the outstanding principal amount of the Class A Loans and Class B Loans to their respective Pro Rata Loan Shares. In connection with such adjustment and pursuant to the related True-Up Borrowing Request, the Class B Lenders shall wire funds directly to the Class A Lenders in reduction of the outstanding principal amount of the Class A Loans. Each True-Up Borrowing Request shall be irrevocable, shall be signed by or on behalf of the Borrower and shall specify the following information: (i) the related Pro </w:t>
      </w:r>
      <w:r>
        <w:rPr>
          <w:rFonts w:ascii="Times New Roman" w:cs="Times New Roman" w:eastAsia="Times New Roman" w:hAnsi="Times New Roman"/>
          <w:sz w:val="18"/>
          <w:szCs w:val="18"/>
          <w:color w:val="FF0000"/>
          <w:strike w:val="1"/>
        </w:rPr>
        <w:t>Rate</w:t>
      </w:r>
      <w:r>
        <w:rPr>
          <w:rFonts w:ascii="Times New Roman" w:cs="Times New Roman" w:eastAsia="Times New Roman" w:hAnsi="Times New Roman"/>
          <w:sz w:val="18"/>
          <w:szCs w:val="18"/>
          <w:u w:val="single" w:color="auto"/>
          <w:color w:val="0000FF"/>
        </w:rPr>
        <w:t>Rata</w:t>
      </w:r>
      <w:r>
        <w:rPr>
          <w:rFonts w:ascii="Times New Roman" w:cs="Times New Roman" w:eastAsia="Times New Roman" w:hAnsi="Times New Roman"/>
          <w:sz w:val="18"/>
          <w:szCs w:val="18"/>
          <w:color w:val="auto"/>
        </w:rPr>
        <w:t xml:space="preserve"> Loan Share Breach Date; (ii) the number and location of the account to which funds are to be disbursed; (iii) the aggregate amount by which the outstanding principal amount of the Class A Loans is being reduced and the aggregate amount by which the outstanding principal amount of the Class B Loans is being increased; and (iv) the Pro Rata Loan Shares for the Class A Loans and the Class B Loans.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3" w:name="page134"/>
    <w:bookmarkEnd w:id="133"/>
    <w:p>
      <w:pPr>
        <w:jc w:val="both"/>
        <w:ind w:left="180" w:firstLine="1300"/>
        <w:spacing w:after="0" w:line="266" w:lineRule="auto"/>
        <w:tabs>
          <w:tab w:leader="none" w:pos="21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Borrowing Request, the Borrower shall direct the Administrative Agent to deposit in (or to direct the Account Bank to credit to) the Reserve Account such amount as required to ensure that the </w:t>
      </w:r>
      <w:r>
        <w:rPr>
          <w:rFonts w:ascii="Times New Roman" w:cs="Times New Roman" w:eastAsia="Times New Roman" w:hAnsi="Times New Roman"/>
          <w:sz w:val="18"/>
          <w:szCs w:val="18"/>
          <w:color w:val="FF0000"/>
          <w:strike w:val="1"/>
        </w:rPr>
        <w:t>that</w:t>
      </w:r>
      <w:r>
        <w:rPr>
          <w:rFonts w:ascii="Times New Roman" w:cs="Times New Roman" w:eastAsia="Times New Roman" w:hAnsi="Times New Roman"/>
          <w:sz w:val="18"/>
          <w:szCs w:val="18"/>
          <w:color w:val="auto"/>
        </w:rPr>
        <w:t xml:space="preserve"> amounts on deposit in the Reserve Account equal the Required Reserve Account Amount.</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Borrowing Request, the Administrative Agent shall promptly notify each Funding Agent of the portion of such Loan to be funded by the related Lender Group and the proposed Funding Date. Each Funding Agent shall be responsible for verifying and allocating such portion with respect to its Lender Group. Each Funding Agent shall promptly advise its related Conduit Lender, if any, or if the related Lender Group does not include a Conduit Lender, the relevant Committed Lender(s) comprising such Lender Group, of any notice given pursuant to this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Each Conduit Lender may, or its related Committed Lender shall, or if there is no Conduit Lender with respect to such Lender Group, the Committed Lender(s) with respect to such Lender Group shall, in each case, subject to satisfaction of the applicable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make the amount of its Loan available to the Borrower by wire transfer of such funds to the account specified in the Borrowing Request.</w:t>
      </w:r>
    </w:p>
    <w:p>
      <w:pPr>
        <w:spacing w:after="0" w:line="188"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300"/>
        <w:spacing w:after="0" w:line="266" w:lineRule="auto"/>
        <w:tabs>
          <w:tab w:leader="none" w:pos="21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Administrative Agent for the account of each Lender the then unpaid principal amount of Class A Loan and Class B Loan of such Lender on the Maturity Date.</w:t>
      </w:r>
    </w:p>
    <w:p>
      <w:pPr>
        <w:spacing w:after="0" w:line="175"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21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spacing w:after="0" w:line="179" w:lineRule="exact"/>
        <w:rPr>
          <w:rFonts w:ascii="Times New Roman" w:cs="Times New Roman" w:eastAsia="Times New Roman" w:hAnsi="Times New Roman"/>
          <w:sz w:val="18"/>
          <w:szCs w:val="18"/>
          <w:color w:val="auto"/>
        </w:rPr>
      </w:pPr>
    </w:p>
    <w:p>
      <w:pPr>
        <w:jc w:val="both"/>
        <w:ind w:left="180" w:right="20" w:firstLine="1300"/>
        <w:spacing w:after="0" w:line="268" w:lineRule="auto"/>
        <w:tabs>
          <w:tab w:leader="none" w:pos="212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maintain accounts in which it will record (i) the amount of each Loan made hereunder, (ii) whether such Loan is in the form of a Base Rate Tranche, CP Tranche or SOFR Tranche, and (iii) the amount of any sum received by the Administrative Agent hereunder from the Borrower and each Lender’s share thereof. The Administrative Agent shall maintain, solely for purposes of this subsection as agent for the Borrower, at its Corporate Trust Office a register for the recordation of the names and addresses of the Lenders, and the Commitment of, and principal amount of the Loans owing to, each Lender pursuant to the terms hereof from time to time (the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xml:space="preserve">”).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any Lender at any reasonable time and from time to time upon reasonable prior notice. The Loans made pursuant hereto may be assigned or otherwise transferred in whole or in part only by registration of such assignment or transfer in the Register, and no assignment or transfer of Loans made pursuant hereto shall be effective unless such assignment or transfer shall have been recorded in the Register by the Administrative Agent as provided in this Section (and subject to compliance with the assignment provisions set forth in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jc w:val="both"/>
        <w:ind w:left="180" w:right="20" w:firstLine="1300"/>
        <w:spacing w:after="0" w:line="281" w:lineRule="auto"/>
        <w:tabs>
          <w:tab w:leader="none" w:pos="212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absence of manifest error, the entries made in the accounts maintained pursuant to </w:t>
      </w:r>
      <w:r>
        <w:rPr>
          <w:rFonts w:ascii="Times New Roman" w:cs="Times New Roman" w:eastAsia="Times New Roman" w:hAnsi="Times New Roman"/>
          <w:sz w:val="17"/>
          <w:szCs w:val="17"/>
          <w:u w:val="single" w:color="auto"/>
          <w:color w:val="auto"/>
        </w:rPr>
        <w:t>paragraphs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shall be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evidence of the existence and amounts of the obligations therein recorded; provided, however, that the failure of any Lender or the Administrative Agent to maintain such accounts or any error therein shall not in any manner affect the obligations of the Borrower to repay the Loans in accordance with the terms hereof.</w:t>
      </w:r>
    </w:p>
    <w:p>
      <w:pPr>
        <w:spacing w:after="0" w:line="164" w:lineRule="exact"/>
        <w:rPr>
          <w:rFonts w:ascii="Times New Roman" w:cs="Times New Roman" w:eastAsia="Times New Roman" w:hAnsi="Times New Roman"/>
          <w:sz w:val="17"/>
          <w:szCs w:val="17"/>
          <w:color w:val="auto"/>
        </w:rPr>
      </w:pPr>
    </w:p>
    <w:p>
      <w:pPr>
        <w:jc w:val="both"/>
        <w:ind w:left="180" w:right="20" w:firstLine="1299"/>
        <w:spacing w:after="0" w:line="266" w:lineRule="auto"/>
        <w:tabs>
          <w:tab w:leader="none" w:pos="21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hereunder be evidenced by a promissory note. In such event, the Borrower shall execute and deliver to such Lender a promissory note payable to such Lender and its registered assigns and in a form and substance reasonably acceptable to the Administrative Agent and the Borrower.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4" w:name="page135"/>
    <w:bookmarkEnd w:id="134"/>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Commitment Term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The term of the Class A Commitment and the Class B Commitment hereunder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be for a period commencing on the Restatement Closing Date and automatically and without further action terminating on the Funding Termination Date. The Borrower shall pay to the Administrative Agent for the account of each Lender the then unpaid principal amount of each Loan of such Lender on the then-effective Maturity Date.</w:t>
      </w:r>
    </w:p>
    <w:p>
      <w:pPr>
        <w:spacing w:after="0" w:line="180"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300"/>
        <w:spacing w:after="0" w:line="255" w:lineRule="auto"/>
        <w:tabs>
          <w:tab w:leader="none" w:pos="21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the right at any time and from time to time to prepay the Loans (such prepayment to be applied ratably to all Lenders according to the aggregate outstanding principal amount for each Lender), together with accrued interest thereon, in whole or in part, upon at least </w:t>
      </w:r>
      <w:r>
        <w:rPr>
          <w:rFonts w:ascii="Times New Roman" w:cs="Times New Roman" w:eastAsia="Times New Roman" w:hAnsi="Times New Roman"/>
          <w:sz w:val="18"/>
          <w:szCs w:val="18"/>
          <w:color w:val="FF0000"/>
          <w:strike w:val="1"/>
        </w:rPr>
        <w:t>two</w:t>
      </w:r>
      <w:r>
        <w:rPr>
          <w:rFonts w:ascii="Times New Roman" w:cs="Times New Roman" w:eastAsia="Times New Roman" w:hAnsi="Times New Roman"/>
          <w:sz w:val="18"/>
          <w:szCs w:val="18"/>
          <w:u w:val="single" w:color="auto"/>
          <w:color w:val="0000FF"/>
        </w:rPr>
        <w:t>five</w:t>
      </w:r>
      <w:r>
        <w:rPr>
          <w:rFonts w:ascii="Times New Roman" w:cs="Times New Roman" w:eastAsia="Times New Roman" w:hAnsi="Times New Roman"/>
          <w:sz w:val="18"/>
          <w:szCs w:val="18"/>
          <w:color w:val="auto"/>
        </w:rPr>
        <w:t xml:space="preserve"> Business Days’ prior written (including electronic) notice to the Administrative Agent and to the Collateral Agent (or telephone notice promptly confirmed by written (including electronic) notice)</w:t>
      </w:r>
      <w:r>
        <w:rPr>
          <w:rFonts w:ascii="Times New Roman" w:cs="Times New Roman" w:eastAsia="Times New Roman" w:hAnsi="Times New Roman"/>
          <w:sz w:val="18"/>
          <w:szCs w:val="18"/>
          <w:u w:val="single" w:color="auto"/>
          <w:color w:val="0000FF"/>
        </w:rPr>
        <w:t>, which notice shall specify the proposed prepayment date and the amount to be 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(which amount may be stated as an estimate, subject to confirmation of the actual prepayment amount no later than two (2) Business Day’s prior to the proposed prepayment date)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w:t>
      </w:r>
    </w:p>
    <w:p>
      <w:pPr>
        <w:spacing w:after="0" w:line="188"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prepayment shall be in an amount that is an integral multiple of [***] and</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w:t>
      </w:r>
    </w:p>
    <w:p>
      <w:pPr>
        <w:spacing w:after="0" w:line="206" w:lineRule="exact"/>
        <w:rPr>
          <w:rFonts w:ascii="Times New Roman" w:cs="Times New Roman" w:eastAsia="Times New Roman" w:hAnsi="Times New Roman"/>
          <w:sz w:val="18"/>
          <w:szCs w:val="18"/>
          <w:color w:val="auto"/>
        </w:rPr>
      </w:pPr>
    </w:p>
    <w:p>
      <w:pPr>
        <w:jc w:val="both"/>
        <w:ind w:left="840" w:right="20" w:firstLine="1288"/>
        <w:spacing w:after="0" w:line="261" w:lineRule="auto"/>
        <w:tabs>
          <w:tab w:leader="none" w:pos="27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prepayment may occur except in connection with (A) any transfer of Receivables in connection with a Securitization Transaction pursuant to </w:t>
      </w:r>
      <w:r>
        <w:rPr>
          <w:rFonts w:ascii="Times New Roman" w:cs="Times New Roman" w:eastAsia="Times New Roman" w:hAnsi="Times New Roman"/>
          <w:sz w:val="18"/>
          <w:szCs w:val="18"/>
          <w:u w:val="single" w:color="auto"/>
          <w:color w:val="auto"/>
        </w:rPr>
        <w:t>Section 7.01(z)</w:t>
      </w:r>
      <w:r>
        <w:rPr>
          <w:rFonts w:ascii="Times New Roman" w:cs="Times New Roman" w:eastAsia="Times New Roman" w:hAnsi="Times New Roman"/>
          <w:sz w:val="18"/>
          <w:szCs w:val="18"/>
          <w:color w:val="auto"/>
        </w:rPr>
        <w:t xml:space="preserve"> of this Agreement, (B) any required or optional repurchase of Receivables by the Seller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of the Sale and Servicing Agreement or (C) in compliance with </w:t>
      </w:r>
      <w:r>
        <w:rPr>
          <w:rFonts w:ascii="Times New Roman" w:cs="Times New Roman" w:eastAsia="Times New Roman" w:hAnsi="Times New Roman"/>
          <w:sz w:val="18"/>
          <w:szCs w:val="18"/>
          <w:u w:val="single" w:color="auto"/>
          <w:color w:val="auto"/>
        </w:rPr>
        <w:t>Section 2.06(a)(iii)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40" w:firstLine="1288"/>
        <w:spacing w:after="0" w:line="255" w:lineRule="auto"/>
        <w:tabs>
          <w:tab w:leader="none" w:pos="27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prepayment, the Receivables remaining subject to the lien of the Collateral Agent represent not less than [***] of all automobile receivables originated, or acquired from Dealers, by CPS or its Affiliates in the ordinary course of business consistent with CPS’s past securitizations (and which may include receivables acquired by CPS in a clean-up call of existing CPS-sponsored securitizations, but which shall exclude receivables acquired in any bulk purchase) since the Original Closing Date and not otherwise then included in a CPS-sponsored securitization (which, for the avoidance of doubt, shall not include warehouse lines or other credit facilities that are structured as securitizations); and</w:t>
      </w:r>
    </w:p>
    <w:p>
      <w:pPr>
        <w:spacing w:after="0" w:line="188" w:lineRule="exact"/>
        <w:rPr>
          <w:rFonts w:ascii="Times New Roman" w:cs="Times New Roman" w:eastAsia="Times New Roman" w:hAnsi="Times New Roman"/>
          <w:sz w:val="18"/>
          <w:szCs w:val="18"/>
          <w:color w:val="auto"/>
        </w:rPr>
      </w:pPr>
    </w:p>
    <w:p>
      <w:pPr>
        <w:jc w:val="both"/>
        <w:ind w:left="840" w:firstLine="1287"/>
        <w:spacing w:after="0" w:line="258" w:lineRule="auto"/>
        <w:tabs>
          <w:tab w:leader="none" w:pos="27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prepayment may occur (x) unless and until all amounts due and payable on the prior Settlement Date (or, if such prepayment date is also a Settlement Date, on such Settlement Date) in respect of </w:t>
      </w:r>
      <w:r>
        <w:rPr>
          <w:rFonts w:ascii="Times New Roman" w:cs="Times New Roman" w:eastAsia="Times New Roman" w:hAnsi="Times New Roman"/>
          <w:sz w:val="18"/>
          <w:szCs w:val="18"/>
          <w:u w:val="single" w:color="auto"/>
          <w:color w:val="auto"/>
        </w:rPr>
        <w:t>Sections 5.7(a)(i)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the Sale and Servicing Agreement have been paid in full irrespective of whether Available Funds are sufficient for this purpose or (y) if, after giving effect to such prepayment and the release of any related Collateral, a Borrowing Base Deficiency shall exist.</w:t>
      </w:r>
    </w:p>
    <w:p>
      <w:pPr>
        <w:spacing w:after="0" w:line="183"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right="20" w:firstLine="1300"/>
        <w:spacing w:after="0" w:line="253" w:lineRule="auto"/>
        <w:tabs>
          <w:tab w:leader="none" w:pos="21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Borrowing Base Deficiency exists on any date of determination as determined by the Administrative Agent in its sole discretion, then no later than two (2) Business Days following the occurrence of such event the Borrower shall (i) prepay the Class A Loans by an amount equal to the lesser of (A) such Class A Borrowing Base Deficiency and (B) the Class A Loan Balance, and (ii) if a Borrowing Base Deficiency shall remain outstanding after applicable of payments made pursuant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prepay the Class B Loans by an amount equal to the lesser of (A) such Class B Borrowing Base Deficiency and (B) the Class B Loan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shall also be entitled to cure any such deficiency by causing additional Contracts to be transferred to the Borrower. On each Settlement Date as of which any portion of such Borrowing Base Deficiency shall remain outstanding, any amount otherwise payable to the Borrower on such Settlement Date pursuant to </w:t>
      </w:r>
      <w:r>
        <w:rPr>
          <w:rFonts w:ascii="Times New Roman" w:cs="Times New Roman" w:eastAsia="Times New Roman" w:hAnsi="Times New Roman"/>
          <w:sz w:val="18"/>
          <w:szCs w:val="18"/>
          <w:u w:val="single" w:color="auto"/>
          <w:color w:val="auto"/>
        </w:rPr>
        <w:t>Section 5.7(a)(xi)</w:t>
      </w:r>
      <w:r>
        <w:rPr>
          <w:rFonts w:ascii="Times New Roman" w:cs="Times New Roman" w:eastAsia="Times New Roman" w:hAnsi="Times New Roman"/>
          <w:sz w:val="18"/>
          <w:szCs w:val="18"/>
          <w:color w:val="auto"/>
        </w:rPr>
        <w:t xml:space="preserve"> of the Sale and Servicing Agreement shall instead be paid to the Administrative Agent (for the account of the Lenders) on such Settlement Date as a prepayment of the Class A Loan Balance or the Class B Loan Balance, as applicable.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5" w:name="page136"/>
    <w:bookmarkEnd w:id="135"/>
    <w:p>
      <w:pPr>
        <w:jc w:val="both"/>
        <w:ind w:left="180" w:right="20" w:firstLine="1299"/>
        <w:spacing w:after="0" w:line="254" w:lineRule="auto"/>
        <w:tabs>
          <w:tab w:leader="none" w:pos="21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shortfall exists with respect to the amount then required to be on deposit in the Reserve Account, the Borrower shall pay such shortfall amount by paying such amount to the Administrative Agent for deposit to the Reserve Account no later than two (2) Business Days following the occurrence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balance in the Collection Account is sufficient to cure any such shortfall after payment of the items set forth in </w:t>
      </w:r>
      <w:r>
        <w:rPr>
          <w:rFonts w:ascii="Times New Roman" w:cs="Times New Roman" w:eastAsia="Times New Roman" w:hAnsi="Times New Roman"/>
          <w:sz w:val="18"/>
          <w:szCs w:val="18"/>
          <w:u w:val="single" w:color="auto"/>
          <w:color w:val="auto"/>
        </w:rPr>
        <w:t>Sections 5.7(a)(i)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the Sale and Servicing Agreement, as applicable, the Borrower may defer such prepayment until the next date on which funds are to be distributed from the Collection Account pursuant to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Sale and Servicing Agreement. On each Settlement Date as of which any portion of such shortfall amount shall remain outstanding, any amount otherwise payable to the Borrower on such Settlement Date pursuant to </w:t>
      </w:r>
      <w:r>
        <w:rPr>
          <w:rFonts w:ascii="Times New Roman" w:cs="Times New Roman" w:eastAsia="Times New Roman" w:hAnsi="Times New Roman"/>
          <w:sz w:val="18"/>
          <w:szCs w:val="18"/>
          <w:u w:val="single" w:color="auto"/>
          <w:color w:val="auto"/>
        </w:rPr>
        <w:t>Section 5.7(a)(xi)</w:t>
      </w:r>
      <w:r>
        <w:rPr>
          <w:rFonts w:ascii="Times New Roman" w:cs="Times New Roman" w:eastAsia="Times New Roman" w:hAnsi="Times New Roman"/>
          <w:sz w:val="18"/>
          <w:szCs w:val="18"/>
          <w:color w:val="auto"/>
        </w:rPr>
        <w:t xml:space="preserve"> of the Sale and Servicing Agreement shall instead be paid to the Administrative Agent for deposit to the Reserve Account.</w:t>
      </w:r>
    </w:p>
    <w:p>
      <w:pPr>
        <w:spacing w:after="0" w:line="188" w:lineRule="exact"/>
        <w:rPr>
          <w:rFonts w:ascii="Times New Roman" w:cs="Times New Roman" w:eastAsia="Times New Roman" w:hAnsi="Times New Roman"/>
          <w:sz w:val="18"/>
          <w:szCs w:val="18"/>
          <w:color w:val="auto"/>
        </w:rPr>
      </w:pPr>
    </w:p>
    <w:p>
      <w:pPr>
        <w:jc w:val="both"/>
        <w:ind w:left="180" w:right="20" w:firstLine="1299"/>
        <w:spacing w:after="0" w:line="254" w:lineRule="auto"/>
        <w:tabs>
          <w:tab w:leader="none" w:pos="21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Administrative Agent in writing of any prepayment. The Administrative Agent shall promptly notify each Funding Agent (which will promptly notify its related Lender Groups) of any notice of prepayment and of the amount of the related Lender Group’s ratable portion of such prepayment (based on such Lender Group’s Commitment Percentage). Each Funding Agent shall, promptly after receipt of such prepayment notice but in any case no later than 12:00 p.m., New York City time, on the second Business Day prior to the proposed prepayment date, inform the Administrative Agent as to the Yield payable with respect to its related Lender Group’s portion of the prepayment, and the Administrative Agent shall inform the Borrower of the aggregate Yield payable with respect to such prepayment amount no later than 12:00 p.m., New York City time, on the Business Day prior to the proposed prepayment date.</w:t>
      </w:r>
    </w:p>
    <w:p>
      <w:pPr>
        <w:spacing w:after="0" w:line="188"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 prepayment of the Loans pursuant to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2.06(c)</w:t>
      </w:r>
      <w:r>
        <w:rPr>
          <w:rFonts w:ascii="Times New Roman" w:cs="Times New Roman" w:eastAsia="Times New Roman" w:hAnsi="Times New Roman"/>
          <w:sz w:val="18"/>
          <w:szCs w:val="18"/>
          <w:color w:val="auto"/>
        </w:rPr>
        <w:t xml:space="preserve"> shall reduce the Maximum Loan Balance, reduce or terminate the Commitments or terminate the obligation of the Borrower to pay the Facility Fee Amount.</w:t>
      </w:r>
    </w:p>
    <w:p>
      <w:pPr>
        <w:spacing w:after="0" w:line="1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INTEREST AND FEES</w:t>
      </w:r>
    </w:p>
    <w:p>
      <w:pPr>
        <w:spacing w:after="0" w:line="207"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300"/>
        <w:spacing w:after="0" w:line="253" w:lineRule="auto"/>
        <w:tabs>
          <w:tab w:leader="none" w:pos="21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Sections 3.01(c)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each Class A Loan funded or maintained by a Conduit Lender during the related Interest Period shall bear daily interest at the applicable Class A CP Yield Rate plus any applicable Default Fee. Each Loan funded or maintained by an Alternate Lender during the related Interest Period as a SOFR Tranche shall bear daily interest at the applicable SOFR Yield Rate plus any applicable Default Fee. Each Loan funded or maintained by an Alternate Lender during the related Interest Period as a Base Rate Tranche shall bear daily interest at the applicable Base Yield Rate plus any applicable Default Fee. Each Funding Agent shall give written notice to the Administrative Agent and the Borrower of the applicable Yield (and a calculation of such amount in reasonable detail, including the applicable CP Cost of Funds Rate, if any) for each Loan made by its Lender Group by 11:00 a.m., New York City time, on the third (3rd) Business Day preceding each Settlement Date, and otherwise upon reasonable request by the Borrower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Yield will in no event be higher than the maximum rate permitted by law.</w:t>
      </w:r>
    </w:p>
    <w:p>
      <w:pPr>
        <w:spacing w:after="0" w:line="191" w:lineRule="exact"/>
        <w:rPr>
          <w:rFonts w:ascii="Times New Roman" w:cs="Times New Roman" w:eastAsia="Times New Roman" w:hAnsi="Times New Roman"/>
          <w:sz w:val="18"/>
          <w:szCs w:val="18"/>
          <w:color w:val="auto"/>
        </w:rPr>
      </w:pPr>
    </w:p>
    <w:p>
      <w:pPr>
        <w:jc w:val="both"/>
        <w:ind w:left="180" w:right="20" w:firstLine="1299"/>
        <w:spacing w:after="0" w:line="261" w:lineRule="auto"/>
        <w:tabs>
          <w:tab w:leader="none" w:pos="21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each Loan (in the form of Yield) shall be payable on each Settlement Date except as otherwise provided in this Agreement. The interest rates applicable to the Loans shall be determined by the Administrative Agent in accordance with the applicable provisions hereof,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6" w:name="page137"/>
    <w:bookmarkEnd w:id="136"/>
    <w:p>
      <w:pPr>
        <w:jc w:val="both"/>
        <w:ind w:left="180" w:firstLine="1299"/>
        <w:spacing w:after="0" w:line="253" w:lineRule="auto"/>
        <w:tabs>
          <w:tab w:leader="none" w:pos="21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continuation of an Event of Default, the Yield then in effect at such time shall include the applicable Default Fee in accordance with the definition thereof and the definition of the Class A Lender Daily Yield and Class B Lender Daily Yield,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Yield will in no event be higher than the maximum rate permitted by law. Interest at the Default Fee shall accrue from the initial date of such Event of Default until such Event of Default is waived or ceases to continue, and shall be payable upon demand. In the event any interest is charged to, collected from or received from or on behalf of the Borrower by the Lenders pursuant hereto or thereto in excess of such maximum lawful rate, then the excess of such payment over that maximum shall be applied first, to the payment of Class A Lender Daily Yield, second, to the payment of Class B Lender Daily Yield, third, to the payment of amounts then due and owing by the Borrower to the Secured Parties under this Agreement (in each case other than in respect of principal of and interest on the Loans) and fourth, to the reduction of the outstanding principal amount of the Loans of the Borrower.</w:t>
      </w:r>
    </w:p>
    <w:p>
      <w:pPr>
        <w:spacing w:after="0" w:line="192"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firstLine="1300"/>
        <w:spacing w:after="0" w:line="282" w:lineRule="auto"/>
        <w:tabs>
          <w:tab w:leader="none" w:pos="2124" w:val="left"/>
        </w:tabs>
        <w:numPr>
          <w:ilvl w:val="0"/>
          <w:numId w:val="10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On the Amendment No.4 Closing Date, the Borrower shall pay to the Administrative Agent a renewal fee in the amount of the Class A Renewal Fee Amount.</w:t>
      </w:r>
    </w:p>
    <w:p>
      <w:pPr>
        <w:spacing w:after="0" w:line="161" w:lineRule="exact"/>
        <w:rPr>
          <w:rFonts w:ascii="Times New Roman" w:cs="Times New Roman" w:eastAsia="Times New Roman" w:hAnsi="Times New Roman"/>
          <w:sz w:val="18"/>
          <w:szCs w:val="18"/>
          <w:color w:val="0000FF"/>
        </w:rPr>
      </w:pPr>
    </w:p>
    <w:p>
      <w:pPr>
        <w:jc w:val="both"/>
        <w:ind w:left="180" w:firstLine="1300"/>
        <w:spacing w:after="0" w:line="261" w:lineRule="auto"/>
        <w:tabs>
          <w:tab w:leader="none" w:pos="2124" w:val="left"/>
        </w:tabs>
        <w:numPr>
          <w:ilvl w:val="0"/>
          <w:numId w:val="10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prior to the first Funding Date for a Class B Loan following the Restatement</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Amendment No.4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Closing Date, the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the Servicer jointly and severally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pay to the Class B Lender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upfront fee in the amount of the Class B Upfront Fee Amount (which Class B Upfront Fee Amount, for the avoidance of doubt, may be netted out of the Class B Loan made on such Funding Date).</w:t>
      </w:r>
    </w:p>
    <w:p>
      <w:pPr>
        <w:spacing w:after="0" w:line="179" w:lineRule="exact"/>
        <w:rPr>
          <w:rFonts w:ascii="Times New Roman" w:cs="Times New Roman" w:eastAsia="Times New Roman" w:hAnsi="Times New Roman"/>
          <w:sz w:val="18"/>
          <w:szCs w:val="18"/>
          <w:color w:val="0000FF"/>
        </w:rPr>
      </w:pPr>
    </w:p>
    <w:p>
      <w:pPr>
        <w:jc w:val="both"/>
        <w:ind w:left="180" w:firstLine="1299"/>
        <w:spacing w:after="0" w:line="266" w:lineRule="auto"/>
        <w:tabs>
          <w:tab w:leader="none" w:pos="2124" w:val="left"/>
        </w:tabs>
        <w:numPr>
          <w:ilvl w:val="0"/>
          <w:numId w:val="10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 the Purchaser, the Seller and the Servicer shall jointly and severally pay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cause to be paid each Lender’s reasonable out-of-pocket expenses, including its legal fees, in accordance with and subject to </w:t>
      </w:r>
      <w:r>
        <w:rPr>
          <w:rFonts w:ascii="Times New Roman" w:cs="Times New Roman" w:eastAsia="Times New Roman" w:hAnsi="Times New Roman"/>
          <w:sz w:val="18"/>
          <w:szCs w:val="18"/>
          <w:u w:val="single" w:color="auto"/>
          <w:color w:val="000000"/>
        </w:rPr>
        <w:t>Section 9.05</w:t>
      </w:r>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FF"/>
        </w:rPr>
      </w:pPr>
    </w:p>
    <w:p>
      <w:pPr>
        <w:jc w:val="both"/>
        <w:ind w:left="180" w:firstLine="1300"/>
        <w:spacing w:after="0" w:line="253" w:lineRule="auto"/>
        <w:tabs>
          <w:tab w:leader="none" w:pos="2124" w:val="left"/>
        </w:tabs>
        <w:numPr>
          <w:ilvl w:val="0"/>
          <w:numId w:val="10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each Settlement Date on or prior to the Funding Termination Date, the Borrower and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Servicer shall jointly and severally pay or cause to be paid to each Lender a facility fee equal to the Facility Fee Amount for such Settlement Date with respect to such Lender. The Facility Fee Amount due to each Lender shall commence to accrue on the date of this Agreement and shall cease to accrue on the date on which the Commitment of such Lender shall expire or be terminated as provided herein. The Facility Fee Amounts shall be paid, in immediately available funds, to the Administrative Agent for distribution among the Lenders. Once paid, no Facility Fee Amount shall be refundable under any circumstances. At least one Business Day prior to the first Settlement Date following the Restatement Closing Date, the Borrower shall deposit funds into the Collection Account sufficient to pay the Facility Fee Amount payable on such Settlement Date to the extent that funds sufficient to pay such Facility Fee Amount are not then on deposit in the Collection Account.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37" w:name="page138"/>
    <w:bookmarkEnd w:id="137"/>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Increased Costs, etc</w:t>
      </w:r>
      <w:r>
        <w:rPr>
          <w:rFonts w:ascii="Times New Roman" w:cs="Times New Roman" w:eastAsia="Times New Roman" w:hAnsi="Times New Roman"/>
          <w:sz w:val="18"/>
          <w:szCs w:val="18"/>
          <w:color w:val="auto"/>
        </w:rPr>
        <w:t xml:space="preserve">. The Borrower agrees to reimburse each Lender for an increase in the cost of, or any reduction in the amount of any sum receivable by a Lender, including reductions in the rate of return on a Lender’s capital, in respect of making, continuing or maintaining (or of its obligation to make, continue or maintain) any Loans (or otherwise affecting this Agreement, any Funding Agreement or the Loans made by such Lender or participation therein) that arise in connection with any change in, or the introduction, adoption, effectiveness, interpretation, reinterpretation or phase-in, in each case, after the date hereof, of any law or regulation, directive, guideline, accounting rule, decision or request (whether or not having the force of law) of any court, central bank, regulator or other Governmental Authority (including changes imposed on the London interbank market), except for such changes with respect to increased capital costs and Taxes, which are governed by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respectively. Each such demand shall be provided by a Lender to the Borrower in writing and shall state, in reasonable detail, the reasons therefor and the additional amount required fully to compensate the Lender for such increased cost or reduced amount or return. Such additional amounts shall be payable by the Borrower to the Lender within thirty (30) Business Days of its receipt of such notice, and such notice shall, in the absence of manifest error, be conclusive and binding on the Borrower. In determining such additional amount, a Lender may use any method of averaging and attribution that it shall reasonably deem applicable so long as it applies such method to other similar commercial lending transactions. Notwithstanding anything herein to the contrary, (x) the Dodd-Frank Act and all requests, rules, guidelines or directives thereunder or issued in connection therewith and (y) in each case pursuant to Basel III, all requests, rules, guidelines or directives promulgated by the Bank for International Settlements, the Basel Committee on Banking Supervision (or any successor or similar authority) or the United States or foreign regulatory authorities, shall in each case be deemed to be a change in law 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regardless of the date enacted, adopted or issued.</w:t>
      </w:r>
    </w:p>
    <w:p>
      <w:pPr>
        <w:spacing w:after="0" w:line="189"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Increased Capital Costs</w:t>
      </w:r>
      <w:r>
        <w:rPr>
          <w:rFonts w:ascii="Times New Roman" w:cs="Times New Roman" w:eastAsia="Times New Roman" w:hAnsi="Times New Roman"/>
          <w:sz w:val="18"/>
          <w:szCs w:val="18"/>
          <w:color w:val="auto"/>
        </w:rPr>
        <w:t xml:space="preserve">. If any change in, or the introduction, adoption, effectiveness, interpretation or reinterpretation or phase-in, in each case after the date hereof, of any law or regulation, directive, guideline, accounting rule, decision or request (whether or not having the force of law) of any court, central bank, regulator or other Governmental Authority (except for such changes with respect to Taxes, which are governed by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affects or would affect the amount of capital required or reasonably expected to be maintained by a Lender or any Person controlling a Lender and such Lender reasonably determines that the rate of return on its or such controlling Person’s capital as a consequence of its commitment or the purchases of Loans or the maintenance of the Loans, as applicable, by such Lender is reduced to a level below that which such Lender or such controlling Person would have achieved but for the occurrence of any such circumstance, then, in any such case after notice from time to time by such Lender to the Borrower, the Borrower shall pay to such Lender incremental fees sufficient to compensate such Lender or such controlling Person for such reduction in rate of return. A statement of a Lender as to any such additional amount or amounts (including calculations thereof in reasonable detail), in the absence of manifest error, shall be conclusive and binding on the Borrower;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initial payment of such increased commitment fee shall include a payment for accrued amounts due under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prior to such initial payment. In determining such additional amount, a Lender may use any method of averaging and attribution that it shall reasonably deem applicable so long as it applies such method to other similar commercial lending transactions. Notwithstanding anything herein to the contrary, (x) the Dodd-Frank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for purposes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regardless of the date enacted, adopted or issued.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8" w:name="page139"/>
    <w:bookmarkEnd w:id="138"/>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9"/>
        <w:spacing w:after="0" w:line="253" w:lineRule="auto"/>
        <w:tabs>
          <w:tab w:leader="none" w:pos="21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the Borrower of principal of, and interest on, the Class A Loans and the Class B Loans and all other amounts (including fees) payable by the Borrower, the Purchaser, the Seller or the Servicer hereunder or under any other Loan Document shall be made free and clear of and without deduction for any present or future income, excise, stamp or franchise taxes and other taxes, fees, duties, withholdings or other charges of any nature whatsoever imposed by any taxing authority, but excluding Excluded Taxes (such non-excluded items being called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herein to the contrary, the Borrower shall not be required to increase any amounts payable to the Lenders with respect to any Taxes that are imposed on a Lender at the time of acquisition of the Loans by a Lender. In the event that any withholding or deduction from any payment to be made by the Borrower, the Purchaser, the Seller or the Servicer hereunder and/or under any other Loan Document is required in respect of any Taxes pursuant to any applicable law, rule or regulation, then the Borrower, the Purchaser, the Seller or the Servicer, as the case may be, will:</w:t>
      </w:r>
    </w:p>
    <w:p>
      <w:pPr>
        <w:spacing w:after="0" w:line="194"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directly to the relevant authority the full amount required to be so withheld or</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deducted;</w:t>
      </w:r>
    </w:p>
    <w:p>
      <w:pPr>
        <w:spacing w:after="0" w:line="206"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forward to the affected Lender or its agent an official receipt or other documentation evidencing such payment to such authority; and</w:t>
      </w:r>
    </w:p>
    <w:p>
      <w:pPr>
        <w:spacing w:after="0" w:line="161"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affected Lender or its agent such additional amount or amounts as is necessary to ensure that the net amount actually received by the affected Lender will equal the full amount the affected Lender would have received had no such withholding or deduction been required.</w:t>
      </w:r>
    </w:p>
    <w:p>
      <w:pPr>
        <w:spacing w:after="0" w:line="176" w:lineRule="exact"/>
        <w:rPr>
          <w:sz w:val="20"/>
          <w:szCs w:val="20"/>
          <w:color w:val="auto"/>
        </w:rPr>
      </w:pPr>
    </w:p>
    <w:p>
      <w:pPr>
        <w:jc w:val="both"/>
        <w:ind w:left="18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Moreover, if any Taxes are directly asserted against a Lender with respect to any payment received by such Lender or its agent, such Lender or such agent may pay such Taxes and the Borrower, the Purchaser, the Seller or the Servicer will promptly upon receipt of prior written notice stating the amount of such Taxes pay such additional amounts (including any penalties, interest or expenses) as is necessary in order that the net amount received by such person after the payment of such Taxes (including any Taxes on such additional amount) shall equal the amount such Lender would have received had not such Taxes been asserted. The Lenders shall make all reasonable efforts to avoid the imposition of any Taxes that would give rise to an additional payment under this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If the Borrower, the Purchaser, the Seller or the Servicer fails to pay any Taxes when due to the appropriate taxing authority or fails to remit to a Lender or its agent the required receipts or other required documentary evidence, the Borrower, the Purchaser, the Seller or the Servicer, as applicable, shall indemnify such Lender, its Affiliates and its agent, if any, for any Taxes and incremental Taxes, interest or penalties that may become payable by such Lender or its agent as a result of any such failure. For purposes of this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 a distribution hereunder by the agent for a Lender shall be deemed a payment by such Lender.</w:t>
      </w:r>
    </w:p>
    <w:p>
      <w:pPr>
        <w:spacing w:after="0" w:line="187" w:lineRule="exact"/>
        <w:rPr>
          <w:sz w:val="20"/>
          <w:szCs w:val="20"/>
          <w:color w:val="auto"/>
        </w:rPr>
      </w:pPr>
    </w:p>
    <w:p>
      <w:pPr>
        <w:jc w:val="both"/>
        <w:ind w:left="180" w:firstLine="1299"/>
        <w:spacing w:after="0" w:line="253" w:lineRule="auto"/>
        <w:tabs>
          <w:tab w:leader="none" w:pos="21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United States withholding Tax, with respect to payments hereunder or under any other Loan Document shall deliver to the Borrower (with a copy to the Administrative Agent and the Account Bank), prior to the Restatement Closing Date (or upon becoming a Lender) and at any time or times prescribed by Requirements of Law or reasonably requested by Borrower or the Administrative Agent or the Account Bank, such properly completed and executed documentation prescribed by Requirements of Law as will permit such payments to be made without United States withholding or at a reduced rate of withholding. In addition, any Lender, if requested by the Borrower or the Administrative Agent or the Account Bank, shall deliver such other documentation prescribed by Requirements of Law or reasonably requested by the Borrower or the Administrative Agent or the Account Bank as will enable the Borrower or the Administrative Agent or the Account Bank to determine whether or not such Lender is subject to United States backup withholding or information reporting requirements.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39" w:name="page140"/>
    <w:bookmarkEnd w:id="139"/>
    <w:p>
      <w:pPr>
        <w:jc w:val="both"/>
        <w:ind w:left="180" w:right="20" w:firstLine="1300"/>
        <w:spacing w:after="0" w:line="261" w:lineRule="auto"/>
        <w:tabs>
          <w:tab w:leader="none" w:pos="21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if a Lender is entitled to claim an exemption or reduction from United States withholding tax, such Lender agrees with and in favor of the Administrative Agent, to deliver to Borrower (with a copy to the Administrative Agent and the Account Bank) one of the following before receiving its first payment under this Agreement:</w:t>
      </w:r>
    </w:p>
    <w:p>
      <w:pPr>
        <w:spacing w:after="0" w:line="179"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is entitled to claim an exemption from, or a reduction of, withholding tax under a United States tax treaty, a properly completed and executed copy of IRS Form W 8BEN;</w:t>
      </w:r>
    </w:p>
    <w:p>
      <w:pPr>
        <w:spacing w:after="0" w:line="161"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is entitled to claim that interest paid under this Agreement is exempt from United States withholding tax because it is effectively connected with a United States trade or business of such Lender, a properly completed and executed copy of IRS Form W 8ECI;</w:t>
      </w:r>
    </w:p>
    <w:p>
      <w:pPr>
        <w:spacing w:after="0" w:line="175"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is entitled to claim that interest paid under this Agreement is exempt from United States withholding tax because such Lender serves as an intermediary, a properly completed and executed copy of IRS Form W 8IMY (with proper attachments); or</w:t>
      </w:r>
    </w:p>
    <w:p>
      <w:pPr>
        <w:spacing w:after="0" w:line="175" w:lineRule="exact"/>
        <w:rPr>
          <w:rFonts w:ascii="Times New Roman" w:cs="Times New Roman" w:eastAsia="Times New Roman" w:hAnsi="Times New Roman"/>
          <w:sz w:val="18"/>
          <w:szCs w:val="18"/>
          <w:color w:val="auto"/>
        </w:rPr>
      </w:pPr>
    </w:p>
    <w:p>
      <w:pPr>
        <w:jc w:val="both"/>
        <w:ind w:left="840" w:firstLine="1288"/>
        <w:spacing w:after="0" w:line="266" w:lineRule="auto"/>
        <w:tabs>
          <w:tab w:leader="none" w:pos="27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executed copy of any other form or forms, including IRS Form W 9, as may be required under the Code or other laws of the United States as a condition to exemption from, or reduction of, United States withholding or backup withholding tax.</w:t>
      </w:r>
    </w:p>
    <w:p>
      <w:pPr>
        <w:spacing w:after="0" w:line="175"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provide new forms (or successor forms) upon the expiration or obsolescence of any previously delivered forms and promptly notify Borrower and the Administrative Agent and the Account Bank of any change in circumstances which would modify or render invalid any claimed exemption or reduction.</w:t>
      </w:r>
    </w:p>
    <w:p>
      <w:pPr>
        <w:spacing w:after="0" w:line="176"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Illegality; Substituted Interest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9"/>
        <w:spacing w:after="0" w:line="253" w:lineRule="auto"/>
        <w:tabs>
          <w:tab w:leader="none" w:pos="21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shall reasonably determine (which determination shall, upon notice thereof to the Administrative Agent, the applicable Funding Agent, the Servicer and the Borrower, be conclusive and binding on the Borrower absent manifest error) that the introduction of or any change in or in the interpretation of any law, rule or regulation makes it unlawful, or any central bank or other Governmental Authority asserts that it is unlawful, for any such Lender to make, continue, or maintain any Loan as the SOFR Tranche of such Loan, the obligation of such Person to make, continue or maintain any such Loan as the SOFR Tranche of such Loan shall, upon such determination, forthwith be suspended, in each case, until such Person shall notify the Administrative Agent, the applicable Funding Agent, the Servicer and the Borrower that the circumstances causing such determination no longer exist, and such Lender shall immediately convert all Loans of any such Lender, as applicable, into the CP Tranche of such Loans, or if the Lender is unable to convert the Loans into the CP Tranche of such Loans, into the Base Rate Tranche of such Loans at the end of the then current Interest Periods with respect thereto or sooner, if required by such law or assertion.</w:t>
      </w:r>
    </w:p>
    <w:p>
      <w:pPr>
        <w:spacing w:after="0" w:line="191" w:lineRule="exact"/>
        <w:rPr>
          <w:rFonts w:ascii="Times New Roman" w:cs="Times New Roman" w:eastAsia="Times New Roman" w:hAnsi="Times New Roman"/>
          <w:sz w:val="18"/>
          <w:szCs w:val="18"/>
          <w:color w:val="auto"/>
        </w:rPr>
      </w:pPr>
    </w:p>
    <w:p>
      <w:pPr>
        <w:jc w:val="both"/>
        <w:ind w:left="180" w:right="20" w:firstLine="1299"/>
        <w:spacing w:after="0" w:line="266" w:lineRule="auto"/>
        <w:tabs>
          <w:tab w:leader="none" w:pos="21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Lender shall incur any loss or expense (including any loss or expense incurred by reason of the liquidation or reemployment of deposits or other funds acquired by such Lender to make, continue or maintain any portion of the principal amount of any Loan as the SOFR Tranche of such Loan) as a result of:</w:t>
      </w:r>
    </w:p>
    <w:p>
      <w:pPr>
        <w:spacing w:after="0" w:line="175"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repayment or prepayment of the principal amount of any portion of the SOFR Tranche on a date other than the scheduled last day of the Interest Period applicable thereto (whether voluntary, mandatory, automatic,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0" w:name="page141"/>
    <w:bookmarkEnd w:id="140"/>
    <w:p>
      <w:pPr>
        <w:jc w:val="both"/>
        <w:ind w:left="840" w:right="20" w:firstLine="1288"/>
        <w:spacing w:after="0" w:line="266" w:lineRule="auto"/>
        <w:tabs>
          <w:tab w:leader="none" w:pos="27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not being made as a Loan under the SOFR Tranche after a request for such a Loan has been made in accordance with the terms contained herein due to a failure of any condition precedent in the control of the Borrower;</w:t>
      </w:r>
    </w:p>
    <w:p>
      <w:pPr>
        <w:spacing w:after="0" w:line="175"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not being continued as a Loan under the SOFR Tranche after a request for such continuation or conversion has been made in accordance with the terms contained herein due to a failure of any condition precedent in the control of the Borrower;</w:t>
      </w:r>
    </w:p>
    <w:p>
      <w:pPr>
        <w:spacing w:after="0" w:line="175"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Loan under the SOFR Tranche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SOFR Tranche other than on the last day of the Interest Period applicable thereto (including as a result of an Event of Default); or</w:t>
      </w:r>
    </w:p>
    <w:p>
      <w:pPr>
        <w:spacing w:after="0" w:line="161" w:lineRule="exact"/>
        <w:rPr>
          <w:rFonts w:ascii="Times New Roman" w:cs="Times New Roman" w:eastAsia="Times New Roman" w:hAnsi="Times New Roman"/>
          <w:sz w:val="18"/>
          <w:szCs w:val="18"/>
          <w:color w:val="auto"/>
        </w:rPr>
      </w:pPr>
    </w:p>
    <w:p>
      <w:pPr>
        <w:jc w:val="both"/>
        <w:ind w:left="840" w:right="20" w:firstLine="1288"/>
        <w:spacing w:after="0" w:line="253" w:lineRule="auto"/>
        <w:tabs>
          <w:tab w:leader="none" w:pos="27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borrow, convert, continue or prepay any SOFR Tranche on the date specified in any notice delivered pursuant hereto; then, upon the written notice of such Lender to the Administrative Agent, the applicable Funding Agent and the Borrower (which shall set forth the basis for such request), the Borrower shall pay to the Administrative Agent for the account of the applicable Funding Agent and by such Funding Agent directly to such Lender or Recipient on the next Settlement Date after receipt of such notice, such amount as will (in the reasonable determination of such Lender) reimburse such Lender for such loss or expense; provided that if there is a shortfall in the payment of such amount on such Settlement Date, the amount of such shortfall shall remain outstanding until paid. Such written notice (which shall include calculations in reasonable detail and the basis for requesting such amounts) shall, in the absence of manifest error, be conclusive and binding on the Borrower.</w:t>
      </w:r>
    </w:p>
    <w:p>
      <w:pPr>
        <w:spacing w:after="0" w:line="194"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9"/>
        <w:spacing w:after="0" w:line="254" w:lineRule="auto"/>
        <w:tabs>
          <w:tab w:leader="none" w:pos="21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the Majority Lenders. No replacement of a Benchmark with a Benchmark Replacement pursuant to this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91" w:lineRule="exact"/>
        <w:rPr>
          <w:rFonts w:ascii="Times New Roman" w:cs="Times New Roman" w:eastAsia="Times New Roman" w:hAnsi="Times New Roman"/>
          <w:sz w:val="18"/>
          <w:szCs w:val="18"/>
          <w:color w:val="auto"/>
        </w:rPr>
      </w:pPr>
    </w:p>
    <w:p>
      <w:pPr>
        <w:jc w:val="both"/>
        <w:ind w:left="180" w:right="20" w:firstLine="1299"/>
        <w:spacing w:after="0" w:line="256" w:lineRule="auto"/>
        <w:tabs>
          <w:tab w:leader="none" w:pos="21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Interest Rate Conforming Changes from time to time and, notwithstanding anything to the contrary herein or in any other Loan Document, any amendments implementing such Interest Rate Conforming Changes will become effective without any further action or consent of any other party to this Agreement or any other Loan Document (except as otherwise set forth in the definition of Interest Rate Conforming Changes).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1" w:name="page142"/>
    <w:bookmarkEnd w:id="141"/>
    <w:p>
      <w:pPr>
        <w:jc w:val="both"/>
        <w:ind w:left="180" w:firstLine="1300"/>
        <w:spacing w:after="0" w:line="252" w:lineRule="auto"/>
        <w:tabs>
          <w:tab w:leader="none" w:pos="21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Interest Rate Conforming Changes in connection with the use, administration, adoption or implementation of a Benchmark Replacement. The Administrative Agent will promptly notify the Borrower of the removal or reinstatement of any tenor of a Benchmark pursuant to this </w:t>
      </w:r>
      <w:r>
        <w:rPr>
          <w:rFonts w:ascii="Times New Roman" w:cs="Times New Roman" w:eastAsia="Times New Roman" w:hAnsi="Times New Roman"/>
          <w:sz w:val="18"/>
          <w:szCs w:val="18"/>
          <w:u w:val="single" w:color="auto"/>
          <w:color w:val="auto"/>
        </w:rPr>
        <w:t>Section 3.07(c)</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None of the Account Bank, the Custodian or the Backup Servicer shall be (i) responsible for making any 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and each Lender will be deemed to waive and release any and all claims against the Account Bank, the Custodian and the Backup Servicer relating to any such determination, decision or election.</w:t>
      </w:r>
    </w:p>
    <w:p>
      <w:pPr>
        <w:spacing w:after="0" w:line="194"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Loan of, conversion to or continuation of Loans to be made, converted or continued during any Benchmark Unavailability Period and, failing that, the Borrower will be deemed to have converted any such request into a request for a Borrowing of or conversion to the Loans to accrue at the Class A CP Yield Rate, with respect to a Conduit Lender if the CP Cost of Funds Rate is available, or otherwise at the Base Yield Rate.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2" w:name="page143"/>
    <w:bookmarkEnd w:id="14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COLLECTIONS AND SETTLEMENT; ACCOUNTS</w:t>
      </w:r>
    </w:p>
    <w:p>
      <w:pPr>
        <w:spacing w:after="0" w:line="207"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Deposit and Application of Collections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300"/>
        <w:spacing w:after="0" w:line="266" w:lineRule="auto"/>
        <w:tabs>
          <w:tab w:leader="none" w:pos="21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cause the Servicer, within two (2) Business Days of receipt thereof, to deposit into the Collection Account all Collections received on each Business Day, in accordance with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of the Sale and Servicing Agreement.</w:t>
      </w:r>
    </w:p>
    <w:p>
      <w:pPr>
        <w:spacing w:after="0" w:line="17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Settlement Date, Available Funds on deposit in the Collection Account shall be distributed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Sale and Servicing Agreement.</w:t>
      </w:r>
    </w:p>
    <w:p>
      <w:pPr>
        <w:spacing w:after="0" w:line="162"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Payments Generally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0" w:right="20" w:firstLine="1299"/>
        <w:spacing w:after="0" w:line="255" w:lineRule="auto"/>
        <w:tabs>
          <w:tab w:leader="none" w:pos="212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(including principal of or interest on any Loans or any Facility Fee Amounts or other amounts) hereunder and under any other Loan Document not later than 12:00 noon, New York City time, on the date when due in immediately available dollars, without setoff, defense or counterclaim. Any funds received after that time will be deemed to have been received on the next Business Day. Each such payment shall be made</w:t>
      </w:r>
    </w:p>
    <w:p>
      <w:pPr>
        <w:spacing w:after="0" w:line="2" w:lineRule="exact"/>
        <w:rPr>
          <w:rFonts w:ascii="Times New Roman" w:cs="Times New Roman" w:eastAsia="Times New Roman" w:hAnsi="Times New Roman"/>
          <w:sz w:val="18"/>
          <w:szCs w:val="18"/>
          <w:color w:val="auto"/>
        </w:rPr>
      </w:pPr>
    </w:p>
    <w:p>
      <w:pPr>
        <w:jc w:val="both"/>
        <w:ind w:left="180" w:right="20" w:firstLine="3"/>
        <w:spacing w:after="0" w:line="253" w:lineRule="auto"/>
        <w:tabs>
          <w:tab w:leader="none" w:pos="43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 is to the Administrative Agent or Class A Lenders, to the Administrative Agent and (y) if such payment is to the Class B Lenders, to the Class B Lenders, in each case at such place as may be designated from time to time by the Administrative Agent or the Class B Lenders, as applicable, in writing to the Borrower and the Lenders. Notwithstanding any provision in this Agreement to the contrary, all payments hereunder and under any other Loan Document that shall be made to the Class B Lenders shall be made directly to the Class B Lenders and not to the Administrative Agent.</w:t>
      </w:r>
    </w:p>
    <w:p>
      <w:pPr>
        <w:spacing w:after="0" w:line="186"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12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whenever any payment (including principal of or interest on any Loans or any Facility Fee Amounts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Facility Fee Amounts, if applicable.</w:t>
      </w:r>
    </w:p>
    <w:p>
      <w:pPr>
        <w:spacing w:after="0" w:line="183"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300"/>
        <w:spacing w:after="0" w:line="252" w:lineRule="auto"/>
        <w:tabs>
          <w:tab w:leader="none" w:pos="21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establish and maintain with the Account Bank a segregated account (the “</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xml:space="preserve">”) in the name of the Borrower, for the benefit of the Collateral Agent, on behalf and for the benefit of the Secured Parties, bearing a designation clearly indicating that the funds deposited therein are held for the benefit of the Collateral Agent on behalf of the Secured Parties. Except as otherwise provided in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the Collateral Agent shall possess all right, title and interest in all funds on deposit from time to time in the Collection Account and in all proceeds thereof. The Collection Account shall be at all times an Eligible Account and under the sole dominion and control of the Collateral Agent for the benefit of the Secured Parties. Funds on deposit in the Collection Account shall be invested at the written direction of the Instructing Party in Eligible Investments. Funds on deposit in the Collection Account on any Business Day, after giving effect to any withdrawals from and deposits to the Collection Account on such Business Day, shall be invested by the Account Bank at the instruction of the Instructing Party in such investments that will mature so that such funds will be available for withdrawal on or prior to the following Business Day. The Account Bank shall have no obligation to invest or reinvest any funds received after 11:00 a.m. (Minneapolis time) on the day of deposit. Instructions to invest or reinvest that are received after 11:00 a.m. (Minneapolis time) will be treated as if received on the following Business Day in Minnesota. The Account Bank shall have the power to sell or liquidate the foregoing investments whenever the Account Bank shall be required to release funds from the Collection Account pursuant to the terms hereof. The Account Bank shall have no responsibility for any investment losses resulting from the investment, reinvestment or liquidation of funds on deposit in the Collection Account taken at the direction of the Instructing Party.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2" w:right="1299" w:bottom="1440" w:gutter="0" w:footer="0" w:header="0"/>
        </w:sectPr>
      </w:pPr>
    </w:p>
    <w:bookmarkStart w:id="143" w:name="page144"/>
    <w:bookmarkEnd w:id="143"/>
    <w:p>
      <w:pPr>
        <w:jc w:val="both"/>
        <w:ind w:left="180" w:right="20" w:firstLine="1299"/>
        <w:spacing w:after="0" w:line="266" w:lineRule="auto"/>
        <w:tabs>
          <w:tab w:leader="none" w:pos="21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Business Day, the investment earnings, if any, since the preceding Business Day on funds on deposit in the Collection Account shall be retained in the Collection Account for application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Sale and Servicing Agreement.</w:t>
      </w:r>
    </w:p>
    <w:p>
      <w:pPr>
        <w:spacing w:after="0" w:line="176"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u w:val="single" w:color="auto"/>
          <w:color w:val="auto"/>
        </w:rPr>
        <w:t>Reserve Account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0" w:firstLine="1299"/>
        <w:spacing w:after="0" w:line="252" w:lineRule="auto"/>
        <w:tabs>
          <w:tab w:leader="none" w:pos="21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establish and maintain with the Account Bank a segregated account (the “</w:t>
      </w:r>
      <w:r>
        <w:rPr>
          <w:rFonts w:ascii="Times New Roman" w:cs="Times New Roman" w:eastAsia="Times New Roman" w:hAnsi="Times New Roman"/>
          <w:sz w:val="18"/>
          <w:szCs w:val="18"/>
          <w:u w:val="single" w:color="auto"/>
          <w:color w:val="auto"/>
        </w:rPr>
        <w:t>Reserve Account</w:t>
      </w:r>
      <w:r>
        <w:rPr>
          <w:rFonts w:ascii="Times New Roman" w:cs="Times New Roman" w:eastAsia="Times New Roman" w:hAnsi="Times New Roman"/>
          <w:sz w:val="18"/>
          <w:szCs w:val="18"/>
          <w:color w:val="auto"/>
        </w:rPr>
        <w:t xml:space="preserve">”) in the name of the Borrower, for the benefit of the Collateral Agent, on behalf and for the benefit of the Secured Parties, bearing a designation clearly indicating that the funds deposited therein are held for the benefit of the Secured Parties. Except as otherwise provided in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the Collateral Agent shall possess all right, title and interest in all funds on deposit from time to time in the Reserve Account and in all proceeds thereof. The Reserve Account shall be at all times an Eligible Account and under the sole dominion and control of the Collateral Agent for the benefit of the Secured Parties. Funds in the Reserve Account shall be withdrawn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of the Sale and Servicing Agreement. Funds on deposit in the Reserve Account on any Business Day, after giving effect to any withdrawals from and deposits to the Reserve Account on such Business Day, shall be invested by the Account Bank at the instruction of the Instructing Party in Eligible Investments that will mature so that such funds will be available for withdrawal on or prior to the following Business Day. The Account Bank shall have no obligation to invest or reinvest any funds received after 11:00 a.m. (Minneapolis time) on the day of deposit. Instructions to invest or reinvest that are received after 11:00 a.m. (Minneapolis time) will be treated as if received on the following Business Day in Minnesota. The Account Bank shall have the power to sell or liquidate the foregoing investments whenever the Account Bank shall be required to release funds from the Reserve Account pursuant to the terms hereof. The Account Bank shall have no responsibility for any investment losses resulting from the investment, reinvestment or liquidation of funds on deposit in the Reserve Account taken at the direction of the Instructing Party.</w:t>
      </w:r>
    </w:p>
    <w:p>
      <w:pPr>
        <w:spacing w:after="0" w:line="193" w:lineRule="exact"/>
        <w:rPr>
          <w:rFonts w:ascii="Times New Roman" w:cs="Times New Roman" w:eastAsia="Times New Roman" w:hAnsi="Times New Roman"/>
          <w:sz w:val="18"/>
          <w:szCs w:val="18"/>
          <w:color w:val="auto"/>
        </w:rPr>
      </w:pPr>
    </w:p>
    <w:p>
      <w:pPr>
        <w:jc w:val="both"/>
        <w:ind w:left="180" w:right="20" w:firstLine="1299"/>
        <w:spacing w:after="0" w:line="261" w:lineRule="auto"/>
        <w:tabs>
          <w:tab w:leader="none" w:pos="21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Business Day, the investment earnings, if any, since the preceding Business Day on funds on deposit in the Reserve Account shall be retained in the Reserve Account to the extent that amounts on deposit in the Reserve Account would otherwise be less than the Required Reserve Account Amount and otherwise shall be deposited in the Collection Account.</w:t>
      </w:r>
    </w:p>
    <w:p>
      <w:pPr>
        <w:spacing w:after="0" w:line="180"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u w:val="single" w:color="auto"/>
          <w:color w:val="auto"/>
        </w:rPr>
        <w:t>Account Income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0" w:firstLine="1299"/>
        <w:spacing w:after="0" w:line="252" w:lineRule="auto"/>
        <w:tabs>
          <w:tab w:leader="none" w:pos="21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income earned on Collateral on deposit in the Pledged Accounts as a result of the investment thereof in accordance with the terms of this Agreement and any distribution thereof will be subject to the applicable U.S. federal tax withholding and reporting laws and regulations. Any and all income earned on Collateral on deposit in the Pledged Accounts as a result of the investment thereof in accordance with the terms of this Agreement shall be treated by the Account Bank and by the Borrower as earned by the Borrower for U.S. federal income tax purposes, and the Account Bank shall, to the extent required by U.S. federal tax laws and regulations, (i) report, or cause to be reported, to the Borrower and to the U.S. Internal Revenue Service, in the year of disbursement (on a calendar year basis in accordance with U.S. federal reporting laws and regulations), the amount of income earned on the Collateral on deposit in the Pledged Accounts (if any) in connection with the investment thereof in accordance with the terms of this Agreement, (ii) be authorized to withhold, or cause to be withheld, from the Collateral on deposit in the Pledged Accounts, including (without limitation) from any and all distributions of Collateral on deposit in the Pledged Accounts, the amount of U.S. federal withholding tax (at the withholding rate then applicable) allocable to the income earned, and the Account Bank intends to withhold the amount of the U.S. federal withholding tax unless it has been provided with evidence (satisfactory to the Account Bank) that an applicable exemption therefrom for the Borrower is available, and (iii) remit, or cause to be remitted, to the U.S. Internal Revenue Service the amount of tax so withheld and report the total amount of such withholding to the Borrower, in each case in accordance with applicable U.S. federal tax withholding and reporting laws and regulations applicable to it.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4" w:name="page145"/>
    <w:bookmarkEnd w:id="144"/>
    <w:p>
      <w:pPr>
        <w:jc w:val="both"/>
        <w:ind w:left="180" w:right="20" w:firstLine="1299"/>
        <w:spacing w:after="0" w:line="256" w:lineRule="auto"/>
        <w:tabs>
          <w:tab w:leader="none" w:pos="21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provide the Account Bank with appropriate W-9 forms for taxpayer identification certifications and any other tax related documentation reasonably requested by the Account Bank. Notwithstanding anything contained herein to the contrary, (i) the obligations of the Account Bank under this paragraph shall survive the termination of this Agreement, provided however, that such obligations shall cease immediately upon the resignation or removal of the Account Bank, and (ii) the obligations of the Borrower under this paragraph shall survive the termination of this Agreement and the resignation or removal of the Account Bank.</w:t>
      </w:r>
    </w:p>
    <w:p>
      <w:pPr>
        <w:spacing w:after="0" w:line="187"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1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Citigroup Inc., its affiliates, and its employees are not in the business of providing tax or legal advice to any taxpayer outside of Citigroup Inc. and its affiliates. The Loan Documents, and any amendments or attachments are not intended or written to be used, and cannot be used or relied upon, by any such taxpayer or for the purpose of avoiding tax penalties. Any such taxpayer should seek advice based on the taxpayer’s particular circumstances for an independent tax advisor.</w:t>
      </w:r>
    </w:p>
    <w:p>
      <w:pPr>
        <w:spacing w:after="0" w:line="1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left="180"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Representations and Warranties of the Borrower</w:t>
      </w:r>
      <w:r>
        <w:rPr>
          <w:rFonts w:ascii="Times New Roman" w:cs="Times New Roman" w:eastAsia="Times New Roman" w:hAnsi="Times New Roman"/>
          <w:sz w:val="18"/>
          <w:szCs w:val="18"/>
          <w:color w:val="auto"/>
        </w:rPr>
        <w:t>. The Borrower makes the following representations and warranties (references to the Borrower hereunder include the Purchaser), on which each Class A Lender relies in making each Class A Loan, on which each Class B Lender relies in making each Class B Loan and on which the Collateral Agent relies in receiving a security interest in the Receivables and the other Collateral related thereto under the Security Agreement. Such representations are made as of the date of this Agreement, as of each applicable Funding Date, and after giving effect to the making of each applicable Loan (as if made as of the making of each such Loan), unless such representation or warranty expressly refers to an earlier date, in which case such representation or warranty is made as of the date of this Agreement and as of the applicable Funding Date, but speaks as of the date referenced therein, and shall survive the issuance of the Loans, the making of each Loan and the grant of a security interest in the Receivables and the other Collateral related thereto to the Collateral Agent for the benefit of the Secured Parties under the Security Agreement.</w:t>
      </w:r>
    </w:p>
    <w:p>
      <w:pPr>
        <w:spacing w:after="0" w:line="194" w:lineRule="exact"/>
        <w:rPr>
          <w:sz w:val="20"/>
          <w:szCs w:val="20"/>
          <w:color w:val="auto"/>
        </w:rPr>
      </w:pPr>
    </w:p>
    <w:p>
      <w:pPr>
        <w:jc w:val="both"/>
        <w:ind w:left="180" w:right="20" w:firstLine="1300"/>
        <w:spacing w:after="0" w:line="261" w:lineRule="auto"/>
        <w:tabs>
          <w:tab w:leader="none" w:pos="21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Purchaser and Borrower under Loan Documents</w:t>
      </w:r>
      <w:r>
        <w:rPr>
          <w:rFonts w:ascii="Times New Roman" w:cs="Times New Roman" w:eastAsia="Times New Roman" w:hAnsi="Times New Roman"/>
          <w:sz w:val="18"/>
          <w:szCs w:val="18"/>
          <w:color w:val="auto"/>
        </w:rPr>
        <w:t>. Each representation and warranty made by Page Eight Funding LLC (including any representation or warranty made by it as Purchaser or Borrower) in the Loan Documents to which it is a party is true and correct and is hereby made for the benefit of the Lenders and the Administrative Agent as if set forth herein in full.</w:t>
      </w:r>
    </w:p>
    <w:p>
      <w:pPr>
        <w:spacing w:after="0" w:line="179"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The Borrower is not in default in the performance, observance or fulfillment of any obligation, covenant or condition in any of the Loan Documents to which it is a party or in any other agreement or instrument to which it is a party or by which it is bound.</w:t>
      </w:r>
    </w:p>
    <w:p>
      <w:pPr>
        <w:spacing w:after="0" w:line="175" w:lineRule="exact"/>
        <w:rPr>
          <w:rFonts w:ascii="Times New Roman" w:cs="Times New Roman" w:eastAsia="Times New Roman" w:hAnsi="Times New Roman"/>
          <w:sz w:val="18"/>
          <w:szCs w:val="18"/>
          <w:color w:val="auto"/>
        </w:rPr>
      </w:pPr>
    </w:p>
    <w:p>
      <w:pPr>
        <w:jc w:val="both"/>
        <w:ind w:left="180" w:right="20" w:firstLine="1299"/>
        <w:spacing w:after="0" w:line="255" w:lineRule="auto"/>
        <w:tabs>
          <w:tab w:leader="none" w:pos="21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Regulations T, U and X</w:t>
      </w:r>
      <w:r>
        <w:rPr>
          <w:rFonts w:ascii="Times New Roman" w:cs="Times New Roman" w:eastAsia="Times New Roman" w:hAnsi="Times New Roman"/>
          <w:sz w:val="18"/>
          <w:szCs w:val="18"/>
          <w:color w:val="auto"/>
        </w:rPr>
        <w:t>. No proceeds of any Loan will be used, directly or indirectly, by the Borrower for the purpose of purchasing or carrying any Margin Stock (as defined in Regulation U of the Board of Governors of the Federal Reserve System) or for the purpose of reducing or retiring any indebtedness that was originally incurred to purchase or carry Margin Stock or for any other purpose which might cause any Loan to be a “purpose credit” within the meaning of Regulation U. Neither the making of any Loan hereunder, nor the use of the proceeds thereof, will violate or otherwise conflict with the provisions of Regulations T, U or X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5" w:name="page146"/>
    <w:bookmarkEnd w:id="145"/>
    <w:p>
      <w:pPr>
        <w:jc w:val="both"/>
        <w:ind w:left="180" w:firstLine="1300"/>
        <w:spacing w:after="0" w:line="252" w:lineRule="auto"/>
        <w:tabs>
          <w:tab w:leader="none" w:pos="21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Borrower is not, nor will the consummation of the transactions contemplated by the Loan Documents cause the Borrower to be, an “investment company” or an “affiliated person” of, or “promoter” or “principal underwriter” for,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or a company “controlled” by an investment company within the meaning of the Investment Company Act. The consummation of the transactions contemplated by the Loan Documents will not violate any provision of the Investment Company Act or any rule, regulation or order issued by the Securities and Exchange Commission thereunder. The Borrower is not a “covered fund” as defined in the Final Regulations implementing Section 619 of the Dodd- Frank Wall Street Reform and Consumer Protection Act in reliance on the exemption from definition of “investment company” under Section 3(c)(5) of the Investment Company Act (although there may be other exemptions available). The transactions contemplated hereby do not create an ownership interest in the Borrower in favor of the Administrative Agent, the Collateral Agent or the Lenders for purposes of the Volcker Rule. Although the Borrower is not relying on Rule 3a-7 under the Investment Company Act for purposes of either (i) exemption from registration under the Investment Company Act or (ii) a determination whether or not the Borrower is a “covered fund” for purposes of the Volcker Rule, for the benefit of the Conduit Lenders (A) each Receivable owned by the Borrower is an “eligible asset” as defined in Rule 3a-7 under the Investment Company Act, and (B) each Class A Loan is an “eligible asset” as defined in Rule 3a-7 under the Investment Company Act. The Borrower is not subject to regulation under any applicable law (other than Regulation X of the Board of Governors of the Federal Reserve System) that limits its ability to incur Indebtedness.</w:t>
      </w:r>
    </w:p>
    <w:p>
      <w:pPr>
        <w:spacing w:after="0" w:line="193"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The information, reports, financial statements, exhibits, schedules, officer’s certificates and other documents furnished by or on behalf of the Borrower to the Purchaser, the Seller, the Servicer, any Class A Lender, any Class B Lender, the Administrative Agent, the Backup Servicer, the Account Bank, the Custodian or any Hired NRSRO in connection with any particular Loan or the negotiation, preparation, delivery or performance of this Agreement, the Loans, the Security Agreement, the Sale and Servicing Agreement and the other Loan Documents or included herein or therein or delivered pursuant hereto or thereto, taken as a whole, are true and correct (or, in the case of projections, are based on good faith reasonable estimates) on the date as of which such information is stated or certified and do not and will not contain an untrue statement of a material fact, or omit to state any material fact necessary to make the statements herein or therein contained, in the light of the circumstances under which they were made, not misleading. All such financial statements fairly present the financial condition of the Borrower as of the date specified therein (subject to normal year-end audit adjustments) all in accordance with GAAP. On such date, the Borrower had no material contingent liabilities, liabilities for taxes, or unusual or anticipated losses from any unfavorable commitments, except as referred to or reflected in such financial statements as of such date. There is no fact known to the Borrower, after due inquiry, that would have a Material Adverse Effect or result in a Material Adverse Change and that has not been disclosed herein, in the other Loan Documents or in a report, financial statement, exhibit, schedule, disclosure letter or other writing filed with the Commission or otherwise furnished to the any Class A Lender, any Class B Lender and each Hired NRSRO for use in connection with the transactions contemplated hereby or thereby.</w:t>
      </w:r>
    </w:p>
    <w:p>
      <w:pPr>
        <w:spacing w:after="0" w:line="193" w:lineRule="exact"/>
        <w:rPr>
          <w:rFonts w:ascii="Times New Roman" w:cs="Times New Roman" w:eastAsia="Times New Roman" w:hAnsi="Times New Roman"/>
          <w:sz w:val="18"/>
          <w:szCs w:val="18"/>
          <w:color w:val="auto"/>
        </w:rPr>
      </w:pPr>
    </w:p>
    <w:p>
      <w:pPr>
        <w:ind w:left="2120" w:hanging="641"/>
        <w:spacing w:after="0"/>
        <w:tabs>
          <w:tab w:leader="none" w:pos="2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Receivables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right="20" w:firstLine="1287"/>
        <w:spacing w:after="0" w:line="270" w:lineRule="auto"/>
        <w:tabs>
          <w:tab w:leader="none" w:pos="2784"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each Funding Date (i) each Related Receivable and the Other Conveyed Property transferred on such Funding Date has been purchased in the ordinary course of business by the Borrower from the Seller in accordance with the terms of the Sale and Servicing Agreement, and the Borrower has thereby irrevocably obtained all right, title and interest in and to, is the sole owner of, and has the legal right to sell, such Related Receivable and the Other Conveyed Property, and such Related Receivable and the Other Conveyed Property has been transferred to the Borrower free and clear of any Lien other than any Lien created by this Agreement or the Security Agreement and in compliance with all Requirements of Law applicable to the Borrower; (ii) no effective financing statement or other similar instrument covering any Related Receivable of the Borrower or any Other Conveyed Property is on file in any recording office, other than in favor of the Collateral Agent for the benefit of the Secured Parties; and (iii) the Collateral includes all Receivables owned by the Borrower.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6" w:name="page147"/>
    <w:bookmarkEnd w:id="146"/>
    <w:p>
      <w:pPr>
        <w:jc w:val="both"/>
        <w:ind w:left="840" w:firstLine="1288"/>
        <w:spacing w:after="0" w:line="253" w:lineRule="auto"/>
        <w:tabs>
          <w:tab w:leader="none" w:pos="27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owns and will own each item that it pledges as Collateral, free and clear of any and all Liens (including, without limitation, any tax liens), other than Liens created pursuant to this Agreement or the Security Agreement. Other than the security interest in the Collateral granted to the Collateral Agent for the benefit of the Secured Parties pursuant to the Security Agreement, the Borrower has not pledged, assigned, sold, granted a security interest in, or otherwise conveyed any of the Collateral. No security agreement, financing statement or other public notice similar in effect with respect to all or any part of the Collateral is or will be on file or of record in any public office or authorized by the Borrower, except (A) such as have been or may hereinafter be filed with respect to the Collateral pursuant to the Loan Documents, and (B) such as shall be terminated as to the Collateral no later than concurrently with the pledge of such Collateral under the Security Agreement. The Borrower is not aware of any judgment or tax lien filings against the Borrower.</w:t>
      </w:r>
    </w:p>
    <w:p>
      <w:pPr>
        <w:spacing w:after="0" w:line="194"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7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Servicing Agreement is effective to create, as collateral security for the obligations of the Seller to the Borrower thereunder, a valid, enforceable and continuing Lien on or ownership interest in the Purchaser Property in favor of the Borrower, to the extent it is a Lien, which Lien has been validly pledged to the Collateral Agent for the benefit of the Secured Parties. The Security Agreement is effective to create, as collateral security for the Loans and the other obligations to the Lenders, a valid and enforceable Lien on the Collateral in favor of the Collateral Agent for the benefit of the Secured Parties.</w:t>
      </w:r>
    </w:p>
    <w:p>
      <w:pPr>
        <w:spacing w:after="0" w:line="187" w:lineRule="exact"/>
        <w:rPr>
          <w:rFonts w:ascii="Times New Roman" w:cs="Times New Roman" w:eastAsia="Times New Roman" w:hAnsi="Times New Roman"/>
          <w:sz w:val="18"/>
          <w:szCs w:val="18"/>
          <w:color w:val="auto"/>
        </w:rPr>
      </w:pPr>
    </w:p>
    <w:p>
      <w:pPr>
        <w:jc w:val="both"/>
        <w:ind w:left="840" w:firstLine="1287"/>
        <w:spacing w:after="0" w:line="261" w:lineRule="auto"/>
        <w:tabs>
          <w:tab w:leader="none" w:pos="27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created pursuant to the Security Agreement (a) constitute a perfected security interest in the Collateral in favor of the Collateral Agent for the benefit of the Secured Parties, (b) are prior to all other Liens of all other Persons that may be perfected by filing a financing statement under Article 9 of the Uniform Commercial Code and (c) are enforceable as such as against all other Persons.</w:t>
      </w:r>
    </w:p>
    <w:p>
      <w:pPr>
        <w:spacing w:after="0" w:line="179" w:lineRule="exact"/>
        <w:rPr>
          <w:rFonts w:ascii="Times New Roman" w:cs="Times New Roman" w:eastAsia="Times New Roman" w:hAnsi="Times New Roman"/>
          <w:sz w:val="18"/>
          <w:szCs w:val="18"/>
          <w:color w:val="auto"/>
        </w:rPr>
      </w:pPr>
    </w:p>
    <w:p>
      <w:pPr>
        <w:jc w:val="both"/>
        <w:ind w:left="840" w:right="20" w:firstLine="1288"/>
        <w:spacing w:after="0" w:line="256" w:lineRule="auto"/>
        <w:tabs>
          <w:tab w:leader="none" w:pos="27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of Contracts evidencing the Receivables to the Collateral Agent or its custodian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the Sale and Servicing Agreement, the Lien created pursuant to the Security Agreement will constitute a perfected security interest in such Contracts in favor of the Collateral Agent for the benefit of the Secured Parties, which Lien will be prior to all other Liens of all other Persons that may be perfected by possession of such Contracts under Article 9 of the Uniform Commercial Code and which Lien is enforceable as such as against all other Persons.</w:t>
      </w:r>
    </w:p>
    <w:p>
      <w:pPr>
        <w:spacing w:after="0" w:line="187"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financing statements and continuation statements and amendments thereto, if any, have been executed and filed that are necessary to continue and maintain the perfection of the first priority security interest of the Collateral Agent for the benefit of the Secured Parties in the Collateral and their proceeds.</w:t>
      </w:r>
    </w:p>
    <w:p>
      <w:pPr>
        <w:spacing w:after="0" w:line="175"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aware of any material judgment, ERISA or tax lien filings against</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w:t>
      </w:r>
    </w:p>
    <w:p>
      <w:pPr>
        <w:spacing w:after="0" w:line="206"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 Termination Date</w:t>
      </w:r>
      <w:r>
        <w:rPr>
          <w:rFonts w:ascii="Times New Roman" w:cs="Times New Roman" w:eastAsia="Times New Roman" w:hAnsi="Times New Roman"/>
          <w:sz w:val="18"/>
          <w:szCs w:val="18"/>
          <w:color w:val="auto"/>
        </w:rPr>
        <w:t>. No Funding Termination Date has occurred; nor has any fact or event occurred which, with the giving of notice or the passage of time or both, would cause a Funding Termination Date to occur.</w:t>
      </w:r>
    </w:p>
    <w:p>
      <w:pPr>
        <w:spacing w:after="0" w:line="17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Properties</w:t>
      </w:r>
      <w:r>
        <w:rPr>
          <w:rFonts w:ascii="Times New Roman" w:cs="Times New Roman" w:eastAsia="Times New Roman" w:hAnsi="Times New Roman"/>
          <w:sz w:val="18"/>
          <w:szCs w:val="18"/>
          <w:color w:val="auto"/>
        </w:rPr>
        <w:t>. The Borrower has good and marketable title to any and all of its properties and assets, subject only to the Liens under the Security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7" w:name="page148"/>
    <w:bookmarkEnd w:id="147"/>
    <w:p>
      <w:pPr>
        <w:jc w:val="both"/>
        <w:ind w:left="180" w:right="20" w:firstLine="1300"/>
        <w:spacing w:after="0" w:line="258" w:lineRule="auto"/>
        <w:tabs>
          <w:tab w:leader="none" w:pos="21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Counsel, etc</w:t>
      </w:r>
      <w:r>
        <w:rPr>
          <w:rFonts w:ascii="Times New Roman" w:cs="Times New Roman" w:eastAsia="Times New Roman" w:hAnsi="Times New Roman"/>
          <w:sz w:val="18"/>
          <w:szCs w:val="18"/>
          <w:color w:val="auto"/>
        </w:rPr>
        <w:t xml:space="preserve">. The Borrower has consulted with its own legal counsel and independent accountants to the extent it has deemed necessary regarding the tax, accounting and regulatory consequences of the transactions contemplated by this Agreement and the other Loan Documents, and the Borrower is not participating in such transactions in reliance on any representations of a Lender or its Affiliates or counsel, with respect to tax, accounting, regulatory or any other matters, other than the representations and warranties of the Lenders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1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Borrower has furnished to the Lenders true, accurate and (except as otherwise consented to by the Lenders) complete copies of all other Loan Documents as of the date of this Agreement, all of which Loan Documents are in full force and effect as of the date of this Agreement and no terms of any such agreements or documents have been amended, modified or otherwise waived as of such date. The Borrower is not in default under any of its obligations under the Loan Documents.</w:t>
      </w:r>
    </w:p>
    <w:p>
      <w:pPr>
        <w:spacing w:after="0" w:line="183"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All of the Receivables included in the Total Borrowing Base are Eligible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206" w:lineRule="exact"/>
        <w:rPr>
          <w:rFonts w:ascii="Times New Roman" w:cs="Times New Roman" w:eastAsia="Times New Roman" w:hAnsi="Times New Roman"/>
          <w:sz w:val="18"/>
          <w:szCs w:val="18"/>
          <w:color w:val="auto"/>
        </w:rPr>
      </w:pPr>
    </w:p>
    <w:p>
      <w:pPr>
        <w:jc w:val="both"/>
        <w:ind w:left="180" w:right="20" w:firstLine="1300"/>
        <w:spacing w:after="0" w:line="253" w:lineRule="auto"/>
        <w:tabs>
          <w:tab w:leader="none" w:pos="21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Fraudulent Conveyance</w:t>
      </w:r>
      <w:r>
        <w:rPr>
          <w:rFonts w:ascii="Times New Roman" w:cs="Times New Roman" w:eastAsia="Times New Roman" w:hAnsi="Times New Roman"/>
          <w:sz w:val="18"/>
          <w:szCs w:val="18"/>
          <w:color w:val="auto"/>
        </w:rPr>
        <w:t>. As of the Restatement Closing Date and immediately after giving effect to each Loan, the fair value of the assets of the Borrower is greater than the fair value of its liabilities (including, without limitation, contingent liabilities of the Borrower), and the Borrower is and will be solvent, does and intends to pay its debts as they mature and does not and will not have an unreasonably small capital to engage in the business in which it is engaged and proposes to engage. The Borrower does not intend to incur, or believe that it has incurred, debts beyond its ability to pay such debts as they mature. The Borrower is not in default under any material obligation to pay money to any Person. The Borrower is not contemplating the commencement of insolvency, bankruptcy, liquidation or consolidation proceedings or the appointment of a receiver, liquidator, conservator, trustee or similar official in respect of the Borrower or any of its assets. The Borrower is not transferring any Collateral with any intent to hinder, delay or defraud any of its creditors. The Borrower will not use the proceeds from the transactions contemplated by this Agreement or any other Loan Document to give any preference to any creditor or class of creditors. The Borrower has given fair consideration and reasonably equivalent value in exchange for the sale of the Receivables by CPS under the Sale and Servicing Agreement.</w:t>
      </w:r>
    </w:p>
    <w:p>
      <w:pPr>
        <w:spacing w:after="0" w:line="189" w:lineRule="exact"/>
        <w:rPr>
          <w:rFonts w:ascii="Times New Roman" w:cs="Times New Roman" w:eastAsia="Times New Roman" w:hAnsi="Times New Roman"/>
          <w:sz w:val="18"/>
          <w:szCs w:val="18"/>
          <w:color w:val="auto"/>
        </w:rPr>
      </w:pPr>
    </w:p>
    <w:p>
      <w:pPr>
        <w:jc w:val="both"/>
        <w:ind w:left="180" w:firstLine="1300"/>
        <w:spacing w:after="0" w:line="253" w:lineRule="auto"/>
        <w:tabs>
          <w:tab w:leader="none" w:pos="21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Business</w:t>
      </w:r>
      <w:r>
        <w:rPr>
          <w:rFonts w:ascii="Times New Roman" w:cs="Times New Roman" w:eastAsia="Times New Roman" w:hAnsi="Times New Roman"/>
          <w:sz w:val="18"/>
          <w:szCs w:val="18"/>
          <w:color w:val="auto"/>
        </w:rPr>
        <w:t>. The Borrower engages in no business activities other than the purchase or acquisition of the Collateral, pledging the Collateral under the Security Agreement, transferring the Collateral in connection with Securitization Transactions and in connection with whole-loan or other asset sales, issuing the Loans and other activities relating to the foregoing to the extent permitted by the organizational documents of the Borrower as in effect on the date hereof, or as amended with the prior written consent of the Administrative Agent. Without limitation of the foregoing, the Borrower is not a borrower of securities other than the Loans or a borrower under any loan or financing agreement, facility or other arrangement other than the facility established pursuant to this Agreement and the other Loan Documents. The Borrower is not party to any agreement, covenant or undertaking that restricts the power or authority of the Borrower, acting without the consent of any other Person, to amend, waive or otherwise modify any provision of this Agreement or any other Loan Document.</w:t>
      </w:r>
    </w:p>
    <w:p>
      <w:pPr>
        <w:spacing w:after="0" w:line="194"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Indebtedness</w:t>
      </w:r>
      <w:r>
        <w:rPr>
          <w:rFonts w:ascii="Times New Roman" w:cs="Times New Roman" w:eastAsia="Times New Roman" w:hAnsi="Times New Roman"/>
          <w:sz w:val="18"/>
          <w:szCs w:val="18"/>
          <w:color w:val="auto"/>
        </w:rPr>
        <w:t>. The Borrower has no Indebtedness, other than Indebtedness incurred under (or contemplated by) the terms of the Loan Documents.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8" w:name="page149"/>
    <w:bookmarkEnd w:id="148"/>
    <w:p>
      <w:pPr>
        <w:jc w:val="both"/>
        <w:ind w:left="180" w:right="20" w:firstLine="1300"/>
        <w:spacing w:after="0" w:line="256"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Borrower does not maintain any Plans. Neither the Borrower nor any Affiliate of the Borrower (other than MFN under the MFN Financial Corporation Pension Plan and CPS under its defined contribution (401(k)) plan) has any obligations or liabilities with respect to any Plans or Multiemployer Plans, nor have any such Persons had any obligations or liabilities with respect to any such Plans during the five-year period prior to the date this representation is made or deemed made. All Plans maintained by the Borrower or any Affiliate are in substantial compliance with all applicable laws (including ERISA). The Borrower is not an employer under any Multiemployer Plan.</w:t>
      </w:r>
    </w:p>
    <w:p>
      <w:pPr>
        <w:spacing w:after="0" w:line="187" w:lineRule="exact"/>
        <w:rPr>
          <w:rFonts w:ascii="Times New Roman" w:cs="Times New Roman" w:eastAsia="Times New Roman" w:hAnsi="Times New Roman"/>
          <w:sz w:val="18"/>
          <w:szCs w:val="18"/>
          <w:color w:val="auto"/>
        </w:rPr>
      </w:pPr>
    </w:p>
    <w:p>
      <w:pPr>
        <w:jc w:val="both"/>
        <w:ind w:left="180" w:right="20" w:firstLine="1300"/>
        <w:spacing w:after="0" w:line="256"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The Borrower has complied with the representations, certifications and covenants made to Standard &amp; Poor’s (the “</w:t>
      </w:r>
      <w:r>
        <w:rPr>
          <w:rFonts w:ascii="Times New Roman" w:cs="Times New Roman" w:eastAsia="Times New Roman" w:hAnsi="Times New Roman"/>
          <w:sz w:val="18"/>
          <w:szCs w:val="18"/>
          <w:u w:val="single" w:color="auto"/>
          <w:color w:val="auto"/>
        </w:rPr>
        <w:t>Hired NRSRO</w:t>
      </w:r>
      <w:r>
        <w:rPr>
          <w:rFonts w:ascii="Times New Roman" w:cs="Times New Roman" w:eastAsia="Times New Roman" w:hAnsi="Times New Roman"/>
          <w:sz w:val="18"/>
          <w:szCs w:val="18"/>
          <w:color w:val="auto"/>
        </w:rPr>
        <w:t>”) in connection with the engagement of the Hired NRSRO to issue and monitor a credit rating on the Class A Loans and the Class B Loans, including any certification provided to the Hired NRSRO in connection with clause (a)(3)(iii) of Rule 17g-5 of the Exchange Act (“</w:t>
      </w: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The Borrower and CPS are the sole parties responsible for compliance with Rule 17g-5 in connection with the issuance and monitoring of the credit ratings on the Class A Loans and the Class B Loans.</w:t>
      </w:r>
    </w:p>
    <w:p>
      <w:pPr>
        <w:spacing w:after="0" w:line="187" w:lineRule="exact"/>
        <w:rPr>
          <w:rFonts w:ascii="Times New Roman" w:cs="Times New Roman" w:eastAsia="Times New Roman" w:hAnsi="Times New Roman"/>
          <w:sz w:val="18"/>
          <w:szCs w:val="18"/>
          <w:color w:val="auto"/>
        </w:rPr>
      </w:pPr>
    </w:p>
    <w:p>
      <w:pPr>
        <w:jc w:val="both"/>
        <w:ind w:left="180" w:right="20" w:firstLine="1299"/>
        <w:spacing w:after="0" w:line="255"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and Anti-Terrorism</w:t>
      </w:r>
      <w:r>
        <w:rPr>
          <w:rFonts w:ascii="Times New Roman" w:cs="Times New Roman" w:eastAsia="Times New Roman" w:hAnsi="Times New Roman"/>
          <w:sz w:val="18"/>
          <w:szCs w:val="18"/>
          <w:color w:val="auto"/>
        </w:rPr>
        <w:t>. The Borrower and its subsidiaries are conducting and will continue to conduct their business in compliance with Anti-Corruption Laws. The Borrower and its subsidiaries have implemented, maintain, and will continue to maintain in effect policies and procedures to ensure compliance by each of the Borrower and its subsidiaries and their respective directors, officers, employees, and agents, with Anti-Corruption Laws. None of the Borrower or any of its parents or subsidiaries, or any of their respective directors, officers, or employees, or to the knowledge of any of the Borrower, the affiliates or agents of the Borrower, or any of their respective subsidiaries, is a Sanctioned Person, or located, organized, or resident in a Sanctioned Jurisdiction.</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55"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Fees and Costs</w:t>
      </w:r>
      <w:r>
        <w:rPr>
          <w:rFonts w:ascii="Times New Roman" w:cs="Times New Roman" w:eastAsia="Times New Roman" w:hAnsi="Times New Roman"/>
          <w:sz w:val="18"/>
          <w:szCs w:val="18"/>
          <w:color w:val="auto"/>
        </w:rPr>
        <w:t>. The execution, delivery or performance of any Loan Document by the Borrower and the consummation of any transaction contemplated thereby shall not result in (i) any fees, costs, expenses or penalties payable by the Borrower or any of its Affiliates or Subsidiaries arising out of or relating to any other instrument, agreement or contract to which the Borrower or such Affiliate or Subsidiary is a party or to which its property is subject (any such instrument, agreement or contract, an “</w:t>
      </w:r>
      <w:r>
        <w:rPr>
          <w:rFonts w:ascii="Times New Roman" w:cs="Times New Roman" w:eastAsia="Times New Roman" w:hAnsi="Times New Roman"/>
          <w:sz w:val="18"/>
          <w:szCs w:val="18"/>
          <w:u w:val="single" w:color="auto"/>
          <w:color w:val="auto"/>
        </w:rPr>
        <w:t>Unrelated Borrower Agreement</w:t>
      </w:r>
      <w:r>
        <w:rPr>
          <w:rFonts w:ascii="Times New Roman" w:cs="Times New Roman" w:eastAsia="Times New Roman" w:hAnsi="Times New Roman"/>
          <w:sz w:val="18"/>
          <w:szCs w:val="18"/>
          <w:color w:val="auto"/>
        </w:rPr>
        <w:t>”) or (ii) any default, event of default, event of termination, event of acceleration, trigger event or similar event under any Unrelated Borrower Agreement or otherwise breach or violate the terms of any Unrelated Borrower Agreement.</w:t>
      </w:r>
    </w:p>
    <w:p>
      <w:pPr>
        <w:spacing w:after="0" w:line="188"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information set forth in each Borrowing Base Certificate delivered pursuant to the terms of the Loan Documents is true and correct in all material respects as of the date delivered.</w:t>
      </w:r>
    </w:p>
    <w:p>
      <w:pPr>
        <w:spacing w:after="0" w:line="161" w:lineRule="exact"/>
        <w:rPr>
          <w:rFonts w:ascii="Times New Roman" w:cs="Times New Roman" w:eastAsia="Times New Roman" w:hAnsi="Times New Roman"/>
          <w:sz w:val="18"/>
          <w:szCs w:val="18"/>
          <w:color w:val="auto"/>
        </w:rPr>
      </w:pPr>
    </w:p>
    <w:p>
      <w:pPr>
        <w:jc w:val="both"/>
        <w:ind w:left="180" w:right="20" w:firstLine="1300"/>
        <w:spacing w:after="0" w:line="256"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Borrower</w:t>
      </w:r>
      <w:r>
        <w:rPr>
          <w:rFonts w:ascii="Times New Roman" w:cs="Times New Roman" w:eastAsia="Times New Roman" w:hAnsi="Times New Roman"/>
          <w:sz w:val="18"/>
          <w:szCs w:val="18"/>
          <w:color w:val="auto"/>
        </w:rPr>
        <w:t>. CPS owns beneficially and of record 100% of the Class A membership interests in the Borrower free and clear of all Liens (other than the Lien granted to the Collateral Agent under the Pledge Agreement), and TFC Enterprises LLC beneficially and of record 100% of the Class B membership interests in the Borrower free and clear of all Liens. The Borrower is a disregarded entity for federal income tax purposes and no election has been made or will be made to treat the Borrower as a corporation or an association taxable as a corporation for federal income tax purposes.</w:t>
      </w:r>
    </w:p>
    <w:p>
      <w:pPr>
        <w:spacing w:after="0" w:line="187"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in the Ordinary Course of Business</w:t>
      </w:r>
      <w:r>
        <w:rPr>
          <w:rFonts w:ascii="Times New Roman" w:cs="Times New Roman" w:eastAsia="Times New Roman" w:hAnsi="Times New Roman"/>
          <w:sz w:val="18"/>
          <w:szCs w:val="18"/>
          <w:color w:val="auto"/>
        </w:rPr>
        <w:t>. Each payment of principal or interest on the Loans by or on behalf of Borrower shall be (i) a payment of a debt incurred by Borrower in the ordinary course of business or financial affairs of Borrower, and (ii) made in the ordinary course of business or financial affairs of Borrower.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49" w:name="page150"/>
    <w:bookmarkEnd w:id="149"/>
    <w:p>
      <w:pPr>
        <w:jc w:val="both"/>
        <w:ind w:left="180"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Representations and Warranties of CPS</w:t>
      </w:r>
      <w:r>
        <w:rPr>
          <w:rFonts w:ascii="Times New Roman" w:cs="Times New Roman" w:eastAsia="Times New Roman" w:hAnsi="Times New Roman"/>
          <w:sz w:val="18"/>
          <w:szCs w:val="18"/>
          <w:color w:val="auto"/>
        </w:rPr>
        <w:t>. CPS makes the following representations and warranties, on which the Borrower relies in purchasing the Receivables and the Other Conveyed Property related thereto and on which each Lender relies in making its Loans. Such representations and warranties are made as of the date of this Agreement, as of each Funding Date and after giving effect to the making of each applicable Loan (as if made as of the making of each such Loan), unless such representation or warranty expressly refers to an earlier date, in which case such representation or warranty is made as of the date of this Agreement and as of the applicable Funding Date, but speaks as of the date referenced therein, and shall survive the sale by CPS to the Purchaser of the Receivables and the Other Conveyed Property related thereto under the Sale and Servicing Agreement, the making of the Class A Loans and the Class B Loans, and the grant of a security interest in the Receivables and the other Collateral related thereto by the Borrower to the Collateral Agent for the benefit of the Secured Parties under the Security Agreement.</w:t>
      </w:r>
    </w:p>
    <w:p>
      <w:pPr>
        <w:spacing w:after="0" w:line="194" w:lineRule="exact"/>
        <w:rPr>
          <w:sz w:val="20"/>
          <w:szCs w:val="20"/>
          <w:color w:val="auto"/>
        </w:rPr>
      </w:pPr>
    </w:p>
    <w:p>
      <w:pPr>
        <w:jc w:val="both"/>
        <w:ind w:left="180" w:firstLine="1300"/>
        <w:spacing w:after="0" w:line="261" w:lineRule="auto"/>
        <w:tabs>
          <w:tab w:leader="none" w:pos="21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CPS under Loan Documents</w:t>
      </w:r>
      <w:r>
        <w:rPr>
          <w:rFonts w:ascii="Times New Roman" w:cs="Times New Roman" w:eastAsia="Times New Roman" w:hAnsi="Times New Roman"/>
          <w:sz w:val="18"/>
          <w:szCs w:val="18"/>
          <w:color w:val="auto"/>
        </w:rPr>
        <w:t>. Each representation and warranty made by CPS in the Loan Documents to which it is a party (including any representation and warranty made by it as Seller or Servicer) is true and correct and is hereby made for the benefit of the Lenders and the Administrative Agent as if set forth in full herein.</w:t>
      </w:r>
    </w:p>
    <w:p>
      <w:pPr>
        <w:spacing w:after="0" w:line="179" w:lineRule="exact"/>
        <w:rPr>
          <w:rFonts w:ascii="Times New Roman" w:cs="Times New Roman" w:eastAsia="Times New Roman" w:hAnsi="Times New Roman"/>
          <w:sz w:val="18"/>
          <w:szCs w:val="18"/>
          <w:color w:val="auto"/>
        </w:rPr>
      </w:pPr>
    </w:p>
    <w:p>
      <w:pPr>
        <w:jc w:val="both"/>
        <w:ind w:left="180" w:firstLine="1299"/>
        <w:spacing w:after="0" w:line="254" w:lineRule="auto"/>
        <w:tabs>
          <w:tab w:leader="none" w:pos="21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CPS is not, nor will the consummation of the transactions contemplated by the Loan Documents cause CPS to be, an “investment company” or an “affiliated person” of, or “promoter” or “principal underwriter” for, an “investment company,” as such terms are defined in the Investment Company Act or a company “controlled by” an investment company within the meaning of the Investment Company Act. The consummation of the transactions contemplated by this Agreement and each other Loan Document to which CPS is a party will not violate any provision of such Act or any rule, regulation or order issued by the Securities and Exchange Commission thereunder. CPS is not subject to regulation under any applicable law (other than Regulation X of the Board of Governors of the Federal Reserve System) that limits its ability to incur Indebtedness.</w:t>
      </w:r>
    </w:p>
    <w:p>
      <w:pPr>
        <w:spacing w:after="0" w:line="191"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 No Default</w:t>
      </w:r>
      <w:r>
        <w:rPr>
          <w:rFonts w:ascii="Times New Roman" w:cs="Times New Roman" w:eastAsia="Times New Roman" w:hAnsi="Times New Roman"/>
          <w:sz w:val="18"/>
          <w:szCs w:val="18"/>
          <w:color w:val="auto"/>
        </w:rPr>
        <w:t>. (i) CPS is not a party to any indenture, loan or credit agreement or any lease or other agreement or instrument or subject to any charter or corporate restriction that could reasonably be expected to have, and no provision of applicable law or governmental regulation has had or would have a Material Adverse Effect and (ii) other than the defaults set forth on Schedule C to the Sale and Servicing Agreement, CPS is not in default under or with respect to any contract, agreement, lease or other instrument to which CPS is a party and which is material to CPS’s condition (financial or otherwise), business, operations or properties, and CPS has not delivered or received any notice of default thereunder, other than such defaults as have been waived and as to which the Lenders have been provided with a copy of such waiver.</w:t>
      </w:r>
    </w:p>
    <w:p>
      <w:pPr>
        <w:spacing w:after="0" w:line="191" w:lineRule="exact"/>
        <w:rPr>
          <w:rFonts w:ascii="Times New Roman" w:cs="Times New Roman" w:eastAsia="Times New Roman" w:hAnsi="Times New Roman"/>
          <w:sz w:val="18"/>
          <w:szCs w:val="18"/>
          <w:color w:val="auto"/>
        </w:rPr>
      </w:pPr>
    </w:p>
    <w:p>
      <w:pPr>
        <w:jc w:val="both"/>
        <w:ind w:left="180" w:right="20" w:firstLine="1300"/>
        <w:spacing w:after="0" w:line="256" w:lineRule="auto"/>
        <w:tabs>
          <w:tab w:leader="none" w:pos="21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Regulations T, U and X</w:t>
      </w:r>
      <w:r>
        <w:rPr>
          <w:rFonts w:ascii="Times New Roman" w:cs="Times New Roman" w:eastAsia="Times New Roman" w:hAnsi="Times New Roman"/>
          <w:sz w:val="18"/>
          <w:szCs w:val="18"/>
          <w:color w:val="auto"/>
        </w:rPr>
        <w:t>. No proceeds of any Loan will be used, directly or indirectly, by CPS for the purpose of purchasing or carrying any Margin Stock (as defined in Regulation U of the Board of Governors of the Federal Reserve System) or for the purpose of reducing or retiring any indebtedness that was originally incurred to purchase or carry Margin Stock or for any other purpose which might cause any Loan to be a “purpose credit” within the meaning of Regulation U. Neither the making of any Loan hereunder, nor the use of the proceeds thereof, will violate or otherwise conflict with the provisions of Regulations T, U or X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0" w:name="page151"/>
    <w:bookmarkEnd w:id="150"/>
    <w:p>
      <w:pPr>
        <w:jc w:val="both"/>
        <w:ind w:left="180" w:firstLine="1299"/>
        <w:spacing w:after="0" w:line="252" w:lineRule="auto"/>
        <w:tabs>
          <w:tab w:leader="none" w:pos="21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Notwithstanding the intent of the parties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Sale and Servicing Agreement, the Sale and Servicing Agreement is effective to create a valid and enforceable Lien on the Receivables and the Other Conveyed Property in favor of the Borrower. The Lien created pursuant to the Sale and Servicing Agreement (a) constitutes a perfected security interest in the Receivables and the Other Conveyed Property in favor of the Borrower, (b) is prior to all other Liens (other than the Lien granted to the Collateral Agent under the Security Agreement), if any, on the Receivables and the Other Conveyed Property, and (c) is enforceable as such as against all Persons. The Security Agreement is effective to create a valid and enforceable Lien on the Collateral in favor of the Collateral Agent. The Pledge Agreement is effective to create a valid and enforceable Lien on the Pledged LLC Interests in favor of the Collateral Agent. The Lien created pursuant to the Security Agreement and the Pledge Agreement, as applicable, (a) constitutes a perfected security interest in the Collateral and the Pledged LLC Interests, as applicable, in favor of the Lenders, (b) is prior to all other Liens, if any, on the Collateral or the Pledged LLC Interests, as applicable, and (c) is enforceable as such as against all Persons. As of the Restatement Closing Date and as of each Settlement Date, all financing statements and continuation statements and amendments thereto have been executed and filed that are necessary to continue and maintain the perfection of the first priority security interest (i) of the Borrower against the Seller in the Receivables and Other Conveyed Property and (ii) of the Collateral Agent against the Borrower in the Collateral and the Pledged LLC Interests.</w:t>
      </w:r>
    </w:p>
    <w:p>
      <w:pPr>
        <w:spacing w:after="0" w:line="195"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The information, reports, financial statements, exhibits, schedules, officer’s certificates and other documents furnished by or on behalf of CPS, the Servicer, the Seller or any of their respective Affiliates to the Borrower, the Purchaser, any Class A Lender, any Class B Lender, the Administrative Agent, the Backup Servicer, the Account Bank, the Custodian or the Hired NRSRO in connection with any particular Loan or the negotiation, preparation, delivery or performance of this Agreement, the Loans and the other Loan Documents or included herein or therein or delivered pursuant hereto or thereto, taken as a whole, are true and correct (or, in the case of projections, are based on good faith reasonable estimates) on the date as of which such information is stated or certified and do not and will not contain an untrue statement of a material fact, or omit to state any material fact necessary to make the statements herein or therein contained, in the light of the circumstances under which they were made, not misleading. All such financial statements fairly present the financial condition of CPS or such Affiliates as of the date specified therein (subject to normal year-end audit adjustments) all in accordance with GAAP. On such date, neither CPS nor any of its Affiliates had any material contingent liabilities, liabilities for taxes, or unusual or anticipated losses from any unfavorable commitments, except as referred to or reflected in such financial statements as of such date. There is no fact known to CPS or any of its Affiliates, after due inquiry, that would have a Material Adverse Effect or result in a Material Adverse Change and that has not been disclosed herein, in the other Loan Documents or in a report, financial statement, exhibit, schedule, disclosure letter or other writing filed with the Commission or otherwise furnished to any Class A Lender, any Class B Lender and the Hired NRSRO for use in connection with the transactions contemplated hereby or thereby.</w:t>
      </w:r>
    </w:p>
    <w:p>
      <w:pPr>
        <w:spacing w:after="0" w:line="193" w:lineRule="exact"/>
        <w:rPr>
          <w:rFonts w:ascii="Times New Roman" w:cs="Times New Roman" w:eastAsia="Times New Roman" w:hAnsi="Times New Roman"/>
          <w:sz w:val="18"/>
          <w:szCs w:val="18"/>
          <w:color w:val="auto"/>
        </w:rPr>
      </w:pPr>
    </w:p>
    <w:p>
      <w:pPr>
        <w:jc w:val="both"/>
        <w:ind w:left="180" w:right="20" w:firstLine="1299"/>
        <w:spacing w:after="0" w:line="255" w:lineRule="auto"/>
        <w:tabs>
          <w:tab w:leader="none" w:pos="21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Neither CPS nor any of its Affiliates maintain any Plans (other than CPS’s defined contribution (401(k)) plan and the MFN Financial Corporation Pension Plan). Neither CPS nor any of its Affiliates has any obligations or liabilities with respect to any Plans or Multiemployer Plans (other than CPS’s defined contribution (401(k)) plan and the MFN Financial Corporation Pension Plan), nor have any such Persons had any obligations or liabilities with respect to any such Plans during the five-year period prior to the date this representation is made or deemed made. All Plans maintained by CPS or any of its Affiliates are in substantial compliance with all applicable laws (including ERISA). CPS is not an employer under any Multiemployer Plan.</w:t>
      </w:r>
    </w:p>
    <w:p>
      <w:pPr>
        <w:spacing w:after="0" w:line="188"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information set forth in each Borrowing Base Certificate delivered pursuant to the terms of the Loan Documents is true and correct in all material respects as of the date delivered.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1" w:name="page152"/>
    <w:bookmarkEnd w:id="151"/>
    <w:p>
      <w:pPr>
        <w:jc w:val="both"/>
        <w:ind w:left="180" w:right="20" w:firstLine="1300"/>
        <w:spacing w:after="0" w:line="258" w:lineRule="auto"/>
        <w:tabs>
          <w:tab w:leader="none" w:pos="21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CPS has complied with the representations, certifications and covenants made to the Hired NRSRO in connection with the engagement of the Hired NRSRO to issue and monitor a credit rating on the Class A Loans and the Class B Loans, including any certification provided to the Hired NRSRO in connection with clause (a)(3)(iii) of Rule 17g-5. The Borrower and CPS are the sole parties responsible for compliance with Rule 17g-5 in connection with the issuance and monitoring of the credit ratings on the Class A Loans and the Class B Loans.</w:t>
      </w:r>
    </w:p>
    <w:p>
      <w:pPr>
        <w:spacing w:after="0" w:line="183" w:lineRule="exact"/>
        <w:rPr>
          <w:rFonts w:ascii="Times New Roman" w:cs="Times New Roman" w:eastAsia="Times New Roman" w:hAnsi="Times New Roman"/>
          <w:sz w:val="18"/>
          <w:szCs w:val="18"/>
          <w:color w:val="auto"/>
        </w:rPr>
      </w:pPr>
    </w:p>
    <w:p>
      <w:pPr>
        <w:jc w:val="both"/>
        <w:ind w:left="180" w:right="20" w:firstLine="1299"/>
        <w:spacing w:after="0" w:line="255" w:lineRule="auto"/>
        <w:tabs>
          <w:tab w:leader="none" w:pos="21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and Anti-Terrorism</w:t>
      </w:r>
      <w:r>
        <w:rPr>
          <w:rFonts w:ascii="Times New Roman" w:cs="Times New Roman" w:eastAsia="Times New Roman" w:hAnsi="Times New Roman"/>
          <w:sz w:val="18"/>
          <w:szCs w:val="18"/>
          <w:color w:val="auto"/>
        </w:rPr>
        <w:t>. CPS and its subsidiaries are conducting and will continue to conduct their business in compliance with Anti-Corruption Laws. CPS and its subsidiaries have implemented, maintain, and will continue to maintain in effect policies and procedures to ensure compliance by each of CPS and its subsidiaries and their respective directors, officers, employees, and agents, with Anti-Corruption Laws. None of CPS or any of its parents or subsidiaries, or any of their respective directors, officers, or employees, or to the knowledge of any of CPS, the affiliates or agents of CPS, or any of their respective subsidiaries, is a Sanctioned Person, or located, organized, or resident in a Sanctioned Jurisdiction.</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55" w:lineRule="auto"/>
        <w:tabs>
          <w:tab w:leader="none" w:pos="21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Fees and Costs</w:t>
      </w:r>
      <w:r>
        <w:rPr>
          <w:rFonts w:ascii="Times New Roman" w:cs="Times New Roman" w:eastAsia="Times New Roman" w:hAnsi="Times New Roman"/>
          <w:sz w:val="18"/>
          <w:szCs w:val="18"/>
          <w:color w:val="auto"/>
        </w:rPr>
        <w:t>. The execution, delivery or performance of any Loan Document by CPS and the consummation of any transaction contemplated thereby shall not result in (i) any fees, costs, expenses or penalties payable by CPS or any of its Affiliates or Subsidiaries arising out of or relating to any other instrument, agreement or contract to which CPS or such Affiliate or Subsidiary is a party or to which its property is subject (any such instrument, agreement or contract, an “</w:t>
      </w:r>
      <w:r>
        <w:rPr>
          <w:rFonts w:ascii="Times New Roman" w:cs="Times New Roman" w:eastAsia="Times New Roman" w:hAnsi="Times New Roman"/>
          <w:sz w:val="18"/>
          <w:szCs w:val="18"/>
          <w:u w:val="single" w:color="auto"/>
          <w:color w:val="auto"/>
        </w:rPr>
        <w:t>Unrelated CPS Agreement</w:t>
      </w:r>
      <w:r>
        <w:rPr>
          <w:rFonts w:ascii="Times New Roman" w:cs="Times New Roman" w:eastAsia="Times New Roman" w:hAnsi="Times New Roman"/>
          <w:sz w:val="18"/>
          <w:szCs w:val="18"/>
          <w:color w:val="auto"/>
        </w:rPr>
        <w:t>”) or (ii) any default, event of default, event of termination, event of acceleration, trigger event or similar event under any Unrelated CPS Agreement or otherwise breach or violate the terms of any Unrelated CPS Agreement.</w:t>
      </w:r>
    </w:p>
    <w:p>
      <w:pPr>
        <w:spacing w:after="0" w:line="188" w:lineRule="exact"/>
        <w:rPr>
          <w:rFonts w:ascii="Times New Roman" w:cs="Times New Roman" w:eastAsia="Times New Roman" w:hAnsi="Times New Roman"/>
          <w:sz w:val="18"/>
          <w:szCs w:val="18"/>
          <w:color w:val="auto"/>
        </w:rPr>
      </w:pPr>
    </w:p>
    <w:p>
      <w:pPr>
        <w:ind w:left="180" w:firstLine="1300"/>
        <w:spacing w:after="0" w:line="282" w:lineRule="auto"/>
        <w:tabs>
          <w:tab w:leader="none" w:pos="21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Termination Date</w:t>
      </w:r>
      <w:r>
        <w:rPr>
          <w:rFonts w:ascii="Times New Roman" w:cs="Times New Roman" w:eastAsia="Times New Roman" w:hAnsi="Times New Roman"/>
          <w:sz w:val="18"/>
          <w:szCs w:val="18"/>
          <w:color w:val="auto"/>
        </w:rPr>
        <w:t>. No Funding Termination Date has occurred; nor has any fact or event occurred which, with the giving of notice or the passage of time or both, would cause a Funding Termination Date to occur.</w:t>
      </w:r>
    </w:p>
    <w:p>
      <w:pPr>
        <w:spacing w:after="0" w:line="161" w:lineRule="exact"/>
        <w:rPr>
          <w:rFonts w:ascii="Times New Roman" w:cs="Times New Roman" w:eastAsia="Times New Roman" w:hAnsi="Times New Roman"/>
          <w:sz w:val="18"/>
          <w:szCs w:val="18"/>
          <w:color w:val="auto"/>
        </w:rPr>
      </w:pPr>
    </w:p>
    <w:p>
      <w:pPr>
        <w:jc w:val="both"/>
        <w:ind w:left="180" w:right="20" w:firstLine="1300"/>
        <w:spacing w:after="0" w:line="258" w:lineRule="auto"/>
        <w:tabs>
          <w:tab w:leader="none" w:pos="21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Counsel, etc</w:t>
      </w:r>
      <w:r>
        <w:rPr>
          <w:rFonts w:ascii="Times New Roman" w:cs="Times New Roman" w:eastAsia="Times New Roman" w:hAnsi="Times New Roman"/>
          <w:sz w:val="18"/>
          <w:szCs w:val="18"/>
          <w:color w:val="auto"/>
        </w:rPr>
        <w:t xml:space="preserve">. CPS has consulted with its own legal counsel and Independent Accountants to the extent it has deemed necessary regarding the tax, accounting and regulatory consequences of the transactions contemplated by this Agreement and the other Loan Documents, and CPS is not participating in such transactions in reliance on any representations of a Lender or its Affiliates or counsel, with respect to tax, accounting, regulatory or any other matters, other than the representations and warranties of the Lenders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1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Borrower has furnished to the Lenders true, accurate and (except as otherwise consented to by the Lenders) complete copies of all other Loan Documents as of the date of this Agreement, all of which Loan Documents are in full force and effect as of the date of this Agreement and no terms of any such agreements or documents have been amended, modified or otherwise waived as of such date. CPS is not default under any of its obligations under the Loan Documents.</w:t>
      </w:r>
    </w:p>
    <w:p>
      <w:pPr>
        <w:spacing w:after="0" w:line="183"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All of the Receivables included in the Total Borrowing Base are Eligible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2" w:name="page153"/>
    <w:bookmarkEnd w:id="152"/>
    <w:p>
      <w:pPr>
        <w:jc w:val="both"/>
        <w:ind w:left="180" w:right="20" w:firstLine="1300"/>
        <w:spacing w:after="0" w:line="253" w:lineRule="auto"/>
        <w:tabs>
          <w:tab w:leader="none" w:pos="21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Fraudulent Conveyance</w:t>
      </w:r>
      <w:r>
        <w:rPr>
          <w:rFonts w:ascii="Times New Roman" w:cs="Times New Roman" w:eastAsia="Times New Roman" w:hAnsi="Times New Roman"/>
          <w:sz w:val="18"/>
          <w:szCs w:val="18"/>
          <w:color w:val="auto"/>
        </w:rPr>
        <w:t>. As of the Restatement Closing Date and immediately after giving effect to each Loan, the fair value of the assets of the Seller is greater than the fair value of its liabilities (including, without limitation, contingent liabilities of the Seller), and the Seller is and will be solvent, does and intends to pay its debts as they mature and does not and will not have an unreasonably small capital to engage in the business in which it is engaged and proposes to engage. The Seller does not intend to incur, or believe that it has incurred, debts beyond its ability to pay such debts as they mature. The Seller is not in default under any material obligation to pay money to any Person. The Seller is not contemplating the commencement of insolvency, bankruptcy, liquidation or consolidation proceedings or the appointment of a receiver, liquidator, conservator, trustee or similar official in respect of the Seller or any of its assets. The Seller is not transferring any Receivables or Other Conveyed Property with any intent to hinder, delay or defraud any of its creditors. The Seller will not use the proceeds from the transactions contemplated by this Agreement or any other Loan Document to give any preference to any creditor or class of creditors. The Seller has received fair consideration and reasonably equivalent value in exchange for the sale of the Receivables and the Other Conveyed Property by it under the Sale and Servicing Agreement.</w:t>
      </w:r>
    </w:p>
    <w:p>
      <w:pPr>
        <w:spacing w:after="0" w:line="187" w:lineRule="exact"/>
        <w:rPr>
          <w:rFonts w:ascii="Times New Roman" w:cs="Times New Roman" w:eastAsia="Times New Roman" w:hAnsi="Times New Roman"/>
          <w:sz w:val="18"/>
          <w:szCs w:val="18"/>
          <w:color w:val="auto"/>
        </w:rPr>
      </w:pPr>
    </w:p>
    <w:p>
      <w:pPr>
        <w:jc w:val="both"/>
        <w:ind w:left="180" w:right="20" w:firstLine="1300"/>
        <w:spacing w:after="0" w:line="253" w:lineRule="auto"/>
        <w:tabs>
          <w:tab w:leader="none" w:pos="21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 No Default</w:t>
      </w:r>
      <w:r>
        <w:rPr>
          <w:rFonts w:ascii="Times New Roman" w:cs="Times New Roman" w:eastAsia="Times New Roman" w:hAnsi="Times New Roman"/>
          <w:sz w:val="18"/>
          <w:szCs w:val="18"/>
          <w:color w:val="auto"/>
        </w:rPr>
        <w:t>. (i) Neither CPS nor any of its Affiliates is a party to any indenture, loan or credit agreement or any lease or other agreement or instrument or subject to any charter or corporate restriction that could have, and no provision of applicable law or governmental regulation has had or could reasonably be expected to have a Material Adverse Effect and (ii) neither CPS nor any of its Affiliates is in default under or with respect to any contract, agreement, lease or other instrument to which CPS or any of its Affiliates is a party and which is material to CPS’s or such Affiliate’s condition (financial or otherwise), business, operations or properties, and neither CPS nor any of its Affiliates has delivered or received any notice of default thereunder, other than such defaults as have been waived. Neither CPS nor the Borrower is party to any agreement, covenant or undertaking that restricts the power or authority of CPS or the Borrower, acting without the consent of any other Person, to amend, waive or otherwise modify any provision of this Agreement or any other Loan Document.</w:t>
      </w:r>
    </w:p>
    <w:p>
      <w:pPr>
        <w:spacing w:after="0" w:line="194"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Borrower</w:t>
      </w:r>
      <w:r>
        <w:rPr>
          <w:rFonts w:ascii="Times New Roman" w:cs="Times New Roman" w:eastAsia="Times New Roman" w:hAnsi="Times New Roman"/>
          <w:sz w:val="18"/>
          <w:szCs w:val="18"/>
          <w:color w:val="auto"/>
        </w:rPr>
        <w:t>. CPS owns beneficially and of record (i) 100% of the Class A membership interests in the Borrower free and clear of all Liens (other than the Lien granted to the Collateral Agent under the Pledge Agreement), and (ii) 100% of the membership interests in TFC Enterprises LLC free and clear of all Liens, which owns beneficially and of record 100% of the Class B membership interests in the Borrower free and clear of all Liens. The Borrower is a disregarded entity for federal income tax purposes and no election has been made or will be made to treat the Borrower as a corporation or an association taxable as a corporation for federal income tax purposes.</w:t>
      </w:r>
    </w:p>
    <w:p>
      <w:pPr>
        <w:spacing w:after="0" w:line="18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7" w:lineRule="exact"/>
        <w:rPr>
          <w:sz w:val="20"/>
          <w:szCs w:val="20"/>
          <w:color w:val="auto"/>
        </w:rPr>
      </w:pPr>
    </w:p>
    <w:p>
      <w:pPr>
        <w:jc w:val="both"/>
        <w:ind w:left="18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Conditions Precedent to Initial Loan Following the Restatement Closing Date</w:t>
      </w:r>
      <w:r>
        <w:rPr>
          <w:rFonts w:ascii="Times New Roman" w:cs="Times New Roman" w:eastAsia="Times New Roman" w:hAnsi="Times New Roman"/>
          <w:sz w:val="18"/>
          <w:szCs w:val="18"/>
          <w:color w:val="auto"/>
        </w:rPr>
        <w:t>. Each Class A Lender will have no obligation to make the Class A Loans hereunder, and each Class B Lender will have no obligation to make the Class B Loans hereunder, unless:</w:t>
      </w:r>
    </w:p>
    <w:p>
      <w:pPr>
        <w:spacing w:after="0" w:line="176" w:lineRule="exact"/>
        <w:rPr>
          <w:sz w:val="20"/>
          <w:szCs w:val="20"/>
          <w:color w:val="auto"/>
        </w:rPr>
      </w:pPr>
    </w:p>
    <w:p>
      <w:pPr>
        <w:jc w:val="both"/>
        <w:ind w:left="180" w:right="20" w:firstLine="1299"/>
        <w:spacing w:after="0" w:line="266" w:lineRule="auto"/>
        <w:tabs>
          <w:tab w:leader="none" w:pos="21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Documents shall be in form and substance satisfactory to each Lender and in full force and effect, and all consents, waivers and approvals necessary for the consummation of the transactions contemplated by the Loan Documents shall have been obtained and shall be in full force and effect;</w:t>
      </w:r>
    </w:p>
    <w:p>
      <w:pPr>
        <w:spacing w:after="0" w:line="17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conditions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the Sale and Servicing Agreement shall have been satisfied and all conditions set forth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 shall have been satisfied;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3" w:name="page154"/>
    <w:bookmarkEnd w:id="153"/>
    <w:p>
      <w:pPr>
        <w:ind w:left="2120" w:hanging="640"/>
        <w:spacing w:after="0"/>
        <w:tabs>
          <w:tab w:leader="none" w:pos="2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0" w:firstLine="1299"/>
        <w:spacing w:after="0" w:line="282" w:lineRule="auto"/>
        <w:tabs>
          <w:tab w:leader="none" w:pos="212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all fees required to be paid by it on or prior to such date, including all fees required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made by the Lenders hereunder shall be entitled to the benefit of the security provided in the Security Agreement and shall constitute the legal, valid and binding obligations of the Borrower, enforceable against the Borrower in accordance with the terms hereof,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187"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shall have occurred with respect to CPS or the Borrower since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2023;</w:t>
      </w:r>
    </w:p>
    <w:p>
      <w:pPr>
        <w:spacing w:after="0" w:line="206"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225" w:lineRule="exact"/>
        <w:rPr>
          <w:rFonts w:ascii="Times New Roman" w:cs="Times New Roman" w:eastAsia="Times New Roman" w:hAnsi="Times New Roman"/>
          <w:sz w:val="18"/>
          <w:szCs w:val="18"/>
          <w:color w:val="auto"/>
        </w:rPr>
      </w:pPr>
    </w:p>
    <w:p>
      <w:pPr>
        <w:jc w:val="both"/>
        <w:ind w:left="840" w:firstLine="1288"/>
        <w:spacing w:after="0" w:line="266" w:lineRule="auto"/>
        <w:tabs>
          <w:tab w:leader="none" w:pos="2784"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and delivered original counterpart of each Loan Document (other than any Loan Document that contemplates delivery on a date that is after the Restatement Closing Date), in form and substance satisfactory to the Lenders, each such document being in full force and effect;</w:t>
      </w:r>
    </w:p>
    <w:p>
      <w:pPr>
        <w:spacing w:after="0" w:line="17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charter documents and each amendment thereto, and resolutions of</w:t>
      </w:r>
    </w:p>
    <w:p>
      <w:pPr>
        <w:spacing w:after="0" w:line="27" w:lineRule="exact"/>
        <w:rPr>
          <w:rFonts w:ascii="Times New Roman" w:cs="Times New Roman" w:eastAsia="Times New Roman" w:hAnsi="Times New Roman"/>
          <w:sz w:val="18"/>
          <w:szCs w:val="18"/>
          <w:color w:val="auto"/>
        </w:rPr>
      </w:pPr>
    </w:p>
    <w:p>
      <w:pPr>
        <w:jc w:val="both"/>
        <w:ind w:left="840" w:hanging="9"/>
        <w:spacing w:after="0" w:line="252" w:lineRule="auto"/>
        <w:tabs>
          <w:tab w:leader="none" w:pos="115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governing authority of each of the Borrower and the Servicer authorizing or ratifying the execution, delivery and performance, respectively, of all Loan Documents to which it is a party, (B) the incurrence of Class A Loans and Class B Loans contemplated hereunder, and (C) the granting of the security interests contemplated under the Loan Documents, certified by the Secretary or an Assistant Secretary of each of the Borrower and the Servicer as of the Restatement Closing Date, which certificate shall state that the resolutions thereby certified have not been amended, modified, revoked or rescinded as of the date of such certificate;</w:t>
      </w:r>
    </w:p>
    <w:p>
      <w:pPr>
        <w:spacing w:after="0" w:line="189" w:lineRule="exact"/>
        <w:rPr>
          <w:rFonts w:ascii="Times New Roman" w:cs="Times New Roman" w:eastAsia="Times New Roman" w:hAnsi="Times New Roman"/>
          <w:sz w:val="18"/>
          <w:szCs w:val="18"/>
          <w:color w:val="auto"/>
        </w:rPr>
      </w:pPr>
    </w:p>
    <w:p>
      <w:pPr>
        <w:jc w:val="both"/>
        <w:ind w:left="840" w:firstLine="1288"/>
        <w:spacing w:after="0" w:line="266" w:lineRule="auto"/>
        <w:tabs>
          <w:tab w:leader="none" w:pos="2784"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Borrower and the Servicer, as applicable, certifying the names and the signatures of its officer or officers authorized to sign all transaction documents to which it is a party;</w:t>
      </w:r>
    </w:p>
    <w:p>
      <w:pPr>
        <w:spacing w:after="0" w:line="175" w:lineRule="exact"/>
        <w:rPr>
          <w:rFonts w:ascii="Times New Roman" w:cs="Times New Roman" w:eastAsia="Times New Roman" w:hAnsi="Times New Roman"/>
          <w:sz w:val="18"/>
          <w:szCs w:val="18"/>
          <w:color w:val="auto"/>
        </w:rPr>
      </w:pPr>
    </w:p>
    <w:p>
      <w:pPr>
        <w:jc w:val="both"/>
        <w:ind w:left="840" w:firstLine="1288"/>
        <w:spacing w:after="0" w:line="258" w:lineRule="auto"/>
        <w:tabs>
          <w:tab w:leader="none" w:pos="2784"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senior officer of CPS to the effect that the representations and warranties of CPS, the Seller and the Servicer in this Agreement and the other Loan Documents to which it is a party are true and correct as of the Restatement Closing Date, and that CPS, the Seller and the Servicer have complied in all material respects with all covenants and agreements and satisfied all conditions on their part to be performed or satisfied at or prior to the date hereof;</w:t>
      </w:r>
    </w:p>
    <w:p>
      <w:pPr>
        <w:spacing w:after="0" w:line="183" w:lineRule="exact"/>
        <w:rPr>
          <w:rFonts w:ascii="Times New Roman" w:cs="Times New Roman" w:eastAsia="Times New Roman" w:hAnsi="Times New Roman"/>
          <w:sz w:val="18"/>
          <w:szCs w:val="18"/>
          <w:color w:val="auto"/>
        </w:rPr>
      </w:pPr>
    </w:p>
    <w:p>
      <w:pPr>
        <w:jc w:val="both"/>
        <w:ind w:left="840" w:firstLine="1287"/>
        <w:spacing w:after="0" w:line="258" w:lineRule="auto"/>
        <w:tabs>
          <w:tab w:leader="none" w:pos="2784"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senior officer of the Borrower to the effect that the representations and warranties of the Borrower and the Purchaser in this Agreement and the other Loan Documents to which it is a party are true and correct as of the Restatement Closing Date and that the Borrower and the Purchaser have complied in all material respects with all covenants and agreements and satisfied all conditions on their part to be performed or satisfied at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54" w:name="page155"/>
    <w:bookmarkEnd w:id="154"/>
    <w:p>
      <w:pPr>
        <w:ind w:left="840" w:firstLine="1287"/>
        <w:spacing w:after="0" w:line="282" w:lineRule="auto"/>
        <w:tabs>
          <w:tab w:leader="none" w:pos="27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(including bring-down opinions relating to true sale, non-consolidation, UCC, enforceability and corporate matters), in form and substance satisfactory to the Administrative Agent;</w:t>
      </w:r>
    </w:p>
    <w:p>
      <w:pPr>
        <w:spacing w:after="0" w:line="161" w:lineRule="exact"/>
        <w:rPr>
          <w:rFonts w:ascii="Times New Roman" w:cs="Times New Roman" w:eastAsia="Times New Roman" w:hAnsi="Times New Roman"/>
          <w:sz w:val="18"/>
          <w:szCs w:val="18"/>
          <w:color w:val="auto"/>
        </w:rPr>
      </w:pPr>
    </w:p>
    <w:p>
      <w:pPr>
        <w:ind w:left="840" w:firstLine="1288"/>
        <w:spacing w:after="0" w:line="282" w:lineRule="auto"/>
        <w:tabs>
          <w:tab w:leader="none" w:pos="27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the Administrative Agent of the continued effectiveness of all necessary UCC filings, search reports and lien releases;</w:t>
      </w:r>
    </w:p>
    <w:p>
      <w:pPr>
        <w:spacing w:after="0" w:line="161" w:lineRule="exact"/>
        <w:rPr>
          <w:rFonts w:ascii="Times New Roman" w:cs="Times New Roman" w:eastAsia="Times New Roman" w:hAnsi="Times New Roman"/>
          <w:sz w:val="18"/>
          <w:szCs w:val="18"/>
          <w:color w:val="auto"/>
        </w:rPr>
      </w:pPr>
    </w:p>
    <w:p>
      <w:pPr>
        <w:ind w:left="840" w:firstLine="1287"/>
        <w:spacing w:after="0" w:line="282" w:lineRule="auto"/>
        <w:tabs>
          <w:tab w:leader="none" w:pos="27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Administrative Agent’s reasonable out-of-pocket fees and expenses in accordance with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jc w:val="both"/>
        <w:ind w:left="840" w:firstLine="1288"/>
        <w:spacing w:after="0" w:line="261" w:lineRule="auto"/>
        <w:tabs>
          <w:tab w:leader="none" w:pos="27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certificates (long form) or other evidence from the Secretary of State or other appropriate authority of the States of Delaware and California, evidencing the good standing of the Borrower and the Servicer in the States of Delaware and California, in each case, dated no earlier than 15 days prior to the Restatement Closing Date;</w:t>
      </w:r>
    </w:p>
    <w:p>
      <w:pPr>
        <w:spacing w:after="0" w:line="179" w:lineRule="exact"/>
        <w:rPr>
          <w:rFonts w:ascii="Times New Roman" w:cs="Times New Roman" w:eastAsia="Times New Roman" w:hAnsi="Times New Roman"/>
          <w:sz w:val="18"/>
          <w:szCs w:val="18"/>
          <w:color w:val="auto"/>
        </w:rPr>
      </w:pPr>
    </w:p>
    <w:p>
      <w:pPr>
        <w:ind w:left="840" w:firstLine="1288"/>
        <w:spacing w:after="0" w:line="282" w:lineRule="auto"/>
        <w:tabs>
          <w:tab w:leader="none" w:pos="27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correct copy of the Schedule of Defaults, Breaches and Trigger Events, in the form of Schedule C to the Sale and Servicing Agreement;</w:t>
      </w:r>
    </w:p>
    <w:p>
      <w:pPr>
        <w:spacing w:after="0" w:line="161" w:lineRule="exact"/>
        <w:rPr>
          <w:rFonts w:ascii="Times New Roman" w:cs="Times New Roman" w:eastAsia="Times New Roman" w:hAnsi="Times New Roman"/>
          <w:sz w:val="18"/>
          <w:szCs w:val="18"/>
          <w:color w:val="auto"/>
        </w:rPr>
      </w:pPr>
    </w:p>
    <w:p>
      <w:pPr>
        <w:jc w:val="both"/>
        <w:ind w:left="840" w:firstLine="1288"/>
        <w:spacing w:after="0" w:line="261" w:lineRule="auto"/>
        <w:tabs>
          <w:tab w:leader="none" w:pos="278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(which may be delivered in electronic format) of any commitment or agreement between the Borrower and the Servicer and any lender or other financial institution, other than any such commitment or agreement (or portion thereof) which the Administrative Agent specifically agrees are not required to be delivered hereunder; and</w:t>
      </w:r>
    </w:p>
    <w:p>
      <w:pPr>
        <w:spacing w:after="0" w:line="179"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opinions and information as the Administrative Agent may</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request;</w:t>
      </w:r>
    </w:p>
    <w:p>
      <w:pPr>
        <w:spacing w:after="0" w:line="206"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1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and the Class B Lenders shall have completed to its satisfaction its due diligence review and audits of the Borrower and the Servicer and their respective management, controlling stockholders, systems, underwriting, servicing and collection operations, static pool performance and loan files;</w:t>
      </w:r>
    </w:p>
    <w:p>
      <w:pPr>
        <w:spacing w:after="0" w:line="17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all requisite internal approvals.</w:t>
      </w:r>
    </w:p>
    <w:p>
      <w:pPr>
        <w:spacing w:after="0" w:line="225"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Conditions to Each Loan</w:t>
      </w:r>
      <w:r>
        <w:rPr>
          <w:rFonts w:ascii="Times New Roman" w:cs="Times New Roman" w:eastAsia="Times New Roman" w:hAnsi="Times New Roman"/>
          <w:sz w:val="18"/>
          <w:szCs w:val="18"/>
          <w:color w:val="auto"/>
        </w:rPr>
        <w:t>. The obligation of each Class A Lender to fund any Class A Loan on any Funding Date (including the initial Class A Loan), and the obligation of each Class B Lender to fund any Class B Loan on each Class B Borrowing Date, shall be subject to the conditions precedent that on the date of such Loan, before and after giving effect thereto and to the application of any proceeds therefrom, the following statements shall be true:</w:t>
      </w:r>
    </w:p>
    <w:p>
      <w:pPr>
        <w:spacing w:after="0" w:line="180" w:lineRule="exact"/>
        <w:rPr>
          <w:sz w:val="20"/>
          <w:szCs w:val="20"/>
          <w:color w:val="auto"/>
        </w:rPr>
      </w:pPr>
    </w:p>
    <w:p>
      <w:pPr>
        <w:ind w:left="2120" w:hanging="641"/>
        <w:spacing w:after="0"/>
        <w:tabs>
          <w:tab w:leader="none" w:pos="21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Termination Date shall not have occurred and will not occur as a result of making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such Loan;</w:t>
      </w:r>
    </w:p>
    <w:p>
      <w:pPr>
        <w:spacing w:after="0" w:line="207" w:lineRule="exact"/>
        <w:rPr>
          <w:sz w:val="20"/>
          <w:szCs w:val="20"/>
          <w:color w:val="auto"/>
        </w:rPr>
      </w:pPr>
    </w:p>
    <w:p>
      <w:pPr>
        <w:ind w:left="2120" w:hanging="640"/>
        <w:spacing w:after="0"/>
        <w:tabs>
          <w:tab w:leader="none" w:pos="2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or breach of the Sale and Servicing Agreement or any other Loan Document</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exists or will exist;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55" w:name="page156"/>
    <w:bookmarkEnd w:id="155"/>
    <w:p>
      <w:pPr>
        <w:jc w:val="both"/>
        <w:ind w:left="180" w:right="20" w:firstLine="1299"/>
        <w:spacing w:after="0" w:line="261"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1:00 p.m., New York City time, on (i) if such Funding Date is a Settlement Date, the day immediately preceding such Funding Date, or (ii) if such Funding Date is not a Settlement Date, on the day immediately preceding the most recent Settlement Date prior to the requested Funding Date, the Administrative Agent shall have received a properly completed Borrowing Base Certificate from the Servicer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80" w:right="20" w:firstLine="1299"/>
        <w:spacing w:after="0" w:line="258"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1:00 p.m., New York City time, on (i) if such Funding Date is a Settlement Date, the day immediately preceding such Funding Date, or (ii) if such Funding Date is not a Settlement Date, on the day immediately preceding the most recent Settlement Date prior to the requested Funding Date, the Administrative Agent shall have received a properly completed and executed Borrowing Request, together with timely receipt of each other item required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shall have delivered to the Lenders the Servicer’s Certificate for the immediately preceding Accrual Period and Interest Period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Sale and Servicing Agreement;</w:t>
      </w:r>
    </w:p>
    <w:p>
      <w:pPr>
        <w:spacing w:after="0" w:line="161"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shall be in an amount not less than [***];</w:t>
      </w:r>
    </w:p>
    <w:p>
      <w:pPr>
        <w:spacing w:after="0" w:line="225" w:lineRule="exact"/>
        <w:rPr>
          <w:rFonts w:ascii="Times New Roman" w:cs="Times New Roman" w:eastAsia="Times New Roman" w:hAnsi="Times New Roman"/>
          <w:sz w:val="18"/>
          <w:szCs w:val="18"/>
          <w:color w:val="auto"/>
        </w:rPr>
      </w:pPr>
    </w:p>
    <w:p>
      <w:pPr>
        <w:ind w:left="2120" w:hanging="641"/>
        <w:spacing w:after="0"/>
        <w:tabs>
          <w:tab w:leader="none" w:pos="21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two (2) Class A Loans or one (1) Class B Loan shall be made in the same week;</w:t>
      </w:r>
    </w:p>
    <w:p>
      <w:pPr>
        <w:spacing w:after="0" w:line="225" w:lineRule="exact"/>
        <w:rPr>
          <w:rFonts w:ascii="Times New Roman" w:cs="Times New Roman" w:eastAsia="Times New Roman" w:hAnsi="Times New Roman"/>
          <w:sz w:val="18"/>
          <w:szCs w:val="18"/>
          <w:color w:val="auto"/>
        </w:rPr>
      </w:pPr>
    </w:p>
    <w:p>
      <w:pPr>
        <w:ind w:left="180" w:right="20" w:firstLine="1299"/>
        <w:spacing w:after="0" w:line="282"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Loans, the Class A Loan Balance will not exceed the Class A Maximum Loan Balance and the Class B Loan Balance will not exceed the Class B Maximum Loan Balance;</w:t>
      </w:r>
    </w:p>
    <w:p>
      <w:pPr>
        <w:spacing w:after="0" w:line="161" w:lineRule="exact"/>
        <w:rPr>
          <w:rFonts w:ascii="Times New Roman" w:cs="Times New Roman" w:eastAsia="Times New Roman" w:hAnsi="Times New Roman"/>
          <w:sz w:val="18"/>
          <w:szCs w:val="18"/>
          <w:color w:val="auto"/>
        </w:rPr>
      </w:pPr>
    </w:p>
    <w:p>
      <w:pPr>
        <w:jc w:val="both"/>
        <w:ind w:left="180" w:right="20" w:firstLine="1299"/>
        <w:spacing w:after="0" w:line="255"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Loans and all Related Receivables being pledged by the Borrower to the Collateral Agent for the benefit of the Secured Parties under the Security Agreement on such date, (x) the Class A Loan Balance, less the amount on deposit in the Reserve Account, will not exceed the Class A Facility Advance Purchase Price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order to comply with the foregoing, the Borrower shall reduce the proposed amount of Class A Loans to be borrowed) and (y) the Class A Loan Balance plus the Class B Loan Balance, less the amount on deposit in the Reserve Account, will not exceed the Class B Facility Advance Purchase Price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order to comply with the foregoing, the Borrower shall reduce the proposed amount of Class A Loans and/or Class B Loans to be borrowed);</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CPS, the Servicer, the Seller, the Purchaser and the Borrower in the Loan Documents are true and correct as of the date of such requested Loan, with the same effect as though made on the date of such Loan, and the Administrative Agent shall have received (I) a certificate from CPS, the Servicer and the Seller to such effect with respect to its representations and warranties and that CPS, the Servicer and the Seller have complied in all material respects with all covenants and agreements and satisfied all conditions on their part to be performed or satisfied at or prior to the related Funding Date, and (II) a certificate from the Borrower and the Purchaser to such effect with respect to its representations and warranties and that the Borrower and the Purchaser have complied in all material respects with all covenants and agreements and satisfied all conditions on their part to be performed or satisfied at or prior to the related Funding Date, which certifications, in each case, may be included in the related Borrowing Request;</w:t>
      </w:r>
    </w:p>
    <w:p>
      <w:pPr>
        <w:spacing w:after="0" w:line="188" w:lineRule="exact"/>
        <w:rPr>
          <w:rFonts w:ascii="Times New Roman" w:cs="Times New Roman" w:eastAsia="Times New Roman" w:hAnsi="Times New Roman"/>
          <w:sz w:val="18"/>
          <w:szCs w:val="18"/>
          <w:color w:val="auto"/>
        </w:rPr>
      </w:pPr>
    </w:p>
    <w:p>
      <w:pPr>
        <w:jc w:val="both"/>
        <w:ind w:left="180" w:right="20" w:firstLine="1300"/>
        <w:spacing w:after="0" w:line="255" w:lineRule="auto"/>
        <w:tabs>
          <w:tab w:leader="none" w:pos="21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(or its custodian) shall (in accordance with the procedures contemplated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Sale and Servicing Agreement) have confirmed receipt of the related Receivable File for each Eligible Receivable included in the Total Borrowing Base calculation and shall have delivered to the Administrative Agent a Trust Receipt with respect to the Receivable Files related to the Related Receivables to be purchased on such Funding Date, or if requested by the Administrative Agent, an aggregate Trust Receipt with respect to the Receivable Files for all of the Receivables; such Receivable File and Trust Receipt, to be delivered by CPS to Borrower, and by Borrower to the Administrative Agent, no later than ten (10) days after the date of origination of each applicable Related Receivable.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6" w:name="page157"/>
    <w:bookmarkEnd w:id="156"/>
    <w:p>
      <w:pPr>
        <w:jc w:val="both"/>
        <w:ind w:left="180" w:right="20" w:firstLine="1299"/>
        <w:spacing w:after="0" w:line="266"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Loans and all Related Receivables being pledged by the Borrower to the Collateral Agent for the benefit of the Secured Parties under the Security Agreement on such date, there shall be no Borrowing Base Deficiency or Facility Advance Cap Deficiency;</w:t>
      </w:r>
    </w:p>
    <w:p>
      <w:pPr>
        <w:spacing w:after="0" w:line="17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limitations and conditions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of this Agreement and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the Sale and Servicing Agreement shall have been satisfied with respect to the making of such Loan;</w:t>
      </w:r>
    </w:p>
    <w:p>
      <w:pPr>
        <w:spacing w:after="0" w:line="161" w:lineRule="exact"/>
        <w:rPr>
          <w:rFonts w:ascii="Times New Roman" w:cs="Times New Roman" w:eastAsia="Times New Roman" w:hAnsi="Times New Roman"/>
          <w:sz w:val="18"/>
          <w:szCs w:val="18"/>
          <w:color w:val="auto"/>
        </w:rPr>
      </w:pPr>
    </w:p>
    <w:p>
      <w:pPr>
        <w:ind w:left="180" w:right="20" w:firstLine="1299"/>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Loans, no Material Adverse Change with respect to CPS or the Borrower shall have occurred and there shall have been no Material Adverse Effect;</w:t>
      </w:r>
    </w:p>
    <w:p>
      <w:pPr>
        <w:spacing w:after="0" w:line="161"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 the Purchaser, CPS, the Seller or the Servicer shall have breached any of its covenants under the Loan Documents;</w:t>
      </w:r>
    </w:p>
    <w:p>
      <w:pPr>
        <w:spacing w:after="0" w:line="161"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provided the Administrative Agent with all other information that the Administrative Agent may reasonably require upon reasonable advance notice thereof to the Borrower;</w:t>
      </w:r>
    </w:p>
    <w:p>
      <w:pPr>
        <w:spacing w:after="0" w:line="161" w:lineRule="exact"/>
        <w:rPr>
          <w:rFonts w:ascii="Times New Roman" w:cs="Times New Roman" w:eastAsia="Times New Roman" w:hAnsi="Times New Roman"/>
          <w:sz w:val="18"/>
          <w:szCs w:val="18"/>
          <w:color w:val="auto"/>
        </w:rPr>
      </w:pPr>
    </w:p>
    <w:p>
      <w:pPr>
        <w:ind w:left="180" w:right="20" w:firstLine="1299"/>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and owing to the Lenders under this Agreement and/or any of the other Loan Documents as of the immediately preceding Settlement Date shall have been paid in full;</w:t>
      </w:r>
    </w:p>
    <w:p>
      <w:pPr>
        <w:spacing w:after="0" w:line="161"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Loan and the application of proceeds therefrom, no Default or Event of Default shall have occurred and be continuing on and as of the requested Funding Date;</w:t>
      </w:r>
    </w:p>
    <w:p>
      <w:pPr>
        <w:spacing w:after="0" w:line="161"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shall have received each written acknowledgment then required by </w:t>
      </w:r>
      <w:r>
        <w:rPr>
          <w:rFonts w:ascii="Times New Roman" w:cs="Times New Roman" w:eastAsia="Times New Roman" w:hAnsi="Times New Roman"/>
          <w:sz w:val="18"/>
          <w:szCs w:val="18"/>
          <w:u w:val="single" w:color="auto"/>
          <w:color w:val="auto"/>
        </w:rPr>
        <w:t>Section 7.01(x)</w:t>
      </w:r>
      <w:r>
        <w:rPr>
          <w:rFonts w:ascii="Times New Roman" w:cs="Times New Roman" w:eastAsia="Times New Roman" w:hAnsi="Times New Roman"/>
          <w:sz w:val="18"/>
          <w:szCs w:val="18"/>
          <w:color w:val="auto"/>
        </w:rPr>
        <w:t>, to the extent not previously received;</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55" w:lineRule="auto"/>
        <w:tabs>
          <w:tab w:leader="none" w:pos="21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as of the requested Funding Date, each of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Sale and Servicing Agreement is true and correct for all Related Receivables being pledged by the Borrower to the Collateral Agent for the benefit of the Secured Parties under the Security Agreement on such date and each Related Receivable is an Eligible Receivable. No such Related Receivable was originated in any jurisdiction in which the Seller is required to be licensed in order to own such Related Receivable unless the Seller has obtained such license prior to owning such Related Receivable. With respect to each such Related Receivable, the applicable Dealer has either been paid or received credit from Seller for all proceeds from the sale of such Related Receivable to the Seller;</w:t>
      </w:r>
    </w:p>
    <w:p>
      <w:pPr>
        <w:spacing w:after="0" w:line="188"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Required Reserve Account Amount is on deposit in the Reserve Account;</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Excess Spread Requirement is satisfied.</w:t>
      </w:r>
    </w:p>
    <w:p>
      <w:pPr>
        <w:spacing w:after="0" w:line="225"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giving of any notice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constitute a representation and warranty by the Borrower and CPS that all conditions precedent and, to the extent then applicable, any conditions subsequent, to such Loan have been satisfied.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7" w:name="page158"/>
    <w:bookmarkEnd w:id="157"/>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Ratings Requirement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299"/>
        <w:spacing w:after="0" w:line="255" w:lineRule="auto"/>
        <w:tabs>
          <w:tab w:leader="none" w:pos="212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in its sole discretion, the Administrative Agent may elect to cause the Borrower to obtain a confirmation from Standard &amp; Poor’s that the Ratings Requirement would be satisfied if issued as of the date of such request (such confirmation, a “</w:t>
      </w:r>
      <w:r>
        <w:rPr>
          <w:rFonts w:ascii="Times New Roman" w:cs="Times New Roman" w:eastAsia="Times New Roman" w:hAnsi="Times New Roman"/>
          <w:sz w:val="18"/>
          <w:szCs w:val="18"/>
          <w:u w:val="single" w:color="auto"/>
          <w:color w:val="auto"/>
        </w:rPr>
        <w:t>Ratings Requirement Bring-Down</w:t>
      </w:r>
      <w:r>
        <w:rPr>
          <w:rFonts w:ascii="Times New Roman" w:cs="Times New Roman" w:eastAsia="Times New Roman" w:hAnsi="Times New Roman"/>
          <w:sz w:val="18"/>
          <w:szCs w:val="18"/>
          <w:color w:val="auto"/>
        </w:rPr>
        <w:t>”). Such election shall be made no more often than once per calendar quarter, unless the Administrative Agent has determined in its reasonable discretion that a Material Adverse Change has occurred or could reasonably be expected to occur or that general economic or market conditions have materially and adversely affected the market value or credit quality of the Loans, in which case there shall be no limit to the number of Ratings Requirement Bring-Downs.</w:t>
      </w:r>
    </w:p>
    <w:p>
      <w:pPr>
        <w:spacing w:after="0" w:line="188" w:lineRule="exact"/>
        <w:rPr>
          <w:rFonts w:ascii="Times New Roman" w:cs="Times New Roman" w:eastAsia="Times New Roman" w:hAnsi="Times New Roman"/>
          <w:sz w:val="18"/>
          <w:szCs w:val="18"/>
          <w:color w:val="auto"/>
        </w:rPr>
      </w:pPr>
    </w:p>
    <w:p>
      <w:pPr>
        <w:jc w:val="both"/>
        <w:ind w:left="180" w:right="20" w:firstLine="1299"/>
        <w:spacing w:after="0" w:line="269" w:lineRule="auto"/>
        <w:tabs>
          <w:tab w:leader="none" w:pos="2124"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CPS, the Seller, the Servicer, the Borrower and the Purchaser each hereby acknowledge and agree that (i) it shall be the sole obligation of the Borrower and the Seller to satisfy the Ratings Requirement and the Ratings Requirement Bring-Down and not the obligation of either Agent or any Lender, (ii) although the Administrative Agent will make commercially reasonable efforts to assist the Borrower and the Seller in dealing with Standard &amp; Poor’s in connection with satisfaction of the Ratings Requirement and the Ratings Requirement Bring-Down, neither Agent nor any Lender shall</w:t>
      </w:r>
    </w:p>
    <w:p>
      <w:pPr>
        <w:spacing w:after="0" w:line="2" w:lineRule="exact"/>
        <w:rPr>
          <w:rFonts w:ascii="Times New Roman" w:cs="Times New Roman" w:eastAsia="Times New Roman" w:hAnsi="Times New Roman"/>
          <w:sz w:val="17"/>
          <w:szCs w:val="17"/>
          <w:color w:val="auto"/>
        </w:rPr>
      </w:pPr>
    </w:p>
    <w:p>
      <w:pPr>
        <w:jc w:val="both"/>
        <w:ind w:left="180" w:right="20" w:firstLine="3"/>
        <w:spacing w:after="0" w:line="251" w:lineRule="auto"/>
        <w:tabs>
          <w:tab w:leader="none" w:pos="43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acting as an agent, fiduciary or in any other capacity on behalf of the Borrower, the Seller or any other Person, or (y) have any liability whatsoever, at law, in equity or otherwise, to any Person (including the Borrower, the Purchaser, CPS, the Seller or the Servicer) arising out of, relating to or resulting from any delay or failure in the satisfaction of the Ratings Requirement and the Ratings Requirement Bring-Down, (iii) the Borrower, the Purchaser, CPS, the Seller and the Servicer each hereby waives any and all rights, remedies, actions, causes of action, suits, liabilities and damages, whether arising at law, in equity or otherwise, that it may have or assert against the Lenders, any of their respective Affiliates or any of their or such Affiliate’s respective officers, directors, employees or agents arising out of, relating to or resulting from any such assistance so provided or any delay or failure in the satisfaction of the Ratings Requirement and the Ratings Requirement Bring-Down, and (iv) any such assistance provided to the Borrower, the Seller or any other Person by the Lenders shall not constitute a waiver of (x) the Borrower’s and the Seller’s obligation to satisfy the Ratings Requirement and the Ratings Requirement Bring-Down in any respect, or (y) any rights or remedies of the Lenders arising out of, relating to or resulting from any delay in or failure of the Borrower or the Seller to satisfy the Ratings Requirement and the Ratings Requirement Bring-Down. The Lenders shall be expressly entitled to rely on any legal opinions delivered to any Rating Agency in connection with obtaining or maintaining the required rating on the Loans.</w:t>
      </w:r>
    </w:p>
    <w:p>
      <w:pPr>
        <w:spacing w:after="0" w:line="191"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giving of any notice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constitute a representation and warranty by the Borrower and CPS that all conditions precedent and, to the extent then applicable, any conditions subsequent, to such Loan have been satisfied.</w:t>
      </w:r>
    </w:p>
    <w:p>
      <w:pPr>
        <w:spacing w:after="0" w:line="17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Affirmative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Until the Termination Date:</w:t>
      </w:r>
    </w:p>
    <w:p>
      <w:pPr>
        <w:spacing w:after="0" w:line="225" w:lineRule="exact"/>
        <w:rPr>
          <w:sz w:val="20"/>
          <w:szCs w:val="20"/>
          <w:color w:val="auto"/>
        </w:rPr>
      </w:pPr>
    </w:p>
    <w:p>
      <w:pPr>
        <w:ind w:left="180" w:right="200" w:firstLine="1300"/>
        <w:spacing w:after="0" w:line="282" w:lineRule="auto"/>
        <w:tabs>
          <w:tab w:leader="none" w:pos="21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Defaults, the Funding Termination Date, Litigation, Adverse Judgments, Etc</w:t>
      </w:r>
      <w:r>
        <w:rPr>
          <w:rFonts w:ascii="Times New Roman" w:cs="Times New Roman" w:eastAsia="Times New Roman" w:hAnsi="Times New Roman"/>
          <w:sz w:val="18"/>
          <w:szCs w:val="18"/>
          <w:color w:val="auto"/>
        </w:rPr>
        <w:t>. CPS or the Borrower, as applicable, shall give notice to each Lender promptly:</w:t>
      </w:r>
    </w:p>
    <w:p>
      <w:pPr>
        <w:spacing w:after="0" w:line="161" w:lineRule="exact"/>
        <w:rPr>
          <w:rFonts w:ascii="Times New Roman" w:cs="Times New Roman" w:eastAsia="Times New Roman" w:hAnsi="Times New Roman"/>
          <w:sz w:val="18"/>
          <w:szCs w:val="18"/>
          <w:color w:val="auto"/>
        </w:rPr>
      </w:pPr>
    </w:p>
    <w:p>
      <w:pPr>
        <w:jc w:val="both"/>
        <w:ind w:left="840" w:firstLine="1288"/>
        <w:spacing w:after="0" w:line="258" w:lineRule="auto"/>
        <w:tabs>
          <w:tab w:leader="none" w:pos="27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CPS or the Borrower, as the case may be, becoming aware of, and in any event within two (2) Business Days after, the occurrence of a Level I Trigger Event, Event of Default or any event of default or default under any other Loan Document, any Class B Member Residual Obligations (as defined in the LLC Agreement, as so defined, the “</w:t>
      </w:r>
      <w:r>
        <w:rPr>
          <w:rFonts w:ascii="Times New Roman" w:cs="Times New Roman" w:eastAsia="Times New Roman" w:hAnsi="Times New Roman"/>
          <w:sz w:val="18"/>
          <w:szCs w:val="18"/>
          <w:u w:val="single" w:color="auto"/>
          <w:color w:val="auto"/>
        </w:rPr>
        <w:t>Class B Member Residual Obligations</w:t>
      </w:r>
      <w:r>
        <w:rPr>
          <w:rFonts w:ascii="Times New Roman" w:cs="Times New Roman" w:eastAsia="Times New Roman" w:hAnsi="Times New Roman"/>
          <w:sz w:val="18"/>
          <w:szCs w:val="18"/>
          <w:color w:val="auto"/>
        </w:rPr>
        <w:t>”) or any other material agreement of CPS or any Specified Affiliate of CPS;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8" w:name="page159"/>
    <w:bookmarkEnd w:id="158"/>
    <w:p>
      <w:pPr>
        <w:jc w:val="both"/>
        <w:ind w:left="840" w:right="20" w:firstLine="1287"/>
        <w:spacing w:after="0" w:line="266" w:lineRule="auto"/>
        <w:tabs>
          <w:tab w:leader="none" w:pos="27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CPS or the Borrower, as the case may be, becoming aware of, and in any event within two (2) Business Days after, the occurrence of the Funding Termination Date or any fact or event which, with the giving of notice or the passage of time or both, would cause the Funding Termination Date to occur;</w:t>
      </w:r>
    </w:p>
    <w:p>
      <w:pPr>
        <w:spacing w:after="0" w:line="175" w:lineRule="exact"/>
        <w:rPr>
          <w:rFonts w:ascii="Times New Roman" w:cs="Times New Roman" w:eastAsia="Times New Roman" w:hAnsi="Times New Roman"/>
          <w:sz w:val="18"/>
          <w:szCs w:val="18"/>
          <w:color w:val="auto"/>
        </w:rPr>
      </w:pPr>
    </w:p>
    <w:p>
      <w:pPr>
        <w:jc w:val="both"/>
        <w:ind w:left="840" w:right="20" w:firstLine="1288"/>
        <w:spacing w:after="0" w:line="258" w:lineRule="auto"/>
        <w:tabs>
          <w:tab w:leader="none" w:pos="27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in any event within two (2) Business Days after, service of process on CPS, the Borrower or any Specified Affiliate of CPS, as the case may be, or any agent thereof for service of process, in respect of any legal or arbitrable proceedings affecting CPS, the Borrower or any Specified Affiliate of CPS (x) that questions or challenges the validity or enforceability of any of the Loan Documents, (y) in which the amount in controversy exceeds [***] or (z) that, if adversely determined, would cause a Material Adverse Effect;</w:t>
      </w:r>
    </w:p>
    <w:p>
      <w:pPr>
        <w:spacing w:after="0" w:line="183"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in any event within two (2) Business Days after, CPS or the Borrower, as the case may be, becoming aware of any event or change in circumstances that could reasonably be expected to have a Material Adverse Effect, constitute a Material Adverse Change or cause an Event of Default;</w:t>
      </w:r>
    </w:p>
    <w:p>
      <w:pPr>
        <w:spacing w:after="0" w:line="175" w:lineRule="exact"/>
        <w:rPr>
          <w:rFonts w:ascii="Times New Roman" w:cs="Times New Roman" w:eastAsia="Times New Roman" w:hAnsi="Times New Roman"/>
          <w:sz w:val="18"/>
          <w:szCs w:val="18"/>
          <w:color w:val="auto"/>
        </w:rPr>
      </w:pPr>
    </w:p>
    <w:p>
      <w:pPr>
        <w:jc w:val="both"/>
        <w:ind w:left="840" w:firstLine="1288"/>
        <w:spacing w:after="0" w:line="261" w:lineRule="auto"/>
        <w:tabs>
          <w:tab w:leader="none" w:pos="27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in any event within two (2) Business Days after, CPS or the Borrower, as the case may be, becoming aware of entry of a judgment or decree in respect of CPS, the Borrower or any Specified Affiliate of CPS, its respective assets, any of the Collateral or any of the Pledged LLC Interests in an amount in excess of [***];</w:t>
      </w:r>
    </w:p>
    <w:p>
      <w:pPr>
        <w:spacing w:after="0" w:line="179" w:lineRule="exact"/>
        <w:rPr>
          <w:rFonts w:ascii="Times New Roman" w:cs="Times New Roman" w:eastAsia="Times New Roman" w:hAnsi="Times New Roman"/>
          <w:sz w:val="18"/>
          <w:szCs w:val="18"/>
          <w:color w:val="auto"/>
        </w:rPr>
      </w:pPr>
    </w:p>
    <w:p>
      <w:pPr>
        <w:jc w:val="both"/>
        <w:ind w:left="840" w:right="20" w:firstLine="1288"/>
        <w:spacing w:after="0" w:line="258" w:lineRule="auto"/>
        <w:tabs>
          <w:tab w:leader="none" w:pos="27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governmental inquiry, whether formal or informal, or the initiation of any legal process, litigation, arbitration, or administrative, regulatory, judicial or quasi-judicial investigation against or concerning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CPS, the Borrower or any other Specified Affiliate of CPS potentially involving an amount (i) in excess of [***] or (ii) less than [***] and is otherwise material, including without limitation any putative class action; and</w:t>
      </w:r>
    </w:p>
    <w:p>
      <w:pPr>
        <w:spacing w:after="0" w:line="183" w:lineRule="exact"/>
        <w:rPr>
          <w:rFonts w:ascii="Times New Roman" w:cs="Times New Roman" w:eastAsia="Times New Roman" w:hAnsi="Times New Roman"/>
          <w:sz w:val="18"/>
          <w:szCs w:val="18"/>
          <w:color w:val="auto"/>
        </w:rPr>
      </w:pPr>
    </w:p>
    <w:p>
      <w:pPr>
        <w:jc w:val="both"/>
        <w:ind w:left="840" w:right="20" w:firstLine="1287"/>
        <w:spacing w:after="0" w:line="261" w:lineRule="auto"/>
        <w:tabs>
          <w:tab w:leader="none" w:pos="27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it forming any Plans and, upon CPS or the Borrower, as the case may be, becoming aware that it or any Affiliate has any obligations or liabilities with respect to any Plan or Multiemployer Plan (other than obligations of CPS or MFN under the MFN Financial Corporation Pension Plan and under the CPS defined contribution (401(K)) plan).</w:t>
      </w:r>
    </w:p>
    <w:p>
      <w:pPr>
        <w:spacing w:after="0" w:line="180"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shall be accompanied by a statement of an officer of CPS or the Borrower, as applicable, setting forth details of the occurrence referred to therein and stating what action CPS and the Borrower, as the case may be, have taken or propose to take with respect thereto.</w:t>
      </w:r>
    </w:p>
    <w:p>
      <w:pPr>
        <w:spacing w:after="0" w:line="176" w:lineRule="exact"/>
        <w:rPr>
          <w:sz w:val="20"/>
          <w:szCs w:val="20"/>
          <w:color w:val="auto"/>
        </w:rPr>
      </w:pPr>
    </w:p>
    <w:p>
      <w:pPr>
        <w:jc w:val="both"/>
        <w:ind w:left="180" w:right="20" w:firstLine="1299"/>
        <w:spacing w:after="0" w:line="258" w:lineRule="auto"/>
        <w:tabs>
          <w:tab w:leader="none" w:pos="21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CPS and the Borrower shall pay and discharge all taxes and governmental charges upon it or against any of its properties or assets or its income prior to the date after which penalties attach for failure to pay, except to the extent that CPS or the Borrower, as applicable, shall be contesting in good faith in appropriate proceedings its obligation to pay such taxes or charges, adequate reserves having been set aside for the payment thereof in accordance with GAAP.</w:t>
      </w:r>
    </w:p>
    <w:p>
      <w:pPr>
        <w:spacing w:after="0" w:line="183"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Continuity of Business and Compliance With Agreement and Law</w:t>
      </w:r>
      <w:r>
        <w:rPr>
          <w:rFonts w:ascii="Times New Roman" w:cs="Times New Roman" w:eastAsia="Times New Roman" w:hAnsi="Times New Roman"/>
          <w:sz w:val="18"/>
          <w:szCs w:val="18"/>
          <w:color w:val="auto"/>
        </w:rPr>
        <w:t>. Each of CPS and the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w:t>
      </w:r>
    </w:p>
    <w:p>
      <w:pPr>
        <w:spacing w:after="0" w:line="206"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its legal existence;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59" w:name="page160"/>
    <w:bookmarkEnd w:id="159"/>
    <w:p>
      <w:pPr>
        <w:jc w:val="both"/>
        <w:ind w:left="840" w:right="20" w:firstLine="1288"/>
        <w:spacing w:after="0" w:line="266" w:lineRule="auto"/>
        <w:tabs>
          <w:tab w:leader="none" w:pos="2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all applicable laws, rules, regulations and orders of governmental authorities and other Requirements of Law (including, without limitation, Consumer Laws and all environmental laws);</w:t>
      </w:r>
    </w:p>
    <w:p>
      <w:pPr>
        <w:spacing w:after="0" w:line="175" w:lineRule="exact"/>
        <w:rPr>
          <w:rFonts w:ascii="Times New Roman" w:cs="Times New Roman" w:eastAsia="Times New Roman" w:hAnsi="Times New Roman"/>
          <w:sz w:val="18"/>
          <w:szCs w:val="18"/>
          <w:color w:val="auto"/>
        </w:rPr>
      </w:pPr>
    </w:p>
    <w:p>
      <w:pPr>
        <w:ind w:left="840" w:firstLine="1288"/>
        <w:spacing w:after="0" w:line="282" w:lineRule="auto"/>
        <w:tabs>
          <w:tab w:leader="none" w:pos="2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adequate records and books of account, in which complete entries will be made in accordance with GAAP consistently applied;</w:t>
      </w:r>
    </w:p>
    <w:p>
      <w:pPr>
        <w:spacing w:after="0" w:line="161" w:lineRule="exact"/>
        <w:rPr>
          <w:rFonts w:ascii="Times New Roman" w:cs="Times New Roman" w:eastAsia="Times New Roman" w:hAnsi="Times New Roman"/>
          <w:sz w:val="18"/>
          <w:szCs w:val="18"/>
          <w:color w:val="auto"/>
        </w:rPr>
      </w:pPr>
    </w:p>
    <w:p>
      <w:pPr>
        <w:jc w:val="both"/>
        <w:ind w:left="840" w:right="20" w:firstLine="1288"/>
        <w:spacing w:after="0" w:line="258" w:lineRule="auto"/>
        <w:tabs>
          <w:tab w:leader="none" w:pos="2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move its chief executive office or chief operating office from the addresses referred to herein or change its jurisdiction of organization unless it shall have provided the Lenders not less than 30 days prior written notice of such change to permit the Administrative Agent to make any additional filings necessary to continue the Collateral Agent’s perfected security interest in the Collateral and the Pledged LLC Interests for the benefit of the Secured Parties;</w:t>
      </w:r>
    </w:p>
    <w:p>
      <w:pPr>
        <w:spacing w:after="0" w:line="183" w:lineRule="exact"/>
        <w:rPr>
          <w:rFonts w:ascii="Times New Roman" w:cs="Times New Roman" w:eastAsia="Times New Roman" w:hAnsi="Times New Roman"/>
          <w:sz w:val="18"/>
          <w:szCs w:val="18"/>
          <w:color w:val="auto"/>
        </w:rPr>
      </w:pPr>
    </w:p>
    <w:p>
      <w:pPr>
        <w:jc w:val="both"/>
        <w:ind w:left="840" w:firstLine="1288"/>
        <w:spacing w:after="0" w:line="261" w:lineRule="auto"/>
        <w:tabs>
          <w:tab w:leader="none" w:pos="2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and</w:t>
      </w:r>
    </w:p>
    <w:p>
      <w:pPr>
        <w:spacing w:after="0" w:line="179"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 business in a prudent, reasonable and lawful manner with all licenses, rights, permits, franchises and qualifications necessary to perform its respective obligations under this Agreement, the Sale and Servicing Agreement, the Loans and the other Loan Documents.</w:t>
      </w:r>
    </w:p>
    <w:p>
      <w:pPr>
        <w:spacing w:after="0" w:line="175" w:lineRule="exact"/>
        <w:rPr>
          <w:rFonts w:ascii="Times New Roman" w:cs="Times New Roman" w:eastAsia="Times New Roman" w:hAnsi="Times New Roman"/>
          <w:sz w:val="18"/>
          <w:szCs w:val="18"/>
          <w:color w:val="auto"/>
        </w:rPr>
      </w:pPr>
    </w:p>
    <w:p>
      <w:pPr>
        <w:jc w:val="both"/>
        <w:ind w:left="180" w:firstLine="1299"/>
        <w:spacing w:after="0" w:line="255" w:lineRule="auto"/>
        <w:tabs>
          <w:tab w:leader="none" w:pos="21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the Borrower</w:t>
      </w:r>
      <w:r>
        <w:rPr>
          <w:rFonts w:ascii="Times New Roman" w:cs="Times New Roman" w:eastAsia="Times New Roman" w:hAnsi="Times New Roman"/>
          <w:sz w:val="18"/>
          <w:szCs w:val="18"/>
          <w:color w:val="auto"/>
        </w:rPr>
        <w:t>. CPS shall own beneficially and of record 100% of the Class A Member Interests (as defined in the LLC Agreement) of the Borrower free and clear of all Liens (other than the Lien granted to the Collateral Agent under the Pledge Agreement). CPS shall own beneficially and of record 100% of the membership interests in TFC Enterprises LLC free and clear of all Liens, which shall own beneficially and of record 100% of the Class B membership interests in the Borrower free and clear of all Liens. The Borrower shall at all times be a disregarded entity for federal income tax purposes and no election will be made to treat the Borrower as a corporation or an association taxable as a corporation for federal income tax purposes.</w:t>
      </w:r>
    </w:p>
    <w:p>
      <w:pPr>
        <w:spacing w:after="0" w:line="188"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Certificates</w:t>
      </w:r>
      <w:r>
        <w:rPr>
          <w:rFonts w:ascii="Times New Roman" w:cs="Times New Roman" w:eastAsia="Times New Roman" w:hAnsi="Times New Roman"/>
          <w:sz w:val="18"/>
          <w:szCs w:val="18"/>
          <w:color w:val="auto"/>
        </w:rPr>
        <w:t xml:space="preserve">. The Borrower shall deliver to the Administrative Agent, together with each Borrowing Request, a Borrowing Base Certificate in accordance with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jc w:val="both"/>
        <w:ind w:left="180" w:right="20" w:firstLine="1300"/>
        <w:spacing w:after="0" w:line="258" w:lineRule="auto"/>
        <w:tabs>
          <w:tab w:leader="none" w:pos="21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Statements</w:t>
      </w:r>
      <w:r>
        <w:rPr>
          <w:rFonts w:ascii="Times New Roman" w:cs="Times New Roman" w:eastAsia="Times New Roman" w:hAnsi="Times New Roman"/>
          <w:sz w:val="18"/>
          <w:szCs w:val="18"/>
          <w:color w:val="auto"/>
        </w:rPr>
        <w:t>. The Borrower will furnish or cause to be furnished to the Lenders, from time to time, statements and schedules further identifying and describing the Collateral and such other reports in connection with the Collateral as a Lender may reasonably request, all in reasonable detail, including without limitation each statement, certificate and report required to be delivered to the Administrative Agent, the Hired NRSRO or the Lenders under any Loan Document.</w:t>
      </w:r>
    </w:p>
    <w:p>
      <w:pPr>
        <w:spacing w:after="0" w:line="183"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21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to Enforce Rights</w:t>
      </w:r>
      <w:r>
        <w:rPr>
          <w:rFonts w:ascii="Times New Roman" w:cs="Times New Roman" w:eastAsia="Times New Roman" w:hAnsi="Times New Roman"/>
          <w:sz w:val="18"/>
          <w:szCs w:val="18"/>
          <w:color w:val="auto"/>
        </w:rPr>
        <w:t>. CPS and the Borrower shall take such reasonable and lawful actions as the Administrative Agent shall request to enforce the rights of the Lenders under the Loan Documents with respect to the Collateral and the Pledged LLC Interests, and, following the occurrence of an Event of Default, shall take such reasonable and lawful actions as are necessary to enable the Administrative Agent to exercise such rights in its own name.</w:t>
      </w:r>
    </w:p>
    <w:p>
      <w:pPr>
        <w:spacing w:after="0" w:line="179"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0" w:name="page161"/>
    <w:bookmarkEnd w:id="160"/>
    <w:p>
      <w:pPr>
        <w:jc w:val="both"/>
        <w:ind w:left="180" w:firstLine="1300"/>
        <w:spacing w:after="0" w:line="254" w:lineRule="auto"/>
        <w:tabs>
          <w:tab w:leader="none" w:pos="21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Servicer’s Certificate</w:t>
      </w:r>
      <w:r>
        <w:rPr>
          <w:rFonts w:ascii="Times New Roman" w:cs="Times New Roman" w:eastAsia="Times New Roman" w:hAnsi="Times New Roman"/>
          <w:sz w:val="18"/>
          <w:szCs w:val="18"/>
          <w:color w:val="auto"/>
        </w:rPr>
        <w:t xml:space="preserve">. The Borrower shall, or shall cause the Servicer (so long as CPS is Servicer) to, deliver to the Lenders, the Administrative Agent, the Account Bank and the Backup Servicer, no later than 1:00 p.m., New York City time, one Business Day before each Settlement Date, in a computer readable format reasonably acceptable to each such Person, a Servicer’s Certificate executed by a Servicing Officer or agent of Servicer containing all information required to be included in such Servicer’s Certificate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Sale and Servicing Agreement and related monthly data. The Borrower shall, or shall cause the Servicer (so long as the CPS is Servicer) to, deliver to each Lender, the Administrative Agent, the Account Bank and the Backup Servicer a hard copy of any such Servicer’s Certificate upon request of such Person.</w:t>
      </w:r>
    </w:p>
    <w:p>
      <w:pPr>
        <w:spacing w:after="0" w:line="191"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Existence; No Commingling</w:t>
      </w:r>
      <w:r>
        <w:rPr>
          <w:rFonts w:ascii="Times New Roman" w:cs="Times New Roman" w:eastAsia="Times New Roman" w:hAnsi="Times New Roman"/>
          <w:sz w:val="18"/>
          <w:szCs w:val="18"/>
          <w:color w:val="auto"/>
        </w:rPr>
        <w:t xml:space="preserve">. The Borrower shall limit its activities to such activities as are incident to and necessary or convenient to accomplish the following purposes: (i) to acquire, own, hold, pledge, finance and otherwise deal with Receivables to be pledged to the Collateral Agent for the benefit of the Secured Parties pursuant to the Security Agreement and in accordance with the Loan Documents and (ii) to sell, securitize or otherwise liquidate all or any portion of such Receivables in accordance with the provisions of the Loan Documents. In addition, until the Termination Date, the Borrower shall observe and comply with the applicable legal requirements for the recognition of the Borrower as a legal entity separate and apart from its Affiliates, including without limitation, those requirements set forth in Section 9(b)(iv) of the Borrower’s Limited Liability Company Agreement. Without limiting the foregoing, the Borrower shall, and CPS shall cause itself and any other Affiliates of the Borrower to, maintain the truth and accuracy of all facts assumed by Alston &amp; Bird LLP in the true sale and non-consolidation opinions of Alston &amp; Bird LLP;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request is made for the Lenders to consent to or approve any matter that, if effectuated or consummated, would result in a change to the continuing truth and accuracy of any of the factual assumptions in the true sale or non-consolidation opinions of Alston &amp; Bird LLP, such request shall be accompanied by an opinion of Alston &amp; Bird LLP, or such other counsel as may be reasonably satisfactory to the Lenders, that the conclusions set forth in the true sale and non-consolidation opinions of Alston &amp; Bird LLP will be unaffected by such change.</w:t>
      </w:r>
    </w:p>
    <w:p>
      <w:pPr>
        <w:spacing w:after="0" w:line="195"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Liens or Interests</w:t>
      </w:r>
      <w:r>
        <w:rPr>
          <w:rFonts w:ascii="Times New Roman" w:cs="Times New Roman" w:eastAsia="Times New Roman" w:hAnsi="Times New Roman"/>
          <w:sz w:val="18"/>
          <w:szCs w:val="18"/>
          <w:color w:val="auto"/>
        </w:rPr>
        <w:t>. Except for the conveyances under the Sale and Servicing Agreement and the other Loan Documents, CPS shall not sell, pledge, assign or transfer to any other Person, or grant, create, incur, assume or suffer to exist any lien on or any interest in, the Receivables or the Other Conveyed Property. Except for the pledges pursuant to the Security Agreement and the other Loan Documents, the Borrower shall not sell, pledge, assign or transfer to any other Person, or grant, create, incur, assume or suffer to exist any lien on or any interest in, the Collateral or the Pledged LLC Interests. CPS and the Borrower shall, at their own expense, defend (i) the Collateral and the Pledged LLC Interests against, and will take such other action as is necessary to remove, any Lien, security interest or claim on, in or to the Collateral or the Pledged LLC Interests, other than the security interests created under the Loan Documents, and (ii) the right, title and interest of each Lender in and to any of the Collateral and the Pledged LLC Interests.</w:t>
      </w:r>
    </w:p>
    <w:p>
      <w:pPr>
        <w:spacing w:after="0" w:line="188"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Books and Records; Other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1288"/>
        <w:spacing w:after="0" w:line="255" w:lineRule="auto"/>
        <w:tabs>
          <w:tab w:leader="none" w:pos="27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CPS and the Borrower shall maintain accounts and records as to each Receivable accurately and in sufficient detail to permit the reader thereof to know at any time the status of such Receivable, including payments and recoveries made and payments owing (and the nature of each). CPS shall maintain accurate and complete books and records with respect to the Receivables and the Other Conveyed Property and with respect to CPS’s business. The Borrower shall maintain accurate and complete books and records with respect to the Collateral and the Borrower’s business. All accounting books and records shall be maintained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1" w:name="page162"/>
    <w:bookmarkEnd w:id="161"/>
    <w:p>
      <w:pPr>
        <w:jc w:val="both"/>
        <w:ind w:left="840" w:right="20" w:firstLine="1288"/>
        <w:spacing w:after="0" w:line="253" w:lineRule="auto"/>
        <w:tabs>
          <w:tab w:leader="none" w:pos="27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CPS and the Borrower shall, and shall cause each of their respective Affiliates to, permit any representative of the Administrative Agent to visit and inspect any of the properties of CPS, the Borrower and such Affiliates and to examine the books and records of CPS or the Borrower and such Affiliates, as applicable, and to make copies and take extracts therefrom, and to discuss the business, operations, properties, condition (financial or otherwise) or prospects of CPS or the Borrower and each such Affiliate, as applicable, or any of the Collateral or the Pledged LLC Interests with the officers and Independent Accountants thereof and as often as the Administrative Agent may reasonably request, and so long as no Default or Event of Default shall have occurred and be continuing, all at such reasonable times during normal business hours upon reasonable written notice; provided that, after a Default or Event of Default shall have occurred and be continuing, the Administrative Agent may make such inspections, examine such documents, make such copies, take such extracts and conduct such discussions at such times as it may determine in its reasonable discretion during CPS’s and the Borrower’s normal business hours.</w:t>
      </w:r>
    </w:p>
    <w:p>
      <w:pPr>
        <w:spacing w:after="0" w:line="189"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CPS and the Borrower shall promptly provide to the Administrative Agent all information regarding its respective operations and practices, the Collateral and the Pledged LLC Interests as the Administrative Agent shall reasonably request.</w:t>
      </w:r>
    </w:p>
    <w:p>
      <w:pPr>
        <w:spacing w:after="0" w:line="175" w:lineRule="exact"/>
        <w:rPr>
          <w:rFonts w:ascii="Times New Roman" w:cs="Times New Roman" w:eastAsia="Times New Roman" w:hAnsi="Times New Roman"/>
          <w:sz w:val="18"/>
          <w:szCs w:val="18"/>
          <w:color w:val="auto"/>
        </w:rPr>
      </w:pPr>
    </w:p>
    <w:p>
      <w:pPr>
        <w:jc w:val="both"/>
        <w:ind w:left="840" w:firstLine="1287"/>
        <w:spacing w:after="0" w:line="253" w:lineRule="auto"/>
        <w:tabs>
          <w:tab w:leader="none" w:pos="27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CPS shall maintain its computer systems so that, from and after the time of each sale of Receivables under the Sale and Servicing Agreement to the Borrower, CPS’s master computer records (including any back-up archives) that refer to a Receivable shall indicate clearly that such Receivable has been sold by CPS to the Borrower and that such Receivable has been pledged by the Borrower to the Collateral Agent for the benefit of the Secured Parties pursuant to the Security Agreement. Indication of the Collateral Agent’s interest in such Receivable shall be deleted from or modified on CPS’s computer systems when, and only when, the Receivable shall have been released from the Lien of the Security Agreement in accordance with the terms of the Security Agreement, and indication of the Borrower’s interest in such Receivable shall be deleted from or modified on CPS’s computer systems when, and only when, the Receivable shall have been paid in full or repurchased from the Borrower by CPS (or transferred to CPS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Sale and Servicing Agreement).</w:t>
      </w:r>
    </w:p>
    <w:p>
      <w:pPr>
        <w:spacing w:after="0" w:line="194" w:lineRule="exact"/>
        <w:rPr>
          <w:rFonts w:ascii="Times New Roman" w:cs="Times New Roman" w:eastAsia="Times New Roman" w:hAnsi="Times New Roman"/>
          <w:sz w:val="18"/>
          <w:szCs w:val="18"/>
          <w:color w:val="auto"/>
        </w:rPr>
      </w:pPr>
    </w:p>
    <w:p>
      <w:pPr>
        <w:jc w:val="both"/>
        <w:ind w:left="840" w:right="20" w:firstLine="1288"/>
        <w:spacing w:after="0" w:line="261" w:lineRule="auto"/>
        <w:tabs>
          <w:tab w:leader="none" w:pos="27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CPS shall furnish to a Lender, within five (5) Business Days, (x) a list of all Receivables (by contract number and name of Obligor) then owned by the Borrower, together with a reconciliation of such list to the Schedule of Receivables, and (y) such other information as such Lender may reasonably request.</w:t>
      </w:r>
    </w:p>
    <w:p>
      <w:pPr>
        <w:spacing w:after="0" w:line="179" w:lineRule="exact"/>
        <w:rPr>
          <w:rFonts w:ascii="Times New Roman" w:cs="Times New Roman" w:eastAsia="Times New Roman" w:hAnsi="Times New Roman"/>
          <w:sz w:val="18"/>
          <w:szCs w:val="18"/>
          <w:color w:val="auto"/>
        </w:rPr>
      </w:pPr>
    </w:p>
    <w:p>
      <w:pPr>
        <w:jc w:val="both"/>
        <w:ind w:left="840" w:firstLine="1288"/>
        <w:spacing w:after="0" w:line="254" w:lineRule="auto"/>
        <w:tabs>
          <w:tab w:leader="none" w:pos="27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CPS shall propose to sell, grant a security interest in, or otherwise transfer any interest in any automobile, van, sport utility vehicle or light duty truck receivables (other than the Receivables) to any prospective purchaser, lender, or other transferee, and if CPS shall give to such prospective purchaser, lender or other transferee computer tapes, records, or print-outs (including any restored from back-up archives, collectively “data records”) that refer in any manner whatsoever to any Receivable, such data records shall indicate clearly that such Receivable has been sold by CPS to the Borrower and pledged by the Borrower to Collateral Agent for the benefit of the Secured Parties unless such Receivable shall have been released from the Lien of the Security Agreement in accordance with the terms of the Security Agreement and shall have been paid in full or repurchased from the Borrower by CPS.</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Fulfillment of Obligations</w:t>
      </w:r>
      <w:r>
        <w:rPr>
          <w:rFonts w:ascii="Times New Roman" w:cs="Times New Roman" w:eastAsia="Times New Roman" w:hAnsi="Times New Roman"/>
          <w:sz w:val="18"/>
          <w:szCs w:val="18"/>
          <w:color w:val="auto"/>
        </w:rPr>
        <w:t>. Each of CPS and the Borrower shall pay and perform, as and when due, all of its obligations of whatever nature, except where the amount or validity thereof is currently being contested in good faith by appropriate proceedings and reserves in conformity with GAAP with respect thereto have been provided on the books of CPS or the Borrower, as applicable.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2" w:name="page163"/>
    <w:bookmarkEnd w:id="162"/>
    <w:p>
      <w:pPr>
        <w:jc w:val="both"/>
        <w:ind w:left="180" w:firstLine="1300"/>
        <w:spacing w:after="0" w:line="255" w:lineRule="auto"/>
        <w:tabs>
          <w:tab w:leader="none" w:pos="21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Each of CPS and the Borrower shall, and CPS shall cause each of its Subsidiaries to, comply (i) in all material respects with all Requirements of Law and any change therein or in the application, administration or interpretation thereof (including, without limitation any request, directive, guideline or policy, whether or not having the force of law) by any Governmental Authority charged with the administration or interpretation thereof; and (ii) with all indentures, mortgages, deeds of trust, agreements, or other instruments or contractual obligations to which it is a party, including without limitation, each Loan Document to which it is a party, or by which it or any of its properties may be bound or affected, or which may affect the Receivables.</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1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Loan Documents</w:t>
      </w:r>
      <w:r>
        <w:rPr>
          <w:rFonts w:ascii="Times New Roman" w:cs="Times New Roman" w:eastAsia="Times New Roman" w:hAnsi="Times New Roman"/>
          <w:sz w:val="18"/>
          <w:szCs w:val="18"/>
          <w:color w:val="auto"/>
        </w:rPr>
        <w:t>. CPS, in its capacity as Seller and Servicer, or otherwise, shall comply with each of its covenants contained in the Loan Documents. The Borrower and the Purchaser, in their capacities as such or otherwise, shall comply with each of their respective covenants contained in the Loan Documents.</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1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At the request of the Administrative Agent, CPS and the Borrower shall file such financing statements as the Administrative Agent determines may be required by law to perfect, maintain and protect the interest of the Lenders in the Collateral, the Pledged LLC Interests and the proceeds thereof.</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1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 and Expenses</w:t>
      </w:r>
      <w:r>
        <w:rPr>
          <w:rFonts w:ascii="Times New Roman" w:cs="Times New Roman" w:eastAsia="Times New Roman" w:hAnsi="Times New Roman"/>
          <w:sz w:val="18"/>
          <w:szCs w:val="18"/>
          <w:color w:val="auto"/>
        </w:rPr>
        <w:t>. CPS and the Borrower shall pay to each Lender, on demand, any and all fees, costs or expenses that such Lender pays to a bank or other similar institution arising out of or in connection with the return of payments from CPS or the Borrower deposited for collection by such Lender.</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52" w:lineRule="auto"/>
        <w:tabs>
          <w:tab w:leader="none" w:pos="21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Access to Records</w:t>
      </w:r>
      <w:r>
        <w:rPr>
          <w:rFonts w:ascii="Times New Roman" w:cs="Times New Roman" w:eastAsia="Times New Roman" w:hAnsi="Times New Roman"/>
          <w:sz w:val="18"/>
          <w:szCs w:val="18"/>
          <w:color w:val="auto"/>
        </w:rPr>
        <w:t xml:space="preserve">. CPS shall provide the Lenders with quarterly unaudited financial statements within forty-five (45) days of the end of each of CPS’s first three fiscal quarters, and CPS will provide the Lenders with audited financial statements within ninety (90) days of each of CPS’s fiscal year-end audited by Independent Accountants. If and when requested by the Administrative Agent (but not before), within </w:t>
      </w:r>
      <w:r>
        <w:rPr>
          <w:rFonts w:ascii="Times New Roman" w:cs="Times New Roman" w:eastAsia="Times New Roman" w:hAnsi="Times New Roman"/>
          <w:sz w:val="18"/>
          <w:szCs w:val="18"/>
          <w:u w:val="single" w:color="auto"/>
          <w:color w:val="0000FF"/>
        </w:rPr>
        <w:t>thirty</w:t>
      </w:r>
      <w:r>
        <w:rPr>
          <w:rFonts w:ascii="Times New Roman" w:cs="Times New Roman" w:eastAsia="Times New Roman" w:hAnsi="Times New Roman"/>
          <w:sz w:val="18"/>
          <w:szCs w:val="18"/>
          <w:color w:val="auto"/>
        </w:rPr>
        <w:t xml:space="preserve"> days after the end of each calendar month prior to the termination of the Loan Documents, CPS shall provide the Administrative Agent with unaudited monthly financial statements for the immediately preceding calendar month. CPS shall deliver to the Lenders with each financial statement a certificate by CPS’s chief financial officer, certifying that such financial statements are complete and correct in all material respects and that, except as noted in such certificate, such chief financial officer has no knowledge of any Default, Event of Default, Servicer Termination Event or the occurrence of any Funding Termination Date. Notwithstanding the foregoing, CPS shall have no obligation to deliver any of the foregoing financial statements to the Lenders for so long as CPS is subject to, and in compliance with, the reporting requirements under Section 13(a) of the Exchange Act. In connection with each report filed by CPS under Section 13(a) of the Exchange Act until the Termination Date, CPS shall be deemed to have represented and warranted to the Lenders that, as of the related filing date, the financial statements contained in such report are complete and correct in all material respects and that, unless otherwise specified in such report, CPS has no knowledge of any Default, Event of Default, Servicer Termination Event or the occurrence of any Funding Termination Date as of such filing date.</w:t>
      </w:r>
    </w:p>
    <w:p>
      <w:pPr>
        <w:spacing w:after="0" w:line="194"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21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Matters</w:t>
      </w:r>
      <w:r>
        <w:rPr>
          <w:rFonts w:ascii="Times New Roman" w:cs="Times New Roman" w:eastAsia="Times New Roman" w:hAnsi="Times New Roman"/>
          <w:sz w:val="18"/>
          <w:szCs w:val="18"/>
          <w:color w:val="auto"/>
        </w:rPr>
        <w:t>. CPS shall notify the Lenders in writing, promptly upon its learning thereof, of any litigation, arbitration or administrative proceeding not otherwise disclosed in CPS’s most recent Form 10-K filed with the Securities and Exchange Commission (under the heading “Legal Proceedings”), in each case potentially involving an amount (i) in excess of [***] or (ii) less than [***] if otherwise material, including without limitation any putative class action or any other proceeding which may reasonably be expected to have a Material Adverse Effect or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63" w:name="page164"/>
    <w:bookmarkEnd w:id="163"/>
    <w:p>
      <w:pPr>
        <w:ind w:left="2120" w:hanging="641"/>
        <w:spacing w:after="0"/>
        <w:tabs>
          <w:tab w:leader="none" w:pos="21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To the extent, if any, that any rating provided with respect to the Loans by Standard</w:t>
      </w:r>
    </w:p>
    <w:p>
      <w:pPr>
        <w:spacing w:after="0" w:line="27" w:lineRule="exact"/>
        <w:rPr>
          <w:rFonts w:ascii="Times New Roman" w:cs="Times New Roman" w:eastAsia="Times New Roman" w:hAnsi="Times New Roman"/>
          <w:sz w:val="18"/>
          <w:szCs w:val="18"/>
          <w:color w:val="auto"/>
        </w:rPr>
      </w:pPr>
    </w:p>
    <w:p>
      <w:pPr>
        <w:jc w:val="both"/>
        <w:ind w:left="180" w:right="20" w:firstLine="3"/>
        <w:spacing w:after="0" w:line="255" w:lineRule="auto"/>
        <w:tabs>
          <w:tab w:leader="none" w:pos="3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is conditional upon the furnishing of documents or the taking of any actions by the Borrower, the Purchaser, the Seller, the Servicer or CPS, the Borrower, the Purchaser, the Seller, the Servicer or CPS, as the case may be, shall furnish such documents and take any such other actions.</w:t>
      </w:r>
    </w:p>
    <w:p>
      <w:pPr>
        <w:spacing w:after="0" w:line="185"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21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Tangible Net Worth</w:t>
      </w:r>
      <w:r>
        <w:rPr>
          <w:rFonts w:ascii="Times New Roman" w:cs="Times New Roman" w:eastAsia="Times New Roman" w:hAnsi="Times New Roman"/>
          <w:sz w:val="18"/>
          <w:szCs w:val="18"/>
          <w:color w:val="auto"/>
        </w:rPr>
        <w:t xml:space="preserve">. CPS shall maintain minimum Tangible Net Worth of the sum of (i) [***], plus (ii) [***] of positive net income for each quarter after December 31, 2020, measured as of the end of each fiscal quarter. Any additional interest expense caused by derivative accounting treatment for any warrants issued by CPS shall be factored out of the positive net income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CPS shall maintain Available Liquidity of at least [***] as of the end of each calendar</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w:t>
      </w:r>
    </w:p>
    <w:p>
      <w:pPr>
        <w:spacing w:after="0" w:line="206" w:lineRule="exact"/>
        <w:rPr>
          <w:rFonts w:ascii="Times New Roman" w:cs="Times New Roman" w:eastAsia="Times New Roman" w:hAnsi="Times New Roman"/>
          <w:sz w:val="18"/>
          <w:szCs w:val="18"/>
          <w:color w:val="auto"/>
        </w:rPr>
      </w:pPr>
    </w:p>
    <w:p>
      <w:pPr>
        <w:jc w:val="both"/>
        <w:ind w:left="180" w:firstLine="1300"/>
        <w:spacing w:after="0" w:line="253" w:lineRule="auto"/>
        <w:tabs>
          <w:tab w:leader="none" w:pos="21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LLC Agreement and Class B Member Interests</w:t>
      </w:r>
      <w:r>
        <w:rPr>
          <w:rFonts w:ascii="Times New Roman" w:cs="Times New Roman" w:eastAsia="Times New Roman" w:hAnsi="Times New Roman"/>
          <w:sz w:val="18"/>
          <w:szCs w:val="18"/>
          <w:color w:val="auto"/>
        </w:rPr>
        <w:t>. Each of the Borrower, the Purchaser, the Seller, the Servicer and CPS hereby covenants and agrees to be bound by and to comply with the terms of the LLC Agreement including, without limitation, Sections 21 and 36 thereof. CPS hereby covenants and agrees to cause each holder of the Class B Member Interest (as defined in the LLC Agreement, as so defined, the “</w:t>
      </w:r>
      <w:r>
        <w:rPr>
          <w:rFonts w:ascii="Times New Roman" w:cs="Times New Roman" w:eastAsia="Times New Roman" w:hAnsi="Times New Roman"/>
          <w:sz w:val="18"/>
          <w:szCs w:val="18"/>
          <w:u w:val="single" w:color="auto"/>
          <w:color w:val="auto"/>
        </w:rPr>
        <w:t>Class B Member Interest</w:t>
      </w:r>
      <w:r>
        <w:rPr>
          <w:rFonts w:ascii="Times New Roman" w:cs="Times New Roman" w:eastAsia="Times New Roman" w:hAnsi="Times New Roman"/>
          <w:sz w:val="18"/>
          <w:szCs w:val="18"/>
          <w:color w:val="auto"/>
        </w:rPr>
        <w:t>”), other than TFC Enterprises LLC, and each oblige of a Class B Member Residual Obligation to provide the Administrative Agent, immediately prior to or contemporaneously with such Class B Member accepting its Class B Member Interest or the issuance of such Class B Member Residual Obligations, respectively, a written acknowledgment, in form and substance reasonably satisfactory to the Administrative Agent, to the effect that it has reviewed and understands the LLC Agreement and the Consent and Agreement, that it is bound by the LLC Agreement and the Consent and Agreement, and that it has consulted with its own legal, regulatory, business, investment and financial advisers in connection therewith. All distributions made by the Borrower to any holder of a Class B Member Interest shall be subject to the provisions of Section 21(g) of the LLC Agreement.</w:t>
      </w:r>
    </w:p>
    <w:p>
      <w:pPr>
        <w:spacing w:after="0" w:line="189"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1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17g-5</w:t>
      </w:r>
      <w:r>
        <w:rPr>
          <w:rFonts w:ascii="Times New Roman" w:cs="Times New Roman" w:eastAsia="Times New Roman" w:hAnsi="Times New Roman"/>
          <w:sz w:val="18"/>
          <w:szCs w:val="18"/>
          <w:color w:val="auto"/>
        </w:rPr>
        <w:t>. Each of Borrower and CPS will comply with the representations, certifications and covenants made by it in each engagement letter with the Hired NRSRO, including any representation, certification or covenant provided to the Hired NRSRO in connection with Rule 17g-5, and will make accessible to any non-hired nationally recognized statistical rating organization all information provided to each Hired NRSRO in connection with the issuance and monitoring of the credit ratings on the Loans in accordance with Rule 17g-5.</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Capital Markets</w:t>
      </w:r>
      <w:r>
        <w:rPr>
          <w:rFonts w:ascii="Times New Roman" w:cs="Times New Roman" w:eastAsia="Times New Roman" w:hAnsi="Times New Roman"/>
          <w:sz w:val="18"/>
          <w:szCs w:val="18"/>
          <w:color w:val="auto"/>
        </w:rPr>
        <w:t>. The Borrower and CPS shall engage in Securitization Transactions no less often than once every 250 days, with the measurement commencing on the Restatement Closing Date, each of which Securitization Transaction shall include Receivables in an amount relatively proportionate to all automobile receivables being securitized in such Securitization Transaction.</w:t>
      </w:r>
    </w:p>
    <w:p>
      <w:pPr>
        <w:spacing w:after="0" w:line="179"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 Account</w:t>
      </w:r>
      <w:r>
        <w:rPr>
          <w:rFonts w:ascii="Times New Roman" w:cs="Times New Roman" w:eastAsia="Times New Roman" w:hAnsi="Times New Roman"/>
          <w:sz w:val="18"/>
          <w:szCs w:val="18"/>
          <w:color w:val="auto"/>
        </w:rPr>
        <w:t>. An amount equal to the Required Reserve Account Amount shall be maintained on deposit in the Reserve Account.</w:t>
      </w:r>
    </w:p>
    <w:p>
      <w:pPr>
        <w:spacing w:after="0" w:line="161"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and Change in Businesses</w:t>
      </w:r>
      <w:r>
        <w:rPr>
          <w:rFonts w:ascii="Times New Roman" w:cs="Times New Roman" w:eastAsia="Times New Roman" w:hAnsi="Times New Roman"/>
          <w:sz w:val="18"/>
          <w:szCs w:val="18"/>
          <w:color w:val="auto"/>
        </w:rPr>
        <w:t xml:space="preserve">. CPS shall cause each of its Excluded Subsidiaries to continue to engage in the same business or businesses it engaged in on the Original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of such Excluded Subsidiaries may be dissolved or liquidated by CPS at any time.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4" w:name="page165"/>
    <w:bookmarkEnd w:id="164"/>
    <w:p>
      <w:pPr>
        <w:ind w:left="2120" w:hanging="640"/>
        <w:spacing w:after="0"/>
        <w:tabs>
          <w:tab w:leader="none" w:pos="2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Spread</w:t>
      </w:r>
      <w:r>
        <w:rPr>
          <w:rFonts w:ascii="Times New Roman" w:cs="Times New Roman" w:eastAsia="Times New Roman" w:hAnsi="Times New Roman"/>
          <w:sz w:val="18"/>
          <w:szCs w:val="18"/>
          <w:color w:val="auto"/>
        </w:rPr>
        <w:t>. The Minimum Excess Spread Requirement shall at all times be satisfied.</w:t>
      </w:r>
    </w:p>
    <w:p>
      <w:pPr>
        <w:spacing w:after="0" w:line="22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CPS shall maintain such insurance as is generally acceptable to prudent institutional investors and usual and customary for similar companies in its industry.</w:t>
      </w:r>
    </w:p>
    <w:p>
      <w:pPr>
        <w:spacing w:after="0" w:line="162"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 Until the Termination Date:</w:t>
      </w:r>
    </w:p>
    <w:p>
      <w:pPr>
        <w:spacing w:after="0" w:line="225" w:lineRule="exact"/>
        <w:rPr>
          <w:sz w:val="20"/>
          <w:szCs w:val="20"/>
          <w:color w:val="auto"/>
        </w:rPr>
      </w:pPr>
    </w:p>
    <w:p>
      <w:pPr>
        <w:jc w:val="both"/>
        <w:ind w:left="180" w:firstLine="1300"/>
        <w:spacing w:after="0" w:line="254" w:lineRule="auto"/>
        <w:tabs>
          <w:tab w:leader="none" w:pos="21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Transactions</w:t>
      </w:r>
      <w:r>
        <w:rPr>
          <w:rFonts w:ascii="Times New Roman" w:cs="Times New Roman" w:eastAsia="Times New Roman" w:hAnsi="Times New Roman"/>
          <w:sz w:val="18"/>
          <w:szCs w:val="18"/>
          <w:color w:val="auto"/>
        </w:rPr>
        <w:t>. Neither CPS nor the Borrower shall enter into any transaction that adversely affects the Collateral, the Pledged LLC Interests, any Lender’s rights under this Agreement, the Loans or any other Loan Document, the Borrower’s interest in the Receivables and the Other Conveyed Property pursuant to the Sale and Servicing Agreement, the Collateral Agent’s security interest in the Collateral pursuant to this Agreement, or that could reasonably be expected to result in a Material Adverse Change with respect to the Borrower or CPS or a Material Adverse Effect. Neither CPS nor the Borrower shall enter into, and CPS shall not permit TFC Enterprises LLC to enter into, any agreement, covenant or undertaking that restricts the power or authority of CPS or the Borrower, acting without the consent of any other Person, to amend, waive or otherwise modify any provision of this Agreement or any other Loan Document.</w:t>
      </w:r>
    </w:p>
    <w:p>
      <w:pPr>
        <w:spacing w:after="0" w:line="191"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The Borrower shall not guarantee or otherwise in any way become liable with respect to the obligations or liabilities of any other Person.</w:t>
      </w:r>
    </w:p>
    <w:p>
      <w:pPr>
        <w:spacing w:after="0" w:line="161" w:lineRule="exact"/>
        <w:rPr>
          <w:rFonts w:ascii="Times New Roman" w:cs="Times New Roman" w:eastAsia="Times New Roman" w:hAnsi="Times New Roman"/>
          <w:sz w:val="18"/>
          <w:szCs w:val="18"/>
          <w:color w:val="auto"/>
        </w:rPr>
      </w:pPr>
    </w:p>
    <w:p>
      <w:pPr>
        <w:jc w:val="both"/>
        <w:ind w:left="180" w:right="20" w:firstLine="1300"/>
        <w:spacing w:after="0" w:line="258" w:lineRule="auto"/>
        <w:tabs>
          <w:tab w:leader="none" w:pos="21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The Borrower shall not declare or pay any dividends except (i) to the extent of funds legally available therefor from payments received by the Borrower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Sale and Servicing Agreement, or (ii)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Sale and Servicing Agreement, in each case in compliance with the last sentence of </w:t>
      </w:r>
      <w:r>
        <w:rPr>
          <w:rFonts w:ascii="Times New Roman" w:cs="Times New Roman" w:eastAsia="Times New Roman" w:hAnsi="Times New Roman"/>
          <w:sz w:val="18"/>
          <w:szCs w:val="18"/>
          <w:u w:val="single" w:color="auto"/>
          <w:color w:val="auto"/>
        </w:rPr>
        <w:t>Section 7.01(x)</w:t>
      </w:r>
      <w:r>
        <w:rPr>
          <w:rFonts w:ascii="Times New Roman" w:cs="Times New Roman" w:eastAsia="Times New Roman" w:hAnsi="Times New Roman"/>
          <w:sz w:val="18"/>
          <w:szCs w:val="18"/>
          <w:color w:val="auto"/>
        </w:rPr>
        <w:t xml:space="preserve"> of this Agreement. Notwithstanding the foregoing, the Borrower shall not declare or pay any dividends on any date as of which a Default or an Event of Default shall have occurred and is continuing.</w:t>
      </w:r>
    </w:p>
    <w:p>
      <w:pPr>
        <w:spacing w:after="0" w:line="183" w:lineRule="exact"/>
        <w:rPr>
          <w:rFonts w:ascii="Times New Roman" w:cs="Times New Roman" w:eastAsia="Times New Roman" w:hAnsi="Times New Roman"/>
          <w:sz w:val="18"/>
          <w:szCs w:val="18"/>
          <w:color w:val="auto"/>
        </w:rPr>
      </w:pPr>
    </w:p>
    <w:p>
      <w:pPr>
        <w:jc w:val="both"/>
        <w:ind w:left="180" w:right="20" w:firstLine="1300"/>
        <w:spacing w:after="0" w:line="266" w:lineRule="auto"/>
        <w:tabs>
          <w:tab w:leader="none" w:pos="21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The Borrower shall not make any investment in any Person through the direct or indirect holding of securities or otherwise, other than in the ordinary course of business or in connection with the future securitization of Receivables.</w:t>
      </w:r>
    </w:p>
    <w:p>
      <w:pPr>
        <w:spacing w:after="0" w:line="175" w:lineRule="exact"/>
        <w:rPr>
          <w:rFonts w:ascii="Times New Roman" w:cs="Times New Roman" w:eastAsia="Times New Roman" w:hAnsi="Times New Roman"/>
          <w:sz w:val="18"/>
          <w:szCs w:val="18"/>
          <w:color w:val="auto"/>
        </w:rPr>
      </w:pPr>
    </w:p>
    <w:p>
      <w:pPr>
        <w:jc w:val="both"/>
        <w:ind w:left="180" w:right="20" w:firstLine="1299"/>
        <w:spacing w:after="0" w:line="254" w:lineRule="auto"/>
        <w:tabs>
          <w:tab w:leader="none" w:pos="21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 or Business Objectives of the Borrower</w:t>
      </w:r>
      <w:r>
        <w:rPr>
          <w:rFonts w:ascii="Times New Roman" w:cs="Times New Roman" w:eastAsia="Times New Roman" w:hAnsi="Times New Roman"/>
          <w:sz w:val="18"/>
          <w:szCs w:val="18"/>
          <w:color w:val="auto"/>
        </w:rPr>
        <w:t>. The Borrower shall not do any of the following if it will adversely affect the payment or performance of, or the Borrower’s ability to pay and/or perform, its obligations to the Lenders with respect to this Agreement or any other Loan Document to which it is a party, or the Loans, or if it could reasonably be expected to result in a Material Adverse Change with respect to the Borrower or CPS or a Material Adverse Effect: (i) cancel any of the membership interests in the Borrower, (ii) make any change in the capital structure of the Borrower, or (iii) make any material change in any of its business objectives, purposes or operations that would adversely affect the payment or performance of, or the Borrower’s ability to pay and/or perform, its obligations to the Lenders with respect to this Agreement or any other Loan Document to which it is a party, or the Loans.</w:t>
      </w:r>
    </w:p>
    <w:p>
      <w:pPr>
        <w:spacing w:after="0" w:line="191"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The Borrower will not sell any Receivables or other Collateral related thereto if, following such sale, a Borrowing Base Deficiency would exist after giving effect to the application of proceeds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 foreclosure sale by or on behalf of the Lenders upon the occurrence of an Event of Default.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5" w:name="page166"/>
    <w:bookmarkEnd w:id="165"/>
    <w:p>
      <w:pPr>
        <w:jc w:val="both"/>
        <w:ind w:left="180" w:right="20" w:firstLine="1300"/>
        <w:spacing w:after="0" w:line="256" w:lineRule="auto"/>
        <w:tabs>
          <w:tab w:leader="none" w:pos="2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Liens on Equity Interests in the Borrower</w:t>
      </w:r>
      <w:r>
        <w:rPr>
          <w:rFonts w:ascii="Times New Roman" w:cs="Times New Roman" w:eastAsia="Times New Roman" w:hAnsi="Times New Roman"/>
          <w:sz w:val="18"/>
          <w:szCs w:val="18"/>
          <w:color w:val="auto"/>
        </w:rPr>
        <w:t>. CPS shall not grant or otherwise create any Lien on the Class A Member Interests (as defined in the LLC Agreement) in the Borrower (or any other equity interest in the Borrower, including the Class B Member Interest) without the prior written consent of the Administrative Agent (other than the Lien granted to the Collateral Agent under the Pledge Agreement). CPS shall not sell, pledge, assign or transfer to any Person, or grant, create, incur, assume or suffer to exist any Lien on or any interest in the membership interests in TFC Enterprises LLC or the residual economic interest in the Receivables represented thereby.</w:t>
      </w:r>
    </w:p>
    <w:p>
      <w:pPr>
        <w:spacing w:after="0" w:line="187"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Indebtedness</w:t>
      </w:r>
      <w:r>
        <w:rPr>
          <w:rFonts w:ascii="Times New Roman" w:cs="Times New Roman" w:eastAsia="Times New Roman" w:hAnsi="Times New Roman"/>
          <w:sz w:val="18"/>
          <w:szCs w:val="18"/>
          <w:color w:val="auto"/>
        </w:rPr>
        <w:t>. The Borrower will not at any time incur any Indebtedness, other than Indebtedness incurred under (or contemplated by) the terms of the Loan Documents.</w:t>
      </w:r>
    </w:p>
    <w:p>
      <w:pPr>
        <w:spacing w:after="0" w:line="161" w:lineRule="exact"/>
        <w:rPr>
          <w:rFonts w:ascii="Times New Roman" w:cs="Times New Roman" w:eastAsia="Times New Roman" w:hAnsi="Times New Roman"/>
          <w:sz w:val="18"/>
          <w:szCs w:val="18"/>
          <w:color w:val="auto"/>
        </w:rPr>
      </w:pPr>
    </w:p>
    <w:p>
      <w:pPr>
        <w:jc w:val="both"/>
        <w:ind w:left="180" w:firstLine="1299"/>
        <w:spacing w:after="0" w:line="254" w:lineRule="auto"/>
        <w:tabs>
          <w:tab w:leader="none" w:pos="2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Business</w:t>
      </w:r>
      <w:r>
        <w:rPr>
          <w:rFonts w:ascii="Times New Roman" w:cs="Times New Roman" w:eastAsia="Times New Roman" w:hAnsi="Times New Roman"/>
          <w:sz w:val="18"/>
          <w:szCs w:val="18"/>
          <w:color w:val="auto"/>
        </w:rPr>
        <w:t xml:space="preserve">. The Borrower will not at any time engage in any other business activities than the purchase of the Receivables and the Other Conveyed Property, pledging the Receivables and the other Collateral to the Collateral Agent for the benefit of the Secured Parties pursuant to the Security Agreement, transferring the Receivables and the Other Conveyed Property in connection with Securitization Transactions and in connection with whole-loan sales, issuing the Loans and other activities relating to the foregoing to the extent permitted by the organizational documents of the Borrower as in effect on the date hereof, or as amended with the prior written consent of the Administrative Agent. Without limitation of the foregoing, the Borrower will not at any time be </w:t>
      </w:r>
      <w:r>
        <w:rPr>
          <w:rFonts w:ascii="Times New Roman" w:cs="Times New Roman" w:eastAsia="Times New Roman" w:hAnsi="Times New Roman"/>
          <w:sz w:val="18"/>
          <w:szCs w:val="18"/>
          <w:color w:val="FF0000"/>
          <w:strike w:val="1"/>
        </w:rPr>
        <w:t>an</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Borrower of securities other than the Loans or a borrower under any loan or financing agreement, facility or other arrangement other than the facilities established pursuant to this Agreement and the other Loan Documents.</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Amendment to Borrower’s Operating Agreement or any Loan Document without Consent</w:t>
      </w:r>
      <w:r>
        <w:rPr>
          <w:rFonts w:ascii="Times New Roman" w:cs="Times New Roman" w:eastAsia="Times New Roman" w:hAnsi="Times New Roman"/>
          <w:sz w:val="18"/>
          <w:szCs w:val="18"/>
          <w:color w:val="auto"/>
        </w:rPr>
        <w:t>. Neither the LLC Agreement or Certificate of Formation of the Borrower, nor any Loan Document, shall be amended, supplemented or otherwise modified without the prior written consent of the Administrative Agent. The Borrower shall not permit any of its members to resign without the prior written consent of the Administrative Agent. CPS shall not resign as the member of TFC Enterprises LLC without the prior written consent of the Administrative Agent.</w:t>
      </w:r>
    </w:p>
    <w:p>
      <w:pPr>
        <w:spacing w:after="0" w:line="183"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shall not enter into, or be a party to, any transaction with any of its Affiliates, except in accordance with the requirements set forth in Section 9(b)(iv) of the LLC Agreement.</w:t>
      </w:r>
    </w:p>
    <w:p>
      <w:pPr>
        <w:spacing w:after="0" w:line="161" w:lineRule="exact"/>
        <w:rPr>
          <w:rFonts w:ascii="Times New Roman" w:cs="Times New Roman" w:eastAsia="Times New Roman" w:hAnsi="Times New Roman"/>
          <w:sz w:val="18"/>
          <w:szCs w:val="18"/>
          <w:color w:val="auto"/>
        </w:rPr>
      </w:pPr>
    </w:p>
    <w:p>
      <w:pPr>
        <w:jc w:val="both"/>
        <w:ind w:left="180" w:right="20" w:firstLine="1299"/>
        <w:spacing w:after="0" w:line="256" w:lineRule="auto"/>
        <w:tabs>
          <w:tab w:leader="none" w:pos="2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Title to Collateral</w:t>
      </w:r>
      <w:r>
        <w:rPr>
          <w:rFonts w:ascii="Times New Roman" w:cs="Times New Roman" w:eastAsia="Times New Roman" w:hAnsi="Times New Roman"/>
          <w:sz w:val="18"/>
          <w:szCs w:val="18"/>
          <w:color w:val="auto"/>
        </w:rPr>
        <w:t>. None of the Seller, the Servicer, the Purchaser, the Borrower or CPS shall change its name, identity, jurisdiction of organization, form of organization or corporate structure in any manner that would, could or might make any financing statement or continuation statement filed with respect to the Collateral or the Pledged LLC Interests seriously misleading within the meaning of Section 9-506(a) of the UCC, unless it shall have given each Lender at least 30 days’ prior written notice thereof and shall have promptly filed appropriate amendments to all previously filed financing statements or continuation statements.</w:t>
      </w:r>
    </w:p>
    <w:p>
      <w:pPr>
        <w:spacing w:after="0" w:line="187"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6" w:name="page167"/>
    <w:bookmarkEnd w:id="166"/>
    <w:p>
      <w:pPr>
        <w:jc w:val="both"/>
        <w:ind w:left="180" w:firstLine="1300"/>
        <w:spacing w:after="0" w:line="252" w:lineRule="auto"/>
        <w:tabs>
          <w:tab w:leader="none" w:pos="21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and Anti-Terrorism</w:t>
      </w:r>
      <w:r>
        <w:rPr>
          <w:rFonts w:ascii="Times New Roman" w:cs="Times New Roman" w:eastAsia="Times New Roman" w:hAnsi="Times New Roman"/>
          <w:sz w:val="18"/>
          <w:szCs w:val="18"/>
          <w:color w:val="auto"/>
        </w:rPr>
        <w:t>. Neither CPS nor the Borrower, nor any of their parents or subsidiaries, or any of their respective directors, officers, or employees, or to the knowledge of CPS or the Borrower, the affiliates or agents of CPS or the Borrower or any of their subsidiaries, will, directly or indirectly, use any part of any proceeds or lend, contribute, or otherwise make available such proceeds (a) to fund or facilitate any activities or business of or with any Person that, at the time of such funding or facilitation, is a Sanctioned Person, (b) to fund or facilitate any activities or business of or in any Sanctioned Jurisdiction, (c) in any manner that would result in a violation by any Person of Sanctions, or (d) in violation of applicable law, including, without limitation, Anti-Corruption Laws. None of the execution, delivery, or performance of this Agreement, or any activities, transactions, services, or any collateral or security interest contemplated by this Agreement, would result in a violation of Sanctions by the Administrative Agent, the Collateral Agent, any Lender or any party to this Agreement or their respective affiliates. The operations of the Borrower and its subsidiaries are and have been conducted at all times in compliance with applicable financial recordkeeping and reporting requirements, as amended, the applicable money laundering statutes of all jurisdictions where the Borrower or any of its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u w:val="single" w:color="auto"/>
          <w:color w:val="auto"/>
        </w:rPr>
        <w:t>Anti-Money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Borrower or any of its subsidiaries with respect to the Anti-Money Laundering Laws is pending or, to the knowledge of the Borrower, threatened.</w:t>
      </w:r>
    </w:p>
    <w:p>
      <w:pPr>
        <w:spacing w:after="0" w:line="193"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Covenants</w:t>
      </w:r>
      <w:r>
        <w:rPr>
          <w:rFonts w:ascii="Times New Roman" w:cs="Times New Roman" w:eastAsia="Times New Roman" w:hAnsi="Times New Roman"/>
          <w:sz w:val="18"/>
          <w:szCs w:val="18"/>
          <w:color w:val="auto"/>
        </w:rPr>
        <w:t>. Without prior written consent of the Administrative Agent, none of CPS, the Borrower or any other Affiliate of CPS will: (i) assign, sell, transfer, pledge or grant any security interest in or Lien on any of the Collateral to anyone except the Collateral Agent for the benefit of the Secured Parties, permit any financing statement or assignment (except for any assignments in favor of the Collateral Agent for the benefit of the Secured Parties) to be on file in any public office with respect thereto, (ii) permit or suffer to exist any security interest, lien, charge, encumbrance or right of others to attach to any of the Collateral, except as contemplated by this Agreement.</w:t>
      </w:r>
    </w:p>
    <w:p>
      <w:pPr>
        <w:spacing w:after="0" w:line="187"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Manager</w:t>
      </w:r>
      <w:r>
        <w:rPr>
          <w:rFonts w:ascii="Times New Roman" w:cs="Times New Roman" w:eastAsia="Times New Roman" w:hAnsi="Times New Roman"/>
          <w:sz w:val="18"/>
          <w:szCs w:val="18"/>
          <w:color w:val="auto"/>
        </w:rPr>
        <w:t xml:space="preserve">. The Borrower shall not fail at any time to have at least one (1) “Independent Manager” as such term is defined in the LLC Agreement on the Original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death or incapacity of such Independent Manager, the Borrower will have a period of ten (10) Business Days following such event to appoint a replacement Independent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Borrower shall cause the Independent Manager not to resign until a replacement independent manager has been appointed;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before any Independent Manager is replaced, removed, resigns or otherwise ceases to serve (for any reason other than the death of incapacity of such Independent Manager), the Borrower shall provide written notice to the Administrative Agent no later than five (5) Business Days prior to such replacement, removal or effective date of cessation of service and of the identity and affiliations of the proposed replacement Independent Manager.</w:t>
      </w:r>
    </w:p>
    <w:p>
      <w:pPr>
        <w:spacing w:after="0" w:line="1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EVENTS OF DEFAULT; THE AGENTS</w:t>
      </w:r>
    </w:p>
    <w:p>
      <w:pPr>
        <w:spacing w:after="0" w:line="207"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300"/>
        <w:spacing w:after="0" w:line="261" w:lineRule="auto"/>
        <w:tabs>
          <w:tab w:leader="none" w:pos="21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9" w:lineRule="exact"/>
        <w:rPr>
          <w:rFonts w:ascii="Times New Roman" w:cs="Times New Roman" w:eastAsia="Times New Roman" w:hAnsi="Times New Roman"/>
          <w:sz w:val="18"/>
          <w:szCs w:val="18"/>
          <w:color w:val="auto"/>
        </w:rPr>
      </w:pPr>
    </w:p>
    <w:p>
      <w:pPr>
        <w:jc w:val="both"/>
        <w:ind w:left="840" w:right="20" w:firstLine="1287"/>
        <w:spacing w:after="0" w:line="256" w:lineRule="auto"/>
        <w:tabs>
          <w:tab w:leader="none" w:pos="278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Borrower in the payment of (A) any interest on the Loans, which default continues for a period of two (2) Business Days after its due date, (B) any amount in excess of [***] due to the Administrative Agent, in such capacity, pursuant to the Loan Documents, when the same becomes due and payable, which default continues for a period of two (2) Business Days and (C) any other amount due to the Administrative Agent, in such capacity, pursuant to the Loan Documents, when the same becomes due and payable, which default continues for a period of ten (10) Business Days;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7" w:name="page168"/>
    <w:bookmarkEnd w:id="167"/>
    <w:p>
      <w:pPr>
        <w:jc w:val="both"/>
        <w:ind w:left="840" w:right="20" w:firstLine="1288"/>
        <w:spacing w:after="0" w:line="266" w:lineRule="auto"/>
        <w:tabs>
          <w:tab w:leader="none" w:pos="2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Borrower in the payment of the principal of or any installment of the principal of any Loan (including any payment required to cure a Borrowing Base Deficiency or Facility Advance Cap Deficiency) when the same becomes due and payable;</w:t>
      </w:r>
    </w:p>
    <w:p>
      <w:pPr>
        <w:spacing w:after="0" w:line="175" w:lineRule="exact"/>
        <w:rPr>
          <w:rFonts w:ascii="Times New Roman" w:cs="Times New Roman" w:eastAsia="Times New Roman" w:hAnsi="Times New Roman"/>
          <w:sz w:val="18"/>
          <w:szCs w:val="18"/>
          <w:color w:val="auto"/>
        </w:rPr>
      </w:pPr>
    </w:p>
    <w:p>
      <w:pPr>
        <w:jc w:val="both"/>
        <w:ind w:left="840" w:right="20" w:firstLine="1287"/>
        <w:spacing w:after="0" w:line="252" w:lineRule="auto"/>
        <w:tabs>
          <w:tab w:leader="none" w:pos="2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covenant or agreement of the Borrower, the Purchaser, the Seller, the Servicer or CPS made in any Loan Document which failure materially and adversely affects the rights of the Administrative Agent or any of the Lenders (other than a covenant or agreement, a default in the observance or performance of which is elsewhere in this Section specifically dealt with and other than the failure by the Seller or the Servicer to repurchase any Receivable in accordance with the terms of the Sale and Servicing Agreement), or any representation or warranty of the Borrower, the Purchaser, the Seller, the Servicer or CPS made in any Loan Document or in any certificate or other writing delivered pursuant to any Loan Document or in connection therewith (including any Servicer’s Certificate or any Borrowing Base Certificate) proving to have been incorrect in any material respect as of the time when the same shall have been made or deemed to have been made and such incorrectness materially and adversely affects the Purchaser, the Administrative Agent or any Lender, and such default (i) is curable by payment of money and continues unremedied for a period of five (5) Business Days from the earlier of knowledge of, or written notice to the Borrower, the Purchaser, the Seller, the Servicer or CPS, (ii) is curable by means other than payment of money and continues unremedied for a period of fifteen (15) Business Days from the earlier of knowledge of, or written notice to, the Borrower, the Purchaser, the Seller, the Servicer or CPS, or (iii) is not curable (it being acknowledged and agreed by the Borrower that any breach of a financial covenant is not curable); provided that no breach shall be deemed to occur hereunder in respect of any representation or warranty relating to eligibility of any Receivable on the Restatement Closing Date or any related Funding Date to the extent the Seller has repurchased such Receivable in accordance with the provisions of the Sale and Servicing Agreement;</w:t>
      </w:r>
    </w:p>
    <w:p>
      <w:pPr>
        <w:spacing w:after="0" w:line="190"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Seller or the Servicer to repurchase any Receivable in accordance with the terms of the Sale and Servicing Agreement;</w:t>
      </w:r>
    </w:p>
    <w:p>
      <w:pPr>
        <w:spacing w:after="0" w:line="161" w:lineRule="exact"/>
        <w:rPr>
          <w:rFonts w:ascii="Times New Roman" w:cs="Times New Roman" w:eastAsia="Times New Roman" w:hAnsi="Times New Roman"/>
          <w:sz w:val="18"/>
          <w:szCs w:val="18"/>
          <w:color w:val="auto"/>
        </w:rPr>
      </w:pPr>
    </w:p>
    <w:p>
      <w:pPr>
        <w:ind w:left="840" w:firstLine="1288"/>
        <w:spacing w:after="0" w:line="282" w:lineRule="auto"/>
        <w:tabs>
          <w:tab w:leader="none" w:pos="2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with respect to CPS, the Borrower, the Purchaser, the Seller or the Servicer shall have occurred;</w:t>
      </w:r>
    </w:p>
    <w:p>
      <w:pPr>
        <w:spacing w:after="0" w:line="161"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Base Deficiency shall exist and not be cured within five (5) Business Days after written notice to Borrower of such event; provided that if such Borrowing Base Deficiency was caused solely by a Ratings Requirement Bring-Down, such cure period shall be extended to forty-five (45) days;</w:t>
      </w:r>
    </w:p>
    <w:p>
      <w:pPr>
        <w:spacing w:after="0" w:line="175" w:lineRule="exact"/>
        <w:rPr>
          <w:rFonts w:ascii="Times New Roman" w:cs="Times New Roman" w:eastAsia="Times New Roman" w:hAnsi="Times New Roman"/>
          <w:sz w:val="18"/>
          <w:szCs w:val="18"/>
          <w:color w:val="auto"/>
        </w:rPr>
      </w:pPr>
    </w:p>
    <w:p>
      <w:pPr>
        <w:jc w:val="both"/>
        <w:ind w:left="840" w:right="20" w:firstLine="1287"/>
        <w:spacing w:after="0" w:line="253" w:lineRule="auto"/>
        <w:tabs>
          <w:tab w:leader="none" w:pos="2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 the Collateral or any other material assets of the Borrower, CPS or any Specified Affiliate are attached, seized, levied upon or subjected to a writ or distress warrant, or come within the possession of any receiver, trustee, custodian or assignee, for the benefit of the Borrower, CPS or any Specified Affiliate and the same is not paid, dissolved or dismissed within forty-five (45) days thereafter or (2) after service on CPS of notice thereof, an application is made by any Person other than the Borrower, CPS or any Specified Affiliate for the appointment of a receiver, trustee, or custodian for the Collateral or a material portion of the assets of the Borrower, CPS or any Specified Affiliate and the same is not dismissed within forty-five (45) days after the application thereof; or (B) the Borrower, CPS or any Specified Affiliate shall have concealed, removed or permitted to be concealed or removed any portion of its property with intent to hinder, delay or defraud its creditors or made or suffered a transfer of any of its property which is fraudulent under any bankruptcy, fraudulent conveyance or other similar law;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8" w:name="page169"/>
    <w:bookmarkEnd w:id="168"/>
    <w:p>
      <w:pPr>
        <w:jc w:val="both"/>
        <w:ind w:left="840" w:right="20" w:firstLine="1288"/>
        <w:spacing w:after="0" w:line="258" w:lineRule="auto"/>
        <w:tabs>
          <w:tab w:leader="none" w:pos="2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shall file notice of a Lien pursuant to Section 6323 of the Code with regard to any assets of the Borrower or any material portion of the assets of the Seller, the Servicer or CPS and such Lien shall not have been released within 30 days, or the Pension Benefit Guaranty Corporation shall file notice of a Lien pursuant to Section 4068 of ERISA with regard to any of the assets of the Borrower, the Purchaser, the Servicer or the Seller and such Lien shall not have been released within 30 days;</w:t>
      </w:r>
    </w:p>
    <w:p>
      <w:pPr>
        <w:spacing w:after="0" w:line="183" w:lineRule="exact"/>
        <w:rPr>
          <w:rFonts w:ascii="Times New Roman" w:cs="Times New Roman" w:eastAsia="Times New Roman" w:hAnsi="Times New Roman"/>
          <w:sz w:val="18"/>
          <w:szCs w:val="18"/>
          <w:color w:val="auto"/>
        </w:rPr>
      </w:pPr>
    </w:p>
    <w:p>
      <w:pPr>
        <w:jc w:val="both"/>
        <w:ind w:left="840" w:firstLine="1287"/>
        <w:spacing w:after="0" w:line="256" w:lineRule="auto"/>
        <w:tabs>
          <w:tab w:leader="none" w:pos="2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Loan Document or any Lien granted thereunder by the Borrower, the Servicer, the Purchaser, the Seller or CPS shall (except in accordance with its terms), in whole or in part, terminate, cease to be effective or cease to be the legally valid, binding and enforceable obligation of the Borrower, the Servicer, the Purchaser, the Seller or CPS; or (B) the Borrower, the Servicer, the Purchaser, the Seller or CPS or any other party shall, directly or indirectly, contest in any manner such effectiveness, validity, binding nature or enforceability of any Loan Document;</w:t>
      </w:r>
    </w:p>
    <w:p>
      <w:pPr>
        <w:spacing w:after="0" w:line="187"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Servicer Termination Event shall have occurred;</w:t>
      </w:r>
    </w:p>
    <w:p>
      <w:pPr>
        <w:spacing w:after="0" w:line="225" w:lineRule="exact"/>
        <w:rPr>
          <w:rFonts w:ascii="Times New Roman" w:cs="Times New Roman" w:eastAsia="Times New Roman" w:hAnsi="Times New Roman"/>
          <w:sz w:val="18"/>
          <w:szCs w:val="18"/>
          <w:color w:val="auto"/>
        </w:rPr>
      </w:pPr>
    </w:p>
    <w:p>
      <w:pPr>
        <w:jc w:val="both"/>
        <w:ind w:left="840" w:firstLine="1287"/>
        <w:spacing w:after="0" w:line="252" w:lineRule="auto"/>
        <w:tabs>
          <w:tab w:leader="none" w:pos="2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CPS or any Specified Affiliate shall fail to pay any money due under any other agreement, note, indenture or instrument evidencing, securing, guaranteeing or otherwise relating to indebtedness of the Borrower, CPS or such Subsidiary, which failure to pay constitutes an event of default under any such agreement, note, indenture or instrument or constitutes a default thereunder and such event of default or default (i) results in the acceleration of any debt owed by the Borrower, CPS or such Subsidiary, and (ii) continues unremedied for a period of three (3) Business Days after the cure period for the related indebtedness; or the Borrower, CPS or any Subsidiary shall otherwise fail to perform or observe any term, covenant, agreement or representation and warranty under any such other agreement, note, indenture or instrument, which failure constitutes an event of default under any such agreement, note, indenture or instrument or constitutes a default thereunder and such event of default or default shall result in the acceleration of such indebtedness; or any other event under any such agreement or instrument shall occur or condition shall exist if the effect of such event or condition is to accelerate the maturity of such indebtedness; provided that, if such indebtedness is solely indebtedness of CPS or any Specified Affiliate (and not in whole or in part indebtedness of the Borrower), such accelerated indebtedness must be in an aggregate amount of at least [***] in order for an event described in this clause (xi) to constitute an Event of Default;</w:t>
      </w:r>
    </w:p>
    <w:p>
      <w:pPr>
        <w:spacing w:after="0" w:line="195" w:lineRule="exact"/>
        <w:rPr>
          <w:rFonts w:ascii="Times New Roman" w:cs="Times New Roman" w:eastAsia="Times New Roman" w:hAnsi="Times New Roman"/>
          <w:sz w:val="18"/>
          <w:szCs w:val="18"/>
          <w:color w:val="auto"/>
        </w:rPr>
      </w:pPr>
    </w:p>
    <w:p>
      <w:pPr>
        <w:jc w:val="both"/>
        <w:ind w:left="840" w:right="20" w:firstLine="1288"/>
        <w:spacing w:after="0" w:line="261" w:lineRule="auto"/>
        <w:tabs>
          <w:tab w:leader="none" w:pos="2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Change of Control shall occur with respect to the Borrower, CPS or any Subsidiary unless the Administrative Agent and Lender shall have expressly consented to such Change of Control in writing or unless the Secured Obligations shall have been indefeasibly repaid in full and the Loan Documents have been terminated, or (B) there has been a Material Adverse Effect or a Material Adverse Change;</w:t>
      </w:r>
    </w:p>
    <w:p>
      <w:pPr>
        <w:spacing w:after="0" w:line="179" w:lineRule="exact"/>
        <w:rPr>
          <w:rFonts w:ascii="Times New Roman" w:cs="Times New Roman" w:eastAsia="Times New Roman" w:hAnsi="Times New Roman"/>
          <w:sz w:val="18"/>
          <w:szCs w:val="18"/>
          <w:color w:val="auto"/>
        </w:rPr>
      </w:pPr>
    </w:p>
    <w:p>
      <w:pPr>
        <w:ind w:left="840" w:firstLine="1287"/>
        <w:spacing w:after="0" w:line="282" w:lineRule="auto"/>
        <w:tabs>
          <w:tab w:leader="none" w:pos="2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become an “investment company” or a company “controlled” by an investment company within the meaning of the Investment Company Act;</w:t>
      </w:r>
    </w:p>
    <w:p>
      <w:pPr>
        <w:spacing w:after="0" w:line="161" w:lineRule="exact"/>
        <w:rPr>
          <w:rFonts w:ascii="Times New Roman" w:cs="Times New Roman" w:eastAsia="Times New Roman" w:hAnsi="Times New Roman"/>
          <w:sz w:val="18"/>
          <w:szCs w:val="18"/>
          <w:color w:val="auto"/>
        </w:rPr>
      </w:pPr>
    </w:p>
    <w:p>
      <w:pPr>
        <w:jc w:val="both"/>
        <w:ind w:left="840" w:firstLine="1287"/>
        <w:spacing w:after="0" w:line="256" w:lineRule="auto"/>
        <w:tabs>
          <w:tab w:leader="none" w:pos="2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final judgment or ruling shall have been rendered against, or any settlement entered into by, CPS or any Specified Affiliate, excluding the Borrower, which judgment, ruling or settlement exceeds, in the aggregate, [***] or any final judgment or ruling shall have been rendered against the Borrower or the Purchaser; provided, in either case, that such final judgment, ruling or settlement shall have remained unpaid, and enforcement thereof shall have remained unstayed and unbonded, for a period in excess of 30 days from the date of entry of such judgment or ruling or the date of effectiveness of such settlement;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69" w:name="page170"/>
    <w:bookmarkEnd w:id="169"/>
    <w:p>
      <w:pPr>
        <w:ind w:left="840" w:firstLine="1288"/>
        <w:spacing w:after="0" w:line="282" w:lineRule="auto"/>
        <w:tabs>
          <w:tab w:leader="none" w:pos="27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for any reason fail to have a first priority perfected security interest in the Collateral for the benefit of the Secured Parties;</w:t>
      </w:r>
    </w:p>
    <w:p>
      <w:pPr>
        <w:spacing w:after="0" w:line="161" w:lineRule="exact"/>
        <w:rPr>
          <w:rFonts w:ascii="Times New Roman" w:cs="Times New Roman" w:eastAsia="Times New Roman" w:hAnsi="Times New Roman"/>
          <w:sz w:val="18"/>
          <w:szCs w:val="18"/>
          <w:color w:val="auto"/>
        </w:rPr>
      </w:pPr>
    </w:p>
    <w:p>
      <w:pPr>
        <w:jc w:val="both"/>
        <w:ind w:left="840" w:firstLine="1287"/>
        <w:spacing w:after="0" w:line="254" w:lineRule="auto"/>
        <w:tabs>
          <w:tab w:leader="none" w:pos="27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CPS or any Affiliate shall have at any time during the Term been in default or termination under any servicing agreements which resulted in termination of servicing with respect to more than one (1) outstanding Securitization Transaction that is not subject to a “Default” with respect to a material breach or an “Event of Default” as such terms are defined under the related Securitization Transaction documents, other than any Securitization Transaction sponsored by a Person that is not an Affiliate of CPS, or (ii) the Borrower, CPS or any Affiliate shall have at any time during the Term resigned as servicer on any outstanding Securitization Transaction in its total managed portfolio, other than any Securitization Transaction sponsored by a Person that is not an Affiliate of CPS;</w:t>
      </w:r>
    </w:p>
    <w:p>
      <w:pPr>
        <w:spacing w:after="0" w:line="191" w:lineRule="exact"/>
        <w:rPr>
          <w:rFonts w:ascii="Times New Roman" w:cs="Times New Roman" w:eastAsia="Times New Roman" w:hAnsi="Times New Roman"/>
          <w:sz w:val="18"/>
          <w:szCs w:val="18"/>
          <w:color w:val="auto"/>
        </w:rPr>
      </w:pPr>
    </w:p>
    <w:p>
      <w:pPr>
        <w:jc w:val="both"/>
        <w:ind w:left="840" w:firstLine="1288"/>
        <w:spacing w:after="0" w:line="258" w:lineRule="auto"/>
        <w:tabs>
          <w:tab w:leader="none" w:pos="27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Loan Documents shall be terminated or cease to be in full force or effect without the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the termination of the Lockbox Agreement, an Event of Default shall occur only upon failure of the Seller or the Borrower to obtain a successor arrangement and account reasonably acceptable to the Administrative Agent within five (5) days of such termination;</w:t>
      </w:r>
    </w:p>
    <w:p>
      <w:pPr>
        <w:spacing w:after="0" w:line="183" w:lineRule="exact"/>
        <w:rPr>
          <w:rFonts w:ascii="Times New Roman" w:cs="Times New Roman" w:eastAsia="Times New Roman" w:hAnsi="Times New Roman"/>
          <w:sz w:val="18"/>
          <w:szCs w:val="18"/>
          <w:color w:val="auto"/>
        </w:rPr>
      </w:pPr>
    </w:p>
    <w:p>
      <w:pPr>
        <w:jc w:val="both"/>
        <w:ind w:left="840" w:firstLine="1287"/>
        <w:spacing w:after="0" w:line="256" w:lineRule="auto"/>
        <w:tabs>
          <w:tab w:leader="none" w:pos="284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final, nonappealable judgment by any competent court in the United States of America for the payment of money in an amount in excess of [***] shall be rendered against the Borrower, CPS or any Specified Affiliate and the same remains undischarged and unstayed for a period of thirty (30) days after the entry thereof, or (B) the Borrower, CPS or any Specified Affiliate shall pay an amount in excess of the applicable Litigation Threshold in connection with the settlement of any action filed in any competent court in the United States of America;</w:t>
      </w:r>
    </w:p>
    <w:p>
      <w:pPr>
        <w:spacing w:after="0" w:line="187" w:lineRule="exact"/>
        <w:rPr>
          <w:rFonts w:ascii="Times New Roman" w:cs="Times New Roman" w:eastAsia="Times New Roman" w:hAnsi="Times New Roman"/>
          <w:sz w:val="18"/>
          <w:szCs w:val="18"/>
          <w:color w:val="auto"/>
        </w:rPr>
      </w:pPr>
    </w:p>
    <w:p>
      <w:pPr>
        <w:ind w:left="840" w:firstLine="1287"/>
        <w:spacing w:after="0" w:line="282" w:lineRule="auto"/>
        <w:tabs>
          <w:tab w:leader="none" w:pos="27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on deposit in the Reserve Account shall be less than the Required Reserve Account Amount for more than two (2) Business Days after written notice to the Borrower of such event; or</w:t>
      </w:r>
    </w:p>
    <w:p>
      <w:pPr>
        <w:spacing w:after="0" w:line="161" w:lineRule="exact"/>
        <w:rPr>
          <w:rFonts w:ascii="Times New Roman" w:cs="Times New Roman" w:eastAsia="Times New Roman" w:hAnsi="Times New Roman"/>
          <w:sz w:val="18"/>
          <w:szCs w:val="18"/>
          <w:color w:val="auto"/>
        </w:rPr>
      </w:pPr>
    </w:p>
    <w:p>
      <w:pPr>
        <w:ind w:left="840" w:firstLine="1288"/>
        <w:spacing w:after="0" w:line="282" w:lineRule="auto"/>
        <w:tabs>
          <w:tab w:leader="none" w:pos="27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outstanding principal balance of the Loans and any accrued and unpaid interest thereon on the Maturity Date.</w:t>
      </w:r>
    </w:p>
    <w:p>
      <w:pPr>
        <w:spacing w:after="0" w:line="16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If an Event of Default has occurred and is continuing, then, and in every such event (other than an event described in </w:t>
      </w:r>
      <w:r>
        <w:rPr>
          <w:rFonts w:ascii="Times New Roman" w:cs="Times New Roman" w:eastAsia="Times New Roman" w:hAnsi="Times New Roman"/>
          <w:sz w:val="18"/>
          <w:szCs w:val="18"/>
          <w:u w:val="single" w:color="auto"/>
          <w:color w:val="auto"/>
        </w:rPr>
        <w:t>Section 8.01(a)(v)</w:t>
      </w:r>
      <w:r>
        <w:rPr>
          <w:rFonts w:ascii="Times New Roman" w:cs="Times New Roman" w:eastAsia="Times New Roman" w:hAnsi="Times New Roman"/>
          <w:sz w:val="18"/>
          <w:szCs w:val="18"/>
          <w:color w:val="auto"/>
        </w:rPr>
        <w:t xml:space="preserve">), and at any time thereafter during the continuance of such event, the Administrative Agent may, and at the request of the Majority Lenders shall, by written notice to the Borrower, declare the Loans then outstanding to be forthwith due and payable in whole or in part, whereupon the principal of the Loans so declared to be due and payable, together with accrued interest thereon and any unpaid accrued Facility Fee Amounts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the Commitments shall automatically terminate; and in any event described in </w:t>
      </w:r>
      <w:r>
        <w:rPr>
          <w:rFonts w:ascii="Times New Roman" w:cs="Times New Roman" w:eastAsia="Times New Roman" w:hAnsi="Times New Roman"/>
          <w:sz w:val="18"/>
          <w:szCs w:val="18"/>
          <w:u w:val="single" w:color="auto"/>
          <w:color w:val="auto"/>
        </w:rPr>
        <w:t>Section 8.01(a)(v)</w:t>
      </w:r>
      <w:r>
        <w:rPr>
          <w:rFonts w:ascii="Times New Roman" w:cs="Times New Roman" w:eastAsia="Times New Roman" w:hAnsi="Times New Roman"/>
          <w:sz w:val="18"/>
          <w:szCs w:val="18"/>
          <w:color w:val="auto"/>
        </w:rPr>
        <w:t>, the principal of the Loans then outstanding, together with accrued interest thereon and any unpaid accrued Facility Fee Amounts and all other liabilities of the Borrower accrued hereunder and under any other Loan Document, shall automatically become due and payable, without presentment, demand, protest or any other notice of any kind, all of which are hereby expressly waived by the Borrower, anything contained herein or in any other Loan Document to the contrary notwithstanding.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796" w:right="1319" w:bottom="1440" w:gutter="0" w:footer="0" w:header="0"/>
        </w:sectPr>
      </w:pPr>
    </w:p>
    <w:bookmarkStart w:id="170" w:name="page171"/>
    <w:bookmarkEnd w:id="170"/>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The Administrative Agent and the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right="220" w:firstLine="1300"/>
        <w:spacing w:after="0" w:line="273" w:lineRule="auto"/>
        <w:tabs>
          <w:tab w:leader="none" w:pos="212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Lenders hereby irrevocably appoints the Administrative Agent and the Collateral Agent (for purposes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the Administrative Agent and the Collateral Agent are referred to collectively as the “</w:t>
      </w:r>
      <w:r>
        <w:rPr>
          <w:rFonts w:ascii="Times New Roman" w:cs="Times New Roman" w:eastAsia="Times New Roman" w:hAnsi="Times New Roman"/>
          <w:sz w:val="17"/>
          <w:szCs w:val="17"/>
          <w:u w:val="single" w:color="auto"/>
          <w:color w:val="auto"/>
        </w:rPr>
        <w:t>Agents</w:t>
      </w:r>
      <w:r>
        <w:rPr>
          <w:rFonts w:ascii="Times New Roman" w:cs="Times New Roman" w:eastAsia="Times New Roman" w:hAnsi="Times New Roman"/>
          <w:sz w:val="17"/>
          <w:szCs w:val="17"/>
          <w:color w:val="auto"/>
        </w:rPr>
        <w:t>”) its agent and authorizes the Agents to take such actions on its behalf and to exercise such powers as are delegated to such Agent by the terms of the Loan Documents, together with such actions and powers as are reasonably incidental thereto. Without limiting the generality of the foregoing, the Agents are hereby expressly authorized to execute any and all documents (including releases) with respect to the Collateral and the rights of the Secured Parties with respect thereto, as contemplated by and in accordance with the provisions of this Agreement and the Security Documents.</w:t>
      </w:r>
    </w:p>
    <w:p>
      <w:pPr>
        <w:spacing w:after="0" w:line="171" w:lineRule="exact"/>
        <w:rPr>
          <w:rFonts w:ascii="Times New Roman" w:cs="Times New Roman" w:eastAsia="Times New Roman" w:hAnsi="Times New Roman"/>
          <w:sz w:val="17"/>
          <w:szCs w:val="17"/>
          <w:color w:val="auto"/>
        </w:rPr>
      </w:pPr>
    </w:p>
    <w:p>
      <w:pPr>
        <w:jc w:val="both"/>
        <w:ind w:left="180" w:right="20" w:firstLine="1299"/>
        <w:spacing w:after="0" w:line="258" w:lineRule="auto"/>
        <w:tabs>
          <w:tab w:leader="none" w:pos="21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institution serving as the Administrative Agent and/or the Collateral Agent hereunder shall have the same rights and powers in its capacity as a Lender as any other Lender and may exercise the same as though it were not an Agent, and such financial institution and its Affiliates may accept deposits from, lend money to and generally engage in any kind of business with CPS or the Borrower or other Affiliate thereof as if it were not an Agent hereunder.</w:t>
      </w:r>
    </w:p>
    <w:p>
      <w:pPr>
        <w:spacing w:after="0" w:line="183" w:lineRule="exact"/>
        <w:rPr>
          <w:rFonts w:ascii="Times New Roman" w:cs="Times New Roman" w:eastAsia="Times New Roman" w:hAnsi="Times New Roman"/>
          <w:sz w:val="18"/>
          <w:szCs w:val="18"/>
          <w:color w:val="auto"/>
        </w:rPr>
      </w:pPr>
    </w:p>
    <w:p>
      <w:pPr>
        <w:jc w:val="both"/>
        <w:ind w:left="180" w:firstLine="1299"/>
        <w:spacing w:after="0" w:line="252" w:lineRule="auto"/>
        <w:tabs>
          <w:tab w:leader="none" w:pos="21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required to exercise upon receipt of instructions in writing by the Majority Lenders, and (c) except as expressly set forth in the Loan Documents, neither Agent shall have any duty to disclose, nor shall it be liable for the failure to disclose, any information relating to the Borrower that is communicated to or obtained by the financial institution serving as Administrative Agent and/or Collateral Agent or any of its Affiliates in any capacity. Neither Agent shall be liable for any action taken or not taken by it with the consent or at the request of the Majority Lenders or in the absence of its own gross negligence or willful misconduct. Neither Agent shall be deemed to have knowledge of any Default unless and until written notice thereof is given to such Agent by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such Agent.</w:t>
      </w:r>
    </w:p>
    <w:p>
      <w:pPr>
        <w:spacing w:after="0" w:line="193" w:lineRule="exact"/>
        <w:rPr>
          <w:rFonts w:ascii="Times New Roman" w:cs="Times New Roman" w:eastAsia="Times New Roman" w:hAnsi="Times New Roman"/>
          <w:sz w:val="18"/>
          <w:szCs w:val="18"/>
          <w:color w:val="auto"/>
        </w:rPr>
      </w:pPr>
    </w:p>
    <w:p>
      <w:pPr>
        <w:jc w:val="both"/>
        <w:ind w:left="180" w:firstLine="1300"/>
        <w:spacing w:after="0" w:line="255" w:lineRule="auto"/>
        <w:tabs>
          <w:tab w:leader="none" w:pos="21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may also, but shall not be required to, rely upon any statement made to it orally or by telephone and believed by it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rFonts w:ascii="Times New Roman" w:cs="Times New Roman" w:eastAsia="Times New Roman" w:hAnsi="Times New Roman"/>
          <w:sz w:val="18"/>
          <w:szCs w:val="18"/>
          <w:color w:val="auto"/>
        </w:rPr>
      </w:pPr>
    </w:p>
    <w:p>
      <w:pPr>
        <w:jc w:val="both"/>
        <w:ind w:left="180" w:right="20" w:firstLine="1299"/>
        <w:spacing w:after="0" w:line="261" w:lineRule="auto"/>
        <w:tabs>
          <w:tab w:leader="none" w:pos="21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1" w:name="page172"/>
    <w:bookmarkEnd w:id="171"/>
    <w:p>
      <w:pPr>
        <w:jc w:val="both"/>
        <w:ind w:left="180" w:right="20" w:firstLine="1299"/>
        <w:spacing w:after="0" w:line="253" w:lineRule="auto"/>
        <w:tabs>
          <w:tab w:leader="none" w:pos="21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appointment and acceptance of a successor Agent as provided below, either Agent may resign at any time by notifying the Lenders and the Borrower. Upon any such resignation, the Majority Lenders shall have the right, in consultation with the Borrower, to appoint a successor. If no successor shall have been so appointed by the Majority Lenders and shall have accepted such appointment within 30 days after the retiring Agent gives notice of its resignation, then the retiring Agent may, on behalf of the Lenders, appoint a successor Agent which shall be a financial institution with an office in New York, New York, or an Affiliate of any such financial institution or apply to a court of competent jurisdiction for the appointment of a successor Agent and other applicable relief.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in effect for the benefit of such retiring Agent, its sub-agents and their respective Related Parties in respect of any actions taken or omitted to be taken by any of them while acting as Agent.</w:t>
      </w:r>
    </w:p>
    <w:p>
      <w:pPr>
        <w:spacing w:after="0" w:line="187"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87" w:lineRule="exact"/>
        <w:rPr>
          <w:rFonts w:ascii="Times New Roman" w:cs="Times New Roman" w:eastAsia="Times New Roman" w:hAnsi="Times New Roman"/>
          <w:sz w:val="18"/>
          <w:szCs w:val="18"/>
          <w:color w:val="auto"/>
        </w:rPr>
      </w:pPr>
    </w:p>
    <w:p>
      <w:pPr>
        <w:jc w:val="both"/>
        <w:ind w:left="180" w:right="20" w:firstLine="1300"/>
        <w:spacing w:after="0" w:line="255" w:lineRule="auto"/>
        <w:tabs>
          <w:tab w:leader="none" w:pos="21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or in any Loan Document, any provisions of the Loan Documents (including the Security Agreement) which empower and/or entitle the Collateral Agent to take action or refrain from taking action, in each case with respect to the Collateral, shall not impose or be deemed to impose on the Collateral Agent an obligation to act independently from the instructions of the Administrative Agent (acting on behalf of the Lenders) or to monitor the contingencies that may give rise to the exercise of such power or entitlement. The Collateral Agent shall not be required to make any calculation contemplated in this Agreement, is authorized to rely on any calculation performed by the Servicer or the Administrative Agent and shall not have any obligation to verify the accuracy thereof.</w:t>
      </w:r>
    </w:p>
    <w:p>
      <w:pPr>
        <w:spacing w:after="0" w:line="188" w:lineRule="exact"/>
        <w:rPr>
          <w:rFonts w:ascii="Times New Roman" w:cs="Times New Roman" w:eastAsia="Times New Roman" w:hAnsi="Times New Roman"/>
          <w:sz w:val="18"/>
          <w:szCs w:val="18"/>
          <w:color w:val="auto"/>
        </w:rPr>
      </w:pPr>
    </w:p>
    <w:p>
      <w:pPr>
        <w:jc w:val="both"/>
        <w:ind w:left="180" w:firstLine="1299"/>
        <w:spacing w:after="0" w:line="258" w:lineRule="auto"/>
        <w:tabs>
          <w:tab w:leader="none" w:pos="21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not be required to expend or risk any of its own funds or otherwise incur any financial liability in the performance of any of its duties hereunder. The Collateral Agent shall not be under any duty to give any property held by it as Collateral Agent any greater degree of care than it gives its own similar property and shall not be required to invest any funds held hereunder except as directed by the Instructing Party (which instructions may be standing instructions). Uninvested funds held hereunder shall not earn or accrue interest.</w:t>
      </w:r>
    </w:p>
    <w:p>
      <w:pPr>
        <w:spacing w:after="0" w:line="183"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21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Agents shall incur any liability for not performing any act or fulfilling any duty, obligation or responsibility hereunder by reason of any occurrence beyond the control of the Agents (including but not limited to any act or provision of any present or future law or regulation or governmental authority, any act of God, war or terrorism, or the unavailability of the Federal Reserve Bank wire or facsimile or other wire or communication facility).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2" w:name="page173"/>
    <w:bookmarkEnd w:id="172"/>
    <w:p>
      <w:pPr>
        <w:jc w:val="both"/>
        <w:ind w:left="180" w:firstLine="1299"/>
        <w:spacing w:after="0" w:line="253" w:lineRule="auto"/>
        <w:tabs>
          <w:tab w:leader="none" w:pos="212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instructions to the Collateral Agent required under the Loan Documents shall be delivered to the Collateral Agent in writing executed by an Authorized Person (as hereinafter defined) of the Administrative Agent, the Servicer, or the Borrower (as the case may be). Prior to the execution of any such instructions, the identity of such Authorized Persons, as well as their specimen signatures, titles, telephone numbers and e-mail addresses, shall be delivered to the Collateral Agent in a form acceptable to the Collateral Agent and shall remain in effect until the applicable party notifies the Collateral Agent of any changes thereto (the person(s) so designated from time to time, the “</w:t>
      </w: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The Collateral Agent is authorized to seek confirmation of such instructions by telephone call back to the applicable person(s) specified to the Collateral Agent from time to time by an Authorized Person and the Collateral Agent may rely upon the confirmations of any one purporting to be the person(s) so designated. To ensure the accuracy of the instructions it receives, the Collateral Agent may record such call backs. If the Collateral Agent is unable to verify the instructions, or is not satisfied in its sole discretion with the verification it receives, it will not execute the instructions until all issues have been resolved to its satisfaction. Each of the parties to this Agreement agrees that the above constitutes a commercially reasonable security procedure.</w:t>
      </w:r>
    </w:p>
    <w:p>
      <w:pPr>
        <w:spacing w:after="0" w:line="187" w:lineRule="exact"/>
        <w:rPr>
          <w:rFonts w:ascii="Times New Roman" w:cs="Times New Roman" w:eastAsia="Times New Roman" w:hAnsi="Times New Roman"/>
          <w:sz w:val="18"/>
          <w:szCs w:val="18"/>
          <w:color w:val="auto"/>
        </w:rPr>
      </w:pPr>
    </w:p>
    <w:p>
      <w:pPr>
        <w:jc w:val="both"/>
        <w:ind w:left="180" w:right="20" w:firstLine="1300"/>
        <w:spacing w:after="0" w:line="258" w:lineRule="auto"/>
        <w:tabs>
          <w:tab w:leader="none" w:pos="212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the U.S. government fight the funding of terrorism and money laundering activities, Federal law requires all financial institutions to obtain, verify, and record information that identifies each person who opens an account. When an account is opened, the Agents will ask for information that will allow them to identify relevant parties. The Borrower and Servicer hereby acknowledge such information disclosure requirements and agree to comply with all such information disclosure requests from time to time from the Agents.</w:t>
      </w:r>
    </w:p>
    <w:p>
      <w:pPr>
        <w:spacing w:after="0" w:line="183"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212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printed or other material in any language, including prospectuses, notices, reports, and promotional material which mentions “Citibank”, or “Citigroup” or “Citi” by name in its capacity as Collateral Agent or the rights, powers, or duties of the Collateral Agent under the Loan Documents shall be issued by any parties hereto, or on such party's behalf, without the prior written consent of the Collateral Agent.</w:t>
      </w:r>
    </w:p>
    <w:p>
      <w:pPr>
        <w:spacing w:after="0" w:line="179" w:lineRule="exact"/>
        <w:rPr>
          <w:rFonts w:ascii="Times New Roman" w:cs="Times New Roman" w:eastAsia="Times New Roman" w:hAnsi="Times New Roman"/>
          <w:sz w:val="18"/>
          <w:szCs w:val="18"/>
          <w:color w:val="auto"/>
        </w:rPr>
      </w:pPr>
    </w:p>
    <w:p>
      <w:pPr>
        <w:jc w:val="both"/>
        <w:ind w:left="180" w:right="20" w:firstLine="1299"/>
        <w:spacing w:after="0" w:line="254" w:lineRule="auto"/>
        <w:tabs>
          <w:tab w:leader="none" w:pos="212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agree that, (i) if (A) the Class A Commitment relating to Citibank, N.A., its Affiliates or an entity administered by, or to which credit support is provided by, Citibank, N.A., as a Class A Lender hereunder (any such entity, a “</w:t>
      </w:r>
      <w:r>
        <w:rPr>
          <w:rFonts w:ascii="Times New Roman" w:cs="Times New Roman" w:eastAsia="Times New Roman" w:hAnsi="Times New Roman"/>
          <w:sz w:val="18"/>
          <w:szCs w:val="18"/>
          <w:u w:val="single" w:color="auto"/>
          <w:color w:val="auto"/>
        </w:rPr>
        <w:t>Citi Class A Lender</w:t>
      </w:r>
      <w:r>
        <w:rPr>
          <w:rFonts w:ascii="Times New Roman" w:cs="Times New Roman" w:eastAsia="Times New Roman" w:hAnsi="Times New Roman"/>
          <w:sz w:val="18"/>
          <w:szCs w:val="18"/>
          <w:color w:val="auto"/>
        </w:rPr>
        <w:t>” and the Citi Class A Lenders, together with Citibank, N.A. in its roles as Administrative Agent and Collateral Agent hereunder, the “</w:t>
      </w:r>
      <w:r>
        <w:rPr>
          <w:rFonts w:ascii="Times New Roman" w:cs="Times New Roman" w:eastAsia="Times New Roman" w:hAnsi="Times New Roman"/>
          <w:sz w:val="18"/>
          <w:szCs w:val="18"/>
          <w:u w:val="single" w:color="auto"/>
          <w:color w:val="auto"/>
        </w:rPr>
        <w:t>Citi Entities</w:t>
      </w:r>
      <w:r>
        <w:rPr>
          <w:rFonts w:ascii="Times New Roman" w:cs="Times New Roman" w:eastAsia="Times New Roman" w:hAnsi="Times New Roman"/>
          <w:sz w:val="18"/>
          <w:szCs w:val="18"/>
          <w:color w:val="auto"/>
        </w:rPr>
        <w:t>”), shall have been permanently reduced to zero (as a result of the occurrence of the Funding Termination Date with respect to the Class A Lenders or otherwise) and</w:t>
      </w:r>
    </w:p>
    <w:p>
      <w:pPr>
        <w:spacing w:after="0" w:line="3" w:lineRule="exact"/>
        <w:rPr>
          <w:rFonts w:ascii="Times New Roman" w:cs="Times New Roman" w:eastAsia="Times New Roman" w:hAnsi="Times New Roman"/>
          <w:sz w:val="18"/>
          <w:szCs w:val="18"/>
          <w:color w:val="auto"/>
        </w:rPr>
      </w:pPr>
    </w:p>
    <w:p>
      <w:pPr>
        <w:jc w:val="both"/>
        <w:ind w:left="180" w:firstLine="3"/>
        <w:spacing w:after="0" w:line="251" w:lineRule="auto"/>
        <w:tabs>
          <w:tab w:leader="none" w:pos="48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 owing to all Citi Entities have been reduced to zero and there are no other amounts due and owing from the Borrower and unpaid to any Citi Entity exist or are reasonably expected to exist, and (ii) if there are or are reasonably expected to be principal, interest or other amounts owing by the Borrower to the Class B Lenders, then ABF Auto Holdings 2024-1, LLC and its permitted assigns (the “</w:t>
      </w:r>
      <w:r>
        <w:rPr>
          <w:rFonts w:ascii="Times New Roman" w:cs="Times New Roman" w:eastAsia="Times New Roman" w:hAnsi="Times New Roman"/>
          <w:sz w:val="18"/>
          <w:szCs w:val="18"/>
          <w:u w:val="single" w:color="auto"/>
          <w:color w:val="auto"/>
        </w:rPr>
        <w:t>Designated Class B Lender</w:t>
      </w:r>
      <w:r>
        <w:rPr>
          <w:rFonts w:ascii="Times New Roman" w:cs="Times New Roman" w:eastAsia="Times New Roman" w:hAnsi="Times New Roman"/>
          <w:sz w:val="18"/>
          <w:szCs w:val="18"/>
          <w:color w:val="auto"/>
        </w:rPr>
        <w:t>”) hereby is authorized to deliver written notice to the Administrative Agent that it or its designee agrees to immediately and automatically assume the roles of Administrative Agent and Collateral Agent under this Agreement and the other Loan Documents. So long as the Designated Class B Lender delivers the aforesaid written notice, then following (y) the Administrative Agent’s acknowledgement thereof by written notice to the Designated Class B Lender and (z) the Borrower’s receipt of the Designated Class B Lender’s written notice, Citibank, N.A., shall be deemed to have immediately and automatically resigned from its roles of Administrative Agent and Collateral Agent hereunder (in such capacity, the “</w:t>
      </w:r>
      <w:r>
        <w:rPr>
          <w:rFonts w:ascii="Times New Roman" w:cs="Times New Roman" w:eastAsia="Times New Roman" w:hAnsi="Times New Roman"/>
          <w:sz w:val="18"/>
          <w:szCs w:val="18"/>
          <w:u w:val="single" w:color="auto"/>
          <w:color w:val="auto"/>
        </w:rPr>
        <w:t>Retiring Agents</w:t>
      </w:r>
      <w:r>
        <w:rPr>
          <w:rFonts w:ascii="Times New Roman" w:cs="Times New Roman" w:eastAsia="Times New Roman" w:hAnsi="Times New Roman"/>
          <w:sz w:val="18"/>
          <w:szCs w:val="18"/>
          <w:color w:val="auto"/>
        </w:rPr>
        <w:t xml:space="preserve">”), and the roles of the Administrative Agent and Collateral Agent shall be deemed to have been immediately and automatically assigned from the Retiring Agents to, and assumed by, the Designated Class B Lender or its designee. After the effectiveness of the Retiring Agents’ assignment hereunder as the Administrative Agent and Collateral Agent, the Retiring Agents shall be discharged from their duties, liabilities and obligations hereunder and under the other Loan Documents and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in effect for its benefit with respect to any actions taken or omitted to be taken by it while it was the Administrative Agent and Collateral Agent under this Agreement and under the other Loan Documents. In relation to the resignation of the Retiring Agents and assignment of their role of Administrative Agent and Collateral Agent to the Designated Class B Lender, the Retiring Agents and the Borrower shall reasonably cooperate with the Class B Lenders to effectuate such transition.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3" w:name="page174"/>
    <w:bookmarkEnd w:id="173"/>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8"/>
          <w:szCs w:val="18"/>
          <w:u w:val="single" w:color="auto"/>
          <w:color w:val="auto"/>
        </w:rPr>
        <w:t>The Funding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300"/>
        <w:spacing w:after="0" w:line="252" w:lineRule="auto"/>
        <w:tabs>
          <w:tab w:leader="none" w:pos="21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Action of the Funding Agents</w:t>
      </w:r>
      <w:r>
        <w:rPr>
          <w:rFonts w:ascii="Times New Roman" w:cs="Times New Roman" w:eastAsia="Times New Roman" w:hAnsi="Times New Roman"/>
          <w:sz w:val="18"/>
          <w:szCs w:val="18"/>
          <w:color w:val="auto"/>
        </w:rPr>
        <w:t xml:space="preserve">. Each Conduit Lender and each Committed Lender is hereby deemed to have designated and appointed the Funding Agent set forth next to such Conduit Lender's name, or if there is no Conduit Lender with respect to any Lender Group, the Committed Lender's name with respect to such Lender Group,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the agent of such Person hereunder, and hereby authorizes such Funding Agent to take such actions as agent on their behalf and to exercise such powers as are delegated to such Funding Agent by the terms of this Agreement, together with such powers as are reasonably incidental thereto. Each Funding Agent shall not have any duties or responsibilities, except those expressly set forth herein, and shall not be subject to any fiduciary or other implied duties, regardless of whether a Servicer Event of Default, Excess Spread deficiency, Early Amortization Event, Default or Event of Default has occurred and is continuing, and no implied covenants, functions, responsibilities, duties, obligations or liabilities on the part of such Funding Agent shall be read into this Agreement or any other Loan Document or otherwise exist for such Funding Agent. In performing its functions and duties hereunder, each Funding Agent shall act solely as agent for the Lenders and does not assume nor shall it be deemed to have assumed any obligation or relationship of trust or agency with or for the Borrower, the Seller or the Servicer or any of their respective successors or assigns. Each Funding Agent shall not be required to take any action that exposes it to personal liability or that is contrary to this Agreement or any other Loan Document or applicable law. The appointment and authority of each Funding Agent hereunder shall terminate upon the indefeasible payment in full of the Secured Obligations.</w:t>
      </w:r>
    </w:p>
    <w:p>
      <w:pPr>
        <w:spacing w:after="0" w:line="194" w:lineRule="exact"/>
        <w:rPr>
          <w:rFonts w:ascii="Times New Roman" w:cs="Times New Roman" w:eastAsia="Times New Roman" w:hAnsi="Times New Roman"/>
          <w:sz w:val="18"/>
          <w:szCs w:val="18"/>
          <w:color w:val="auto"/>
        </w:rPr>
      </w:pPr>
    </w:p>
    <w:p>
      <w:pPr>
        <w:jc w:val="both"/>
        <w:ind w:left="180" w:right="20" w:firstLine="1300"/>
        <w:spacing w:after="0" w:line="261" w:lineRule="auto"/>
        <w:tabs>
          <w:tab w:leader="none" w:pos="21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Each Funding Agent may execute any of its duties under this Agreement by or through agents or attorneys in fact and shall be entitled to advice of counsel concerning all matters pertaining to such duties. Each Funding Agent shall not be responsible for the negligence or misconduct of any agents or attorneys in fact selected by it with reasonable care.</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52" w:lineRule="auto"/>
        <w:tabs>
          <w:tab w:leader="none" w:pos="21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 Funding Agent or any of its directors, officers, agents or employees shall be (a) liable for any action lawfully taken or omitted to be taken by it or them under or in connection with this Agreement or any other Loan Document (except for its, their or such Person's own bad faith, gross negligence or willful misconduct), or (b) responsible in any manner to any Lender for any recitals, statements, representations or warranties made by any transaction party contained in this Agreement or any other Loan Document or in any certificate, report, statement or other document referred to or provided for in, or received under or in connection with, this Agreement or any other Loan Document, for the due execution, legality, value, validity, effectiveness, genuineness, enforceability or sufficiency of this Agreement, any other Loan Document or any other document furnished in connection herewith or therewith, or for any failure of any transaction party to perform its obligations hereunder or thereunder or for the perfection, priority, condition, value or sufficiency of any collateral pledged in connection herewith, or for the satisfaction of any condition specified in Article VII. Each Funding Agent shall not be under any obligation to its related Lender Group to ascertain or to inquire as to the observance or performance of any of the agreements or covenants contained in, or conditions of, this Agreement or any other Loan Document, or to inspect the properties, books or records of the transaction parties. Each Funding Agent shall not be deemed to have knowledge of any actual or potential Servicer Event of Default, Excess Spread deficiency, Early Amortization Event, Default or Event of Default, unless such Funding Agent has received notice from the Borrower, the Servicer, the related Lender Group 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4" w:name="page175"/>
    <w:bookmarkEnd w:id="174"/>
    <w:p>
      <w:pPr>
        <w:jc w:val="both"/>
        <w:ind w:left="180" w:firstLine="1299"/>
        <w:spacing w:after="0" w:line="253" w:lineRule="auto"/>
        <w:tabs>
          <w:tab w:leader="none" w:pos="21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Funding Agent shall in all cases be entitled to rely, and shall be fully protected in relying, upon any document or statement believed by it to be genuine and correct and to have been signed, sent or made by the proper Person or Persons and upon advice and statements of the Administrative Agent and legal counsel (including, without limitation, counsel to the Borrower), independent accountants and other experts selected by the Administrative Agent. Each Funding Agent shall in all cases be fully justified in failing or refusing to take any action under this Agreement or any other document furnished in connection herewith unless it shall first receive such advice or concurrence of its related Lender Group as it deems appropriate or it shall first be indemnified to its satisfaction by its related Lender Group, provided that unless and until such Funding Agent shall have received such advice, such Funding Agent may take or refrain from taking any action, as it shall deem advisable and in the best interests of its related Lender Group. Each Funding Agent shall in all cases be fully protected in acting, or in refraining from acting, in accordance with a request of its related Lender Group and such request and any action taken or failure to act pursuant thereto shall be binding upon its related Lender Group.</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left="180" w:right="20" w:firstLine="1300"/>
        <w:spacing w:after="0" w:line="254" w:lineRule="auto"/>
        <w:tabs>
          <w:tab w:leader="none" w:pos="21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 Reliance on the Funding Agent and Other Lenders</w:t>
      </w:r>
      <w:r>
        <w:rPr>
          <w:rFonts w:ascii="Times New Roman" w:cs="Times New Roman" w:eastAsia="Times New Roman" w:hAnsi="Times New Roman"/>
          <w:sz w:val="18"/>
          <w:szCs w:val="18"/>
          <w:color w:val="auto"/>
        </w:rPr>
        <w:t>. The related Lender Group expressly acknowledges that neither its Funding Agent nor any of its officers, directors, employees, agents, attorneys in fact or affiliates has made any representations or warranties to it and that no act by such Funding Agent hereafter taken, including, without limitation, any review of the affairs of the transaction parties, shall be deemed to constitute any representation or warranty by such Funding Agent. The related Lender Group represents and warrants to such Funding Agent that it has and will, independently and without reliance upon such Funding Agent and based on such documents and information as they have deemed appropriate, made their own appraisal of, and investigation into, the business, operations, property, prospects, financial and other conditions and creditworthiness of the Borrower and other transaction parties and made its own decision to enter into this Agreement.</w:t>
      </w:r>
    </w:p>
    <w:p>
      <w:pPr>
        <w:spacing w:after="0" w:line="188"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Funding Agent in its Individual Capacity</w:t>
      </w:r>
      <w:r>
        <w:rPr>
          <w:rFonts w:ascii="Times New Roman" w:cs="Times New Roman" w:eastAsia="Times New Roman" w:hAnsi="Times New Roman"/>
          <w:sz w:val="18"/>
          <w:szCs w:val="18"/>
          <w:color w:val="auto"/>
        </w:rPr>
        <w:t>. Each Person serving as a Funding Agent hereunder shall have the same rights and powers in its capacity as a Lender and may exercise the same as though it were not a Funding Agent, and the term “Lender” or “Lenders” shall include each Person serving as a Funding Agent hereunder in its individual capacity. Each Funding Agent and any of its Affiliates may make loans to, accept deposits from, and generally engage in any kind of business with the Borrower or any Affiliate of the Borrower as though such Funding Agent were not a Funding Agent hereunder.</w:t>
      </w:r>
    </w:p>
    <w:p>
      <w:pPr>
        <w:spacing w:after="0" w:line="187"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Funding Agent</w:t>
      </w:r>
      <w:r>
        <w:rPr>
          <w:rFonts w:ascii="Times New Roman" w:cs="Times New Roman" w:eastAsia="Times New Roman" w:hAnsi="Times New Roman"/>
          <w:sz w:val="18"/>
          <w:szCs w:val="18"/>
          <w:color w:val="auto"/>
        </w:rPr>
        <w:t xml:space="preserve">. Each Funding Agent will, upon the direction of its related Lender Group, resign as such Funding Agent. If such Funding Agent shall resign, then the related Lender Group shall appoint an Affiliate of a member of the Lender Group as a successor agent. If for any reason no successor Funding Agent is appointed by the related Lender Group, the Borrower shall make all payments in respect of Secured Obligations due to such Lender Group or under any fee letter delivered in connection herewith directly to Administrative Agent and for all purposes shall deal directly with the Administrative Agent. After any retiring Funding Agent's resignation hereunder as Funding Agent, the provisions of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shall inure to its benefit as to any actions taken or omitted to be taken by it while it was the Funding Agent under this Agreement.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5" w:name="page176"/>
    <w:bookmarkEnd w:id="175"/>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8"/>
          <w:szCs w:val="18"/>
          <w:u w:val="single" w:color="auto"/>
          <w:color w:val="auto"/>
        </w:rPr>
        <w:t>Class B Lenders’ Purchase Option; Collateral Purchase Right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300"/>
        <w:spacing w:after="0" w:line="251" w:lineRule="auto"/>
        <w:tabs>
          <w:tab w:leader="none" w:pos="21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and the Administrative Agent has declared the Loans then outstanding to be due and payable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then the Class B Lenders shall have the option to purchase all (but not less than all) of the Class A Loans from the Class A Lenders (the “</w:t>
      </w:r>
      <w:r>
        <w:rPr>
          <w:rFonts w:ascii="Times New Roman" w:cs="Times New Roman" w:eastAsia="Times New Roman" w:hAnsi="Times New Roman"/>
          <w:sz w:val="18"/>
          <w:szCs w:val="18"/>
          <w:u w:val="single" w:color="auto"/>
          <w:color w:val="auto"/>
        </w:rPr>
        <w:t>Class B Purchase Right</w:t>
      </w:r>
      <w:r>
        <w:rPr>
          <w:rFonts w:ascii="Times New Roman" w:cs="Times New Roman" w:eastAsia="Times New Roman" w:hAnsi="Times New Roman"/>
          <w:sz w:val="18"/>
          <w:szCs w:val="18"/>
          <w:color w:val="auto"/>
        </w:rPr>
        <w:t xml:space="preserve">”). Within five (5) Business Days of the Administrative Agent’s declaration that the Loans then outstanding are due and payable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following an Event of Default, the Administrative Agent shall deliver written notice (including supporting detail) to the Class B Lenders of (i) the aggregate principal amount of the Class A Loans, and all accrued and unpaid fees and interest thereon, (ii) the interest and fees expected to accrue thereon through the immediately following Settlement Date and (iii) the amount of all liabilities (without duplication) that it has incurred in the nature of indemnification obligations of the Borrower hereunder which have resulted in any loss, cost, damage or expense (including reasonable attorneys’ fees and legal expenses) to the Class A Lenders (collectively, “</w:t>
      </w:r>
      <w:r>
        <w:rPr>
          <w:rFonts w:ascii="Times New Roman" w:cs="Times New Roman" w:eastAsia="Times New Roman" w:hAnsi="Times New Roman"/>
          <w:sz w:val="18"/>
          <w:szCs w:val="18"/>
          <w:u w:val="single" w:color="auto"/>
          <w:color w:val="auto"/>
        </w:rPr>
        <w:t>Class A Indemnification Liabilities</w:t>
      </w:r>
      <w:r>
        <w:rPr>
          <w:rFonts w:ascii="Times New Roman" w:cs="Times New Roman" w:eastAsia="Times New Roman" w:hAnsi="Times New Roman"/>
          <w:sz w:val="18"/>
          <w:szCs w:val="18"/>
          <w:color w:val="auto"/>
        </w:rPr>
        <w:t>”). The decision to exercise the Class B Purchase Right shall be electable by the Class B Lenders for a period of thirty (30) Days, commencing on the date on which the Administrative Agent provides the immediately forgoing notice (the last day of such thirty-Day Period, the “</w:t>
      </w:r>
      <w:r>
        <w:rPr>
          <w:rFonts w:ascii="Times New Roman" w:cs="Times New Roman" w:eastAsia="Times New Roman" w:hAnsi="Times New Roman"/>
          <w:sz w:val="18"/>
          <w:szCs w:val="18"/>
          <w:u w:val="single" w:color="auto"/>
          <w:color w:val="auto"/>
        </w:rPr>
        <w:t>Class B Purchase Right Termination Date</w:t>
      </w:r>
      <w:r>
        <w:rPr>
          <w:rFonts w:ascii="Times New Roman" w:cs="Times New Roman" w:eastAsia="Times New Roman" w:hAnsi="Times New Roman"/>
          <w:sz w:val="18"/>
          <w:szCs w:val="18"/>
          <w:color w:val="auto"/>
        </w:rPr>
        <w:t>”). Prior to the Class B Purchase Right Termination Date, one or more Class B Lenders (or their designees) may elect to exercise the Class B Purchase Right upon written notice to the Administrative Agent (the “</w:t>
      </w:r>
      <w:r>
        <w:rPr>
          <w:rFonts w:ascii="Times New Roman" w:cs="Times New Roman" w:eastAsia="Times New Roman" w:hAnsi="Times New Roman"/>
          <w:sz w:val="18"/>
          <w:szCs w:val="18"/>
          <w:u w:val="single" w:color="auto"/>
          <w:color w:val="auto"/>
        </w:rPr>
        <w:t>Class B Purchase Option Notice</w:t>
      </w:r>
      <w:r>
        <w:rPr>
          <w:rFonts w:ascii="Times New Roman" w:cs="Times New Roman" w:eastAsia="Times New Roman" w:hAnsi="Times New Roman"/>
          <w:sz w:val="18"/>
          <w:szCs w:val="18"/>
          <w:color w:val="auto"/>
        </w:rPr>
        <w:t>” and such electing Class B Lenders, the “</w:t>
      </w:r>
      <w:r>
        <w:rPr>
          <w:rFonts w:ascii="Times New Roman" w:cs="Times New Roman" w:eastAsia="Times New Roman" w:hAnsi="Times New Roman"/>
          <w:sz w:val="18"/>
          <w:szCs w:val="18"/>
          <w:u w:val="single" w:color="auto"/>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Option Lenders</w:t>
      </w:r>
      <w:r>
        <w:rPr>
          <w:rFonts w:ascii="Times New Roman" w:cs="Times New Roman" w:eastAsia="Times New Roman" w:hAnsi="Times New Roman"/>
          <w:sz w:val="18"/>
          <w:szCs w:val="18"/>
          <w:color w:val="auto"/>
        </w:rPr>
        <w:t>”), which notice shall be irrevocable (unless the final Class B Purchase Option Amount is more than [***] higher than (x) the initial calculation of such amounts owing in respect of the Class A Loans and expected to accrue through the Class B Purchase Option Exercise Date calculated pursuant to the preceding sentence plus (y) any Yield accrued prior to the Class B Purchase Option Exercise but not reflected in the prior calculation, in which case such Class B Purchase Option Notice may be revoked in the sole and absolute discretion of the Class B Purchase Option Lenders at any time prior to the Class B Purchase Option Exercise Date) and shall specify the date on which such right is to be exercised by the Class B Lenders (or their designees) (such date, the “</w:t>
      </w:r>
      <w:r>
        <w:rPr>
          <w:rFonts w:ascii="Times New Roman" w:cs="Times New Roman" w:eastAsia="Times New Roman" w:hAnsi="Times New Roman"/>
          <w:sz w:val="18"/>
          <w:szCs w:val="18"/>
          <w:u w:val="single" w:color="auto"/>
          <w:color w:val="auto"/>
        </w:rPr>
        <w:t>Class B Purchase Option Exercise Date</w:t>
      </w:r>
      <w:r>
        <w:rPr>
          <w:rFonts w:ascii="Times New Roman" w:cs="Times New Roman" w:eastAsia="Times New Roman" w:hAnsi="Times New Roman"/>
          <w:sz w:val="18"/>
          <w:szCs w:val="18"/>
          <w:color w:val="auto"/>
        </w:rPr>
        <w:t>”), which shall be a Business Day not more than thirty (30) Business Days after receipt by the Administrative Agent of such Class B Purchase Option Notice. On the Business Day prior to the Class B Purchase Option Exercise Date, the Administrative Agent shall deliver written notice to the Class B Purchase Option Lenders specifying the aggregate principal amount of the Class A Loans, all accrued and unpaid fees and interest as of the Class B Purchase Option Exercise Date and the Class A Indemnification Liabilities of which it is then aware (collectively, the “</w:t>
      </w:r>
      <w:r>
        <w:rPr>
          <w:rFonts w:ascii="Times New Roman" w:cs="Times New Roman" w:eastAsia="Times New Roman" w:hAnsi="Times New Roman"/>
          <w:sz w:val="18"/>
          <w:szCs w:val="18"/>
          <w:u w:val="single" w:color="auto"/>
          <w:color w:val="auto"/>
        </w:rPr>
        <w:t>Class B Purchase Option Amount</w:t>
      </w:r>
      <w:r>
        <w:rPr>
          <w:rFonts w:ascii="Times New Roman" w:cs="Times New Roman" w:eastAsia="Times New Roman" w:hAnsi="Times New Roman"/>
          <w:sz w:val="18"/>
          <w:szCs w:val="18"/>
          <w:color w:val="auto"/>
        </w:rPr>
        <w:t>”). On the Class B Purchase Option Exercise Date, the Class A Lenders shall sell to the Class B Purchase Option Lenders or their designees, and the Class B Purchase Option Lenders (or their designees) shall purchase from the Class A Lenders, the Class A Loans.</w:t>
      </w:r>
    </w:p>
    <w:p>
      <w:pPr>
        <w:spacing w:after="0" w:line="202" w:lineRule="exact"/>
        <w:rPr>
          <w:rFonts w:ascii="Times New Roman" w:cs="Times New Roman" w:eastAsia="Times New Roman" w:hAnsi="Times New Roman"/>
          <w:sz w:val="18"/>
          <w:szCs w:val="18"/>
          <w:color w:val="auto"/>
        </w:rPr>
      </w:pPr>
    </w:p>
    <w:p>
      <w:pPr>
        <w:jc w:val="both"/>
        <w:ind w:left="180" w:right="20" w:firstLine="1299"/>
        <w:spacing w:after="0" w:line="271" w:lineRule="auto"/>
        <w:tabs>
          <w:tab w:leader="none" w:pos="2124"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date of such purchase and sale, the Class B Purchase Option Lenders shall pay to the Class A Lenders as the purchase price therefor the Class B Purchase Option Amount. Such purchase price and other sums shall be remitted by wire transfer in federal funds to such bank account of the Class A Lenders as the Administrative Agent shall have designated in writing to the Class B Purchase Option Lenders for such purpose. In connection with the foregoing purchase, accrued and unpaid fees and interest in respect of the Class A Loans shall be calculated through the Business Day on which such purchase and sale shall occur if the amounts so paid by the Class B Purchase Option Lenders to the bank account designated by the Class A Lenders are received in such bank account prior to 5:00 p.m., New York time and interest shall be calculated to and include the next Business Day if the amounts so paid by the Class B Purchase Option Lenders to the bank account designated by the Class A Lenders are received in such bank account later than 5:00 p.m., New York time.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6" w:name="page177"/>
    <w:bookmarkEnd w:id="176"/>
    <w:p>
      <w:pPr>
        <w:jc w:val="both"/>
        <w:ind w:left="180" w:firstLine="1300"/>
        <w:spacing w:after="0" w:line="254" w:lineRule="auto"/>
        <w:tabs>
          <w:tab w:leader="none" w:pos="21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purchase pursuant to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shall be expressly made without representation or warranty of any kind by the Class A Lenders as to the Class A Loans or otherwise and without recourse to the Class A Lenders, except that the Class A Lenders shall represent and warrant: (i) the amount of the Class A Loans being purchased and that the purchase price and other sums payable by the Class B Purchase Option Lenders are true, correct and accurate amounts, (ii) that the Class A Lenders shall convey the Class A Loans free and clear of any Liens or encumbrances of the Class A Lenders or created or suffered by the Class A Lenders, including any participation interest in any of the Class A Loans, (iii) as to all claims made or threatened in writing against the Class A Lenders related to the Class A Loans, and (iv) the Class A Lenders are duly authorized to assign the Class A Loans.</w:t>
      </w:r>
    </w:p>
    <w:p>
      <w:pPr>
        <w:spacing w:after="0" w:line="191" w:lineRule="exact"/>
        <w:rPr>
          <w:rFonts w:ascii="Times New Roman" w:cs="Times New Roman" w:eastAsia="Times New Roman" w:hAnsi="Times New Roman"/>
          <w:sz w:val="18"/>
          <w:szCs w:val="18"/>
          <w:color w:val="auto"/>
        </w:rPr>
      </w:pPr>
    </w:p>
    <w:p>
      <w:pPr>
        <w:jc w:val="both"/>
        <w:ind w:left="180" w:right="20" w:firstLine="1299"/>
        <w:spacing w:after="0" w:line="252" w:lineRule="auto"/>
        <w:tabs>
          <w:tab w:leader="none" w:pos="21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elects (or is directed to by the Majority Lenders to elect to), or directs the Collateral Agent to, solicit and accept bids in connection with, and to sell or dispose of, all or any portion of the Receivables pursuant to this Agreement or the Security Agreement, then any Class B Lender shall have the first right to purchase such Receivables on terms and at a price equal to or (if such Class B Lender so determines in its sole discretion) greater than and on a timeline the same as or shorter than (provided, for the avoidance of doubt, that such timeline shall not be shorter than 30 days from the exercise by a Class B Lender of its Collateral Purchase Right in accordance with this Section 8.05(d)) the Winning Collateral Purchase Bid (as defined below) (the “</w:t>
      </w:r>
      <w:r>
        <w:rPr>
          <w:rFonts w:ascii="Times New Roman" w:cs="Times New Roman" w:eastAsia="Times New Roman" w:hAnsi="Times New Roman"/>
          <w:sz w:val="18"/>
          <w:szCs w:val="18"/>
          <w:u w:val="single" w:color="auto"/>
          <w:color w:val="auto"/>
        </w:rPr>
        <w:t>Collateral Purchase Right</w:t>
      </w:r>
      <w:r>
        <w:rPr>
          <w:rFonts w:ascii="Times New Roman" w:cs="Times New Roman" w:eastAsia="Times New Roman" w:hAnsi="Times New Roman"/>
          <w:sz w:val="18"/>
          <w:szCs w:val="18"/>
          <w:color w:val="auto"/>
        </w:rPr>
        <w:t>”). The Collateral Purchase Right shall be exercisable by any Class B Lender for a period of five (5) Business Days commencing on the date on which the Class B Lenders receive written notice from the Administrative Agent or the Collateral Agent of the Winning Collateral Purchase Bid (the “</w:t>
      </w:r>
      <w:r>
        <w:rPr>
          <w:rFonts w:ascii="Times New Roman" w:cs="Times New Roman" w:eastAsia="Times New Roman" w:hAnsi="Times New Roman"/>
          <w:sz w:val="18"/>
          <w:szCs w:val="18"/>
          <w:u w:val="single" w:color="auto"/>
          <w:color w:val="auto"/>
        </w:rPr>
        <w:t>Collateral Purchase Right Termination Date</w:t>
      </w:r>
      <w:r>
        <w:rPr>
          <w:rFonts w:ascii="Times New Roman" w:cs="Times New Roman" w:eastAsia="Times New Roman" w:hAnsi="Times New Roman"/>
          <w:sz w:val="18"/>
          <w:szCs w:val="18"/>
          <w:color w:val="auto"/>
        </w:rPr>
        <w:t>”). If a Class B Lender does not deliver written notice to the Administrative Agent prior to 5:00 p.m. (New York City time) on the Collateral Purchase Right Termination Date that it intends to invoke its Collateral Purchase Right, the Collateral Purchase Right shall terminate automatically without notice or any action required on the part of any Person. Nothing in this Section 8.05(e) shall be deemed to create an obligation on any Class B Lender to submit any bid or to purchase Receivables pursuant to the Collateral Purchase Right; however, it is understood and agreed that any notice delivered by a Class B Lender to the Administrative Agent exercising the Collateral Purchase Right shall be binding on such Class B Lender. As used herein, the term “</w:t>
      </w:r>
      <w:r>
        <w:rPr>
          <w:rFonts w:ascii="Times New Roman" w:cs="Times New Roman" w:eastAsia="Times New Roman" w:hAnsi="Times New Roman"/>
          <w:sz w:val="18"/>
          <w:szCs w:val="18"/>
          <w:u w:val="single" w:color="auto"/>
          <w:color w:val="auto"/>
        </w:rPr>
        <w:t>Winning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Bid</w:t>
      </w:r>
      <w:r>
        <w:rPr>
          <w:rFonts w:ascii="Times New Roman" w:cs="Times New Roman" w:eastAsia="Times New Roman" w:hAnsi="Times New Roman"/>
          <w:sz w:val="18"/>
          <w:szCs w:val="18"/>
          <w:color w:val="auto"/>
        </w:rPr>
        <w:t>” shall mean the bid to purchase all or any portion of the Receivables selected by the Administrative Agent in its sole discretion.</w:t>
      </w:r>
    </w:p>
    <w:p>
      <w:pPr>
        <w:spacing w:after="0" w:line="192"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8"/>
          <w:szCs w:val="18"/>
          <w:u w:val="single" w:color="auto"/>
          <w:color w:val="auto"/>
        </w:rPr>
        <w:t>Right of First Refusal.</w:t>
      </w:r>
    </w:p>
    <w:p>
      <w:pPr>
        <w:spacing w:after="0" w:line="225" w:lineRule="exact"/>
        <w:rPr>
          <w:sz w:val="20"/>
          <w:szCs w:val="20"/>
          <w:color w:val="auto"/>
        </w:rPr>
      </w:pPr>
    </w:p>
    <w:p>
      <w:pPr>
        <w:jc w:val="both"/>
        <w:ind w:left="180" w:firstLine="1300"/>
        <w:spacing w:after="0" w:line="253" w:lineRule="auto"/>
        <w:tabs>
          <w:tab w:leader="none" w:pos="21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Servicer hereby agree that if, at any time during the term hereof, Borrower (or any Affiliate of Borrower) proposes to renew or extend, or increase the size of, the Class B Commitment or replace or refinance the Class B Commitment with a Class B commitment in a financing facility agented by Citibank, N.A., Borrower and Servicer shall provide the Administrative Agent and the Class B Lenders with written notice (the “</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by no later than thirty (30) days prior to such time as the Borrower intends to effectuate any such renewal, extension, increase or refinancing of the Class B Commitment, and such ROFR Notice shall include a proposed term sheet setting forth the material terms and conditions of such renewal, extension, increase or refinancing of the Class B Commitment in reasonable detail (such term sheet, the “</w:t>
      </w:r>
      <w:r>
        <w:rPr>
          <w:rFonts w:ascii="Times New Roman" w:cs="Times New Roman" w:eastAsia="Times New Roman" w:hAnsi="Times New Roman"/>
          <w:sz w:val="18"/>
          <w:szCs w:val="18"/>
          <w:u w:val="single" w:color="auto"/>
          <w:color w:val="auto"/>
        </w:rPr>
        <w:t>ROFR Term Sheet</w:t>
      </w:r>
      <w:r>
        <w:rPr>
          <w:rFonts w:ascii="Times New Roman" w:cs="Times New Roman" w:eastAsia="Times New Roman" w:hAnsi="Times New Roman"/>
          <w:sz w:val="18"/>
          <w:szCs w:val="18"/>
          <w:color w:val="auto"/>
        </w:rPr>
        <w:t>”); provided, however, that if the Class B Lenders have at any point (i) been Defaulting Lenders or (ii) otherwise been in breach of any covenants hereunder or under any other Loan Document, then the Borrower shall have no obligation to deliver a ROFR Notice to the Class B Lenders and the Class B Lenders shall have no rights with respect to such renewal, extension, or increase in the size of the Class B Commitment.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7" w:name="page178"/>
    <w:bookmarkEnd w:id="177"/>
    <w:p>
      <w:pPr>
        <w:jc w:val="both"/>
        <w:ind w:left="180" w:firstLine="1299"/>
        <w:spacing w:after="0" w:line="252" w:lineRule="auto"/>
        <w:tabs>
          <w:tab w:leader="none" w:pos="212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the ROFR Notice shall constitute an offer (the “</w:t>
      </w:r>
      <w:r>
        <w:rPr>
          <w:rFonts w:ascii="Times New Roman" w:cs="Times New Roman" w:eastAsia="Times New Roman" w:hAnsi="Times New Roman"/>
          <w:sz w:val="18"/>
          <w:szCs w:val="18"/>
          <w:u w:val="single" w:color="auto"/>
          <w:color w:val="auto"/>
        </w:rPr>
        <w:t>ROFR Offer</w:t>
      </w:r>
      <w:r>
        <w:rPr>
          <w:rFonts w:ascii="Times New Roman" w:cs="Times New Roman" w:eastAsia="Times New Roman" w:hAnsi="Times New Roman"/>
          <w:sz w:val="18"/>
          <w:szCs w:val="18"/>
          <w:color w:val="auto"/>
        </w:rPr>
        <w:t>”) by the Borrower and the Servicer for the Class B Lenders (or their designees) to renew, extend, increase or refinance the Class B Commitment subject to the terms and conditions set forth in the ROFR Term Sheet. Within ten (10) Business Days following receipt by the Class B Lenders of the ROFR Notice and ROFR Term sheet (the “</w:t>
      </w:r>
      <w:r>
        <w:rPr>
          <w:rFonts w:ascii="Times New Roman" w:cs="Times New Roman" w:eastAsia="Times New Roman" w:hAnsi="Times New Roman"/>
          <w:sz w:val="18"/>
          <w:szCs w:val="18"/>
          <w:u w:val="single" w:color="auto"/>
          <w:color w:val="auto"/>
        </w:rPr>
        <w:t>ROFR Election Period</w:t>
      </w:r>
      <w:r>
        <w:rPr>
          <w:rFonts w:ascii="Times New Roman" w:cs="Times New Roman" w:eastAsia="Times New Roman" w:hAnsi="Times New Roman"/>
          <w:sz w:val="18"/>
          <w:szCs w:val="18"/>
          <w:color w:val="auto"/>
        </w:rPr>
        <w:t>”), the Class B Lenders may elect to extend, renew, increase or refinance the Class B Commitment (or cause their designees to extend, renew, increase or refinance the Class B Commitment) subject to the terms and conditions set forth in the ROFR Term Sheet by delivering to the Administrative Agent, the Borrower and the Servicer a notice (the “</w:t>
      </w:r>
      <w:r>
        <w:rPr>
          <w:rFonts w:ascii="Times New Roman" w:cs="Times New Roman" w:eastAsia="Times New Roman" w:hAnsi="Times New Roman"/>
          <w:sz w:val="18"/>
          <w:szCs w:val="18"/>
          <w:u w:val="single" w:color="auto"/>
          <w:color w:val="auto"/>
        </w:rPr>
        <w:t>ROFR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indicating its wish to exercise its rights under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to extend, renew, increase or refinance the Class B Commitment on such terms or other terms as may be agreed between the parties. For the avoidance of doubt, during the ROFR Election Period, the Borrower, the Administrative Agent, the Servicer and the Class B Lenders may negotiate the terms of the ROFR Term Sheet and may agree on terms that are different from the ROFR Term Sheet originally provided to the Administrative Agent and the Class B Lenders as part of the ROFR Offer. If the Class B Lenders do not deliver a ROFR Acceptance Notice within the ROFR Election Period, the Class B Lenders shall be deemed to have rejected the ROFR Offer.</w:t>
      </w:r>
    </w:p>
    <w:p>
      <w:pPr>
        <w:spacing w:after="0" w:line="197" w:lineRule="exact"/>
        <w:rPr>
          <w:rFonts w:ascii="Times New Roman" w:cs="Times New Roman" w:eastAsia="Times New Roman" w:hAnsi="Times New Roman"/>
          <w:sz w:val="18"/>
          <w:szCs w:val="18"/>
          <w:color w:val="auto"/>
        </w:rPr>
      </w:pPr>
    </w:p>
    <w:p>
      <w:pPr>
        <w:jc w:val="both"/>
        <w:ind w:left="180" w:right="20" w:firstLine="1300"/>
        <w:spacing w:after="0" w:line="258" w:lineRule="auto"/>
        <w:tabs>
          <w:tab w:leader="none" w:pos="212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B Lenders reject or are deemed to have rejected the ROFR Offer, the Borrower, the Servicer and the Administrative Agent shall have the right, for a period of one hundred and eighty (180) days, to market to additional potential lenders (each, a “</w:t>
      </w:r>
      <w:r>
        <w:rPr>
          <w:rFonts w:ascii="Times New Roman" w:cs="Times New Roman" w:eastAsia="Times New Roman" w:hAnsi="Times New Roman"/>
          <w:sz w:val="18"/>
          <w:szCs w:val="18"/>
          <w:u w:val="single" w:color="auto"/>
          <w:color w:val="auto"/>
        </w:rPr>
        <w:t>Potential Class B Lender</w:t>
      </w:r>
      <w:r>
        <w:rPr>
          <w:rFonts w:ascii="Times New Roman" w:cs="Times New Roman" w:eastAsia="Times New Roman" w:hAnsi="Times New Roman"/>
          <w:sz w:val="18"/>
          <w:szCs w:val="18"/>
          <w:color w:val="auto"/>
        </w:rPr>
        <w:t>”) and agree to incorporate such Potential Class B Lenders as Class B Lenders hereunder; provided, that the existing Class B Lenders shall have the opportunity to participate in such marketing process.</w:t>
      </w:r>
    </w:p>
    <w:p>
      <w:pPr>
        <w:spacing w:after="0" w:line="1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No amendment to or waiver of any provision of this Agreement or the Sale and Servicing Agreement, nor consent to any departure by CPS, the Seller, the Servicer, the Purchaser, the Borrower or any Lender therefrom, shall in any event be effective unless the same shall be in writing and signed by CPS,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or waiver that adversely affects rights or obligations of the Account Bank, the Backup Servicer or the Custodian hereunder shall be effective against the Account Bank, the Backup Servicer or the Custodian, as applicable, unless such Person shall have given its prior written consent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in this Agreement or any other Loan Document, no such waiver, amendment, modification or consent shall, without the prior written consent of each Lender:</w:t>
      </w:r>
    </w:p>
    <w:p>
      <w:pPr>
        <w:spacing w:after="0" w:line="192" w:lineRule="exact"/>
        <w:rPr>
          <w:sz w:val="20"/>
          <w:szCs w:val="20"/>
          <w:color w:val="auto"/>
        </w:rPr>
      </w:pPr>
    </w:p>
    <w:p>
      <w:pPr>
        <w:jc w:val="both"/>
        <w:ind w:left="840" w:right="20" w:firstLine="1287"/>
        <w:spacing w:after="0" w:line="254" w:lineRule="auto"/>
        <w:tabs>
          <w:tab w:leader="none" w:pos="27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waive the Maturity Date or the date of payment of any installment of principal of or interest on the Loans of any Lender or any other amount owed to the Lenders by the Borrower, the Seller or the Servicer under the Loan Documents, or reduce the outstanding principal amount of the Loans held by any Lender, the interest rate or fees accrued thereon, or change any provision of this Agreement or the Sale and Servicing Agreement relating to the application of collections on, or the proceeds of the sale of, the Collateral to payment of principal of or interest on the Loans held by the Lenders or any other amount owed to the Lenders by the Borrower, the Seller or the Servicer under the Loan Documents, or change any place or time of payment where, or the coin or currency in which, any such Loans or the interest thereon or any other amount owed by the Borrower, the Seller or the Servicer under the Loan Documents is payable;</w:t>
      </w:r>
    </w:p>
    <w:p>
      <w:pPr>
        <w:spacing w:after="0" w:line="188" w:lineRule="exact"/>
        <w:rPr>
          <w:rFonts w:ascii="Times New Roman" w:cs="Times New Roman" w:eastAsia="Times New Roman" w:hAnsi="Times New Roman"/>
          <w:sz w:val="18"/>
          <w:szCs w:val="18"/>
          <w:color w:val="auto"/>
        </w:rPr>
      </w:pPr>
    </w:p>
    <w:p>
      <w:pPr>
        <w:jc w:val="both"/>
        <w:ind w:left="840" w:right="20" w:firstLine="1288"/>
        <w:spacing w:after="0" w:line="256" w:lineRule="auto"/>
        <w:tabs>
          <w:tab w:leader="none" w:pos="27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or waive any provision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Sale and Servicing Agreement or impair the right to institute suit for the enforcement of the provisions of this Agreement requiring the application of funds available therefor,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Sale and Servicing Agreement, to the payment of any such amount due on the Loans held by the Lenders or any other amount owed by the Borrower, the Seller or the Servicer under the Loan Documents on or after the respective due dates thereof;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8" w:name="page179"/>
    <w:bookmarkEnd w:id="178"/>
    <w:p>
      <w:pPr>
        <w:jc w:val="both"/>
        <w:ind w:left="840" w:firstLine="1287"/>
        <w:spacing w:after="0" w:line="255" w:lineRule="auto"/>
        <w:tabs>
          <w:tab w:leader="none" w:pos="27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or eliminate any requirement set forth in this Agreement or the Sale and Servicing Agreement (including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of the Sale and Servicing Agreement) that the Administrative Agent and/or the Majority Lenders and/or any affected Lender consent is required for the taking of any action, or that the consent of the Administrative Agent and/or the Majority Lenders and/or any Affected Lender is required for any waiver of compliance with provisions of this Agreement or the Sale and Servicing Agreement, or defaults hereunder or thereunder and their consequences provided for in this Agreement or, as applicable, the Sale and Servicing Agreement;</w:t>
      </w:r>
    </w:p>
    <w:p>
      <w:pPr>
        <w:spacing w:after="0" w:line="188" w:lineRule="exact"/>
        <w:rPr>
          <w:rFonts w:ascii="Times New Roman" w:cs="Times New Roman" w:eastAsia="Times New Roman" w:hAnsi="Times New Roman"/>
          <w:sz w:val="18"/>
          <w:szCs w:val="18"/>
          <w:color w:val="auto"/>
        </w:rPr>
      </w:pPr>
    </w:p>
    <w:p>
      <w:pPr>
        <w:jc w:val="both"/>
        <w:ind w:left="840" w:right="20" w:firstLine="1288"/>
        <w:spacing w:after="0" w:line="261" w:lineRule="auto"/>
        <w:tabs>
          <w:tab w:leader="none" w:pos="27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material modification to the definition of Collateral or release the Collateral Agent’s Lien on the Collateral, or transfer all or any material portion of the Collateral, other than as specifically contemplated by this Agreement, the Security Documents or any other Loan Document without the Administrative Agent’s prior consent or approval;</w:t>
      </w:r>
    </w:p>
    <w:p>
      <w:pPr>
        <w:spacing w:after="0" w:line="179"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provision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right="20" w:firstLine="1288"/>
        <w:spacing w:after="0" w:line="258" w:lineRule="auto"/>
        <w:tabs>
          <w:tab w:leader="none" w:pos="27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Agreement or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Sale and Servicing Agreement in such manner as to affect the calculation of the amount or timing of any payment of (x) interest or principal due on any Loans held by the Lenders on any Settlement Date (including the calculation of any of the individual components of such calculation) or (y) any amount due to any Lender from the Borrower, the Seller or the Servicer under the Loan Documents.</w:t>
      </w:r>
    </w:p>
    <w:p>
      <w:pPr>
        <w:spacing w:after="0" w:line="183"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amend the “Total Advance Rate”, the “Class A Advance Rate” or the “Class</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Advance Rate”;</w:t>
      </w:r>
    </w:p>
    <w:p>
      <w:pPr>
        <w:spacing w:after="0" w:line="206" w:lineRule="exact"/>
        <w:rPr>
          <w:rFonts w:ascii="Times New Roman" w:cs="Times New Roman" w:eastAsia="Times New Roman" w:hAnsi="Times New Roman"/>
          <w:sz w:val="18"/>
          <w:szCs w:val="18"/>
          <w:color w:val="auto"/>
        </w:rPr>
      </w:pPr>
    </w:p>
    <w:p>
      <w:pPr>
        <w:jc w:val="both"/>
        <w:ind w:left="840" w:right="20" w:firstLine="1288"/>
        <w:spacing w:after="0" w:line="253" w:lineRule="auto"/>
        <w:tabs>
          <w:tab w:leader="none" w:pos="27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(x) any provision of the definitions of “Advance Rate Calculator”, “Available Liquidity”, “Borrowing Base Deficiency”, “Benchmark,” “CPS Change of Control”, “Change of Control”, “Class A Borrowing Base”, “Class A Borrowing Base Deficiency”, “Class A Facility Advance Purchase Price Cap”, “Class A Yield”, “Class B Borrowing Base”, “Class B Borrowing Base Deficiency”, “Class B Facility Advance Purchase Price Cap”, “Class B Yield”, “Early Amortization Event”, “Eligible Servicer”, “Event of Default,” “Excess Concentration Amount”, “Indemnified Parties”, “Majority Lenders”, “Purchase Amount”, “Required Reserve Amount”, “Secured Obligations”, “Secured Party,” “Servicer Termination Event,” “Tangible Net Worth”, “Maturity Date,” “Term SOFR Reference Rate,” “Loan Document”, or “Turbo Event” or (y) in any way that would reasonably be expected to have a material adverse effect on the interests of the Class B Lenders, any provisions of the definitions “Eligible Obligor”, “Eligible Receivable”, or “Servicing Standard”, or, in the case of (x) or (y), any of the defined terms used directly or indirectly in such definitions;</w:t>
      </w:r>
    </w:p>
    <w:p>
      <w:pPr>
        <w:spacing w:after="0" w:line="189"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waive </w:t>
      </w:r>
      <w:r>
        <w:rPr>
          <w:rFonts w:ascii="Times New Roman" w:cs="Times New Roman" w:eastAsia="Times New Roman" w:hAnsi="Times New Roman"/>
          <w:sz w:val="18"/>
          <w:szCs w:val="18"/>
          <w:u w:val="single" w:color="auto"/>
          <w:color w:val="auto"/>
        </w:rPr>
        <w:t>Section 7.01(u)</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7.01(w)</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waive or remove the Seller’s or the Servicer’s obligations to repurchase loans pursuant to the Sale and Servicing Agreement, Section 5.9 of the Sale and Servicing Agreement or the Seller’s or the Servicer’s obligations to indemnify the Lenders pursuant to the Sale and Servicing Agreement;</w:t>
      </w:r>
    </w:p>
    <w:p>
      <w:pPr>
        <w:spacing w:after="0" w:line="175" w:lineRule="exact"/>
        <w:rPr>
          <w:rFonts w:ascii="Times New Roman" w:cs="Times New Roman" w:eastAsia="Times New Roman" w:hAnsi="Times New Roman"/>
          <w:sz w:val="18"/>
          <w:szCs w:val="18"/>
          <w:color w:val="auto"/>
        </w:rPr>
      </w:pPr>
    </w:p>
    <w:p>
      <w:pPr>
        <w:jc w:val="both"/>
        <w:ind w:left="840" w:right="20" w:firstLine="1287"/>
        <w:spacing w:after="0" w:line="261" w:lineRule="auto"/>
        <w:tabs>
          <w:tab w:leader="none" w:pos="27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Servicer Termination Event, approve the appointment of a successor servicer other than Computershare Trust Company, National Association, approve or permit the Servicer to resign or approve or consent to the assignment or transfer by the Servicer or the Seller of its rights and obligations under the Sale and Servicing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79" w:name="page180"/>
    <w:bookmarkEnd w:id="179"/>
    <w:p>
      <w:pPr>
        <w:ind w:left="2780" w:hanging="653"/>
        <w:spacing w:after="0"/>
        <w:tabs>
          <w:tab w:leader="none" w:pos="27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Funding Termination Date; </w:t>
      </w:r>
      <w:r>
        <w:rPr>
          <w:rFonts w:ascii="Times New Roman" w:cs="Times New Roman" w:eastAsia="Times New Roman" w:hAnsi="Times New Roman"/>
          <w:sz w:val="18"/>
          <w:szCs w:val="18"/>
          <w:u w:val="single" w:color="auto"/>
          <w:color w:val="0000FF"/>
        </w:rPr>
        <w:t>and</w:t>
      </w:r>
    </w:p>
    <w:p>
      <w:pPr>
        <w:spacing w:after="0" w:line="225"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defined term (or any defined term used directly or indirectly in such defined term) used in clauses (i) though (xii) above and the immediately following (i) through (iv) in a matter which would circumvent the intention of the restrictions set forth in such clauses.</w:t>
      </w:r>
    </w:p>
    <w:p>
      <w:pPr>
        <w:spacing w:after="0" w:line="176"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herein or in any other Loan Document to the contrary, no amendment or modification to or waiver of any provision of this Agreement or any other Loan Document, nor consent or approvals as may be required of the Borrower, the Administrative Agent or any Lender pursuant to this Agreement or any other Loan Document, shall in any event be effective, without the prior written consent of the Class B Majority Lenders, to the extent it shall:</w:t>
      </w:r>
    </w:p>
    <w:p>
      <w:pPr>
        <w:spacing w:after="0" w:line="183" w:lineRule="exact"/>
        <w:rPr>
          <w:sz w:val="20"/>
          <w:szCs w:val="20"/>
          <w:color w:val="auto"/>
        </w:rPr>
      </w:pPr>
    </w:p>
    <w:p>
      <w:pPr>
        <w:ind w:left="180" w:right="20" w:firstLine="1948"/>
        <w:spacing w:after="0" w:line="282" w:lineRule="auto"/>
        <w:tabs>
          <w:tab w:leader="none" w:pos="277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Borrower to engage in any other business activities other than as permitted under this Agreement or any other Loan Document; and</w:t>
      </w:r>
    </w:p>
    <w:p>
      <w:pPr>
        <w:spacing w:after="0" w:line="161" w:lineRule="exact"/>
        <w:rPr>
          <w:rFonts w:ascii="Times New Roman" w:cs="Times New Roman" w:eastAsia="Times New Roman" w:hAnsi="Times New Roman"/>
          <w:sz w:val="18"/>
          <w:szCs w:val="18"/>
          <w:color w:val="auto"/>
        </w:rPr>
      </w:pPr>
    </w:p>
    <w:p>
      <w:pPr>
        <w:ind w:left="840" w:right="20" w:firstLine="1287"/>
        <w:spacing w:after="0" w:line="282" w:lineRule="auto"/>
        <w:tabs>
          <w:tab w:leader="none" w:pos="27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rights under the Loan Documents for a Class B Loan specifically granted to the Class B Lenders or for which the Class B Lenders are an express beneficiary;</w:t>
      </w:r>
    </w:p>
    <w:p>
      <w:pPr>
        <w:spacing w:after="0" w:line="161"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condition precedent to funding Class B Loans; or</w:t>
      </w:r>
    </w:p>
    <w:p>
      <w:pPr>
        <w:spacing w:after="0" w:line="225" w:lineRule="exact"/>
        <w:rPr>
          <w:rFonts w:ascii="Times New Roman" w:cs="Times New Roman" w:eastAsia="Times New Roman" w:hAnsi="Times New Roman"/>
          <w:sz w:val="18"/>
          <w:szCs w:val="18"/>
          <w:color w:val="auto"/>
        </w:rPr>
      </w:pPr>
    </w:p>
    <w:p>
      <w:pPr>
        <w:ind w:left="2780" w:hanging="653"/>
        <w:spacing w:after="0"/>
        <w:tabs>
          <w:tab w:leader="none" w:pos="27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Early Amortization Event, Turbo Event or Event of Default.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Any waiver, consent or approval given by the Administrative Agent or any party hereto (other than any waiver, consent or approval which is contemplated by the express terms of this Agreement or any other Loan Document) shall be effective only in the specific instance and for the specific purpose for which given, and no waiver by a party of any breach or default under this Agreement or any other Loan Document shall be deemed a waiver of any other breach or default. No failure on the part of the Administrative Agent or any party hereto to exercise, and no delay in exercising, any right hereunder shall operate as a waiver thereof; nor shall any single or partial exercise of any right hereunder, or any abandonment or discontinuation of steps to enforce the right, power or privilege, preclude any other or further exercise thereof or the exercise of any other right. Any waiver consent or approval given by the Administrative Agent under this Agreement or any other Loan Document shall be binding upon each Class A Lender and each Class B Lender and their respective successors and permitted assigns. No notice to or demand on any party hereto in any case shall entitle such party to any other or further notice or demand in the same, similar or other circumstances. The remedies herein provided are cumulative and not exclusive of any remedies provided by law.</w:t>
      </w:r>
    </w:p>
    <w:p>
      <w:pPr>
        <w:spacing w:after="0" w:line="190"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u w:val="single" w:color="auto"/>
          <w:color w:val="auto"/>
        </w:rPr>
        <w:t>Binding on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300"/>
        <w:spacing w:after="0" w:line="255" w:lineRule="auto"/>
        <w:tabs>
          <w:tab w:leader="none" w:pos="21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and inure to the benefit of, the Borrower, the Purchaser, the Seller, the Servicer, CPS, the Class A Lenders, the Class B Lenders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Sale and Servicing Agreement, none of the Borrower, the Purchaser, the Seller, the Servicer or CPS may assign its rights or obligations hereunder or in connection herewith or any interest herein (voluntarily, by operation of law or otherwise) without the prior written consent of the Administrative Agent. Nothing expressed herein is intended or shall be construed to give any Person other than the Persons referred to in the preceding sentence any legal or equitable right, remedy or claim under or in respect of this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0" w:name="page181"/>
    <w:bookmarkEnd w:id="180"/>
    <w:p>
      <w:pPr>
        <w:jc w:val="both"/>
        <w:ind w:left="180" w:firstLine="1300"/>
        <w:spacing w:after="0" w:line="251" w:lineRule="auto"/>
        <w:tabs>
          <w:tab w:leader="none" w:pos="21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prior written consent of the Administrative Agent, a Lender may at any time grant a security interest in and Lien on all of its interests under this Agreement, the Class A Loans or the Class B Loans, as applicable, and all Loan Documents to any Person who, at any time now or in the future, provides program liquidity or credit enhancement, including without limitation, a surety bond or financial guaranty insurance policy for the benefit of such Lender. A Lender may (i) sell to Participants participating interests in this Agreement and the other Loan Documents, its agreement to make Loans or any other interest of such Lender hereunder or thereunder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9.03(d)</w:t>
      </w:r>
      <w:r>
        <w:rPr>
          <w:rFonts w:ascii="Times New Roman" w:cs="Times New Roman" w:eastAsia="Times New Roman" w:hAnsi="Times New Roman"/>
          <w:sz w:val="18"/>
          <w:szCs w:val="18"/>
          <w:color w:val="auto"/>
        </w:rPr>
        <w:t xml:space="preserve"> at any time with the prior written consent of the Administrative Agent, and (ii) assign its Commitment or all or a portion of its interest under the Class A Loans or the Class B Loans, as applicable, this Agreement and the Loan Documents to (w) any Affiliate of such Lender at any time, (x) to any other Person at any time with the prior written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can be made if the Lender to which the assignment is being made makes a determination that its ownership of any of its rights or obligations hereunder is prohibited by applicable law, including the Volcker Rule;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as a condition precedent to any such assignment, the assignee of such Lender shall execute an agreement pursuant to which it agrees to assume and perform all of the obligations of such Lender under the Loan Documents (except that, in the case of an assignment between Conduit Lenders or a Conduit Lender and the committed purchaser or the committed purchaser and one of its Affiliates (including a Conduit Lender), the assigning entity will be permitted to use its internal form of assignment). In connection with any such assignment, such Lender shall have the right, in its sole discretion, but at no cost to CPS or the Borrower, to credit tranche the Loans. Notwithstanding anything contained in this Agreement to the contrary, no consent of the Borrower shall be needed for a Conduit Lender to assign its interests hereunder to its liquidity bank or an Affiliate or to any other Conduit Lender in its Lender Group or to grant a security interest in its interests hereunder to a conduit trustee and no transferee letter or any joinder supplement shall be required in connection therewith. The parties to each such assignment shall execute and deliver to the Administrative Agent an assignment and acceptance (provided that in the event that the assignment is between Conduit Lenders or a Conduit Lender and the committed purchaser or the committed purchaser and one of its Affiliates (including a Conduit Lender), the assigning entity will be permitted to use its internal form of assignment instead of the assignment and acceptance attached hereto and each such assignment shall be recorded on the books and records of the relevant Lenders, without the need to execute and deliver an assignment and acceptance, and for all purposes of this Agreement and all related documents, the relevant Lenders shall be deemed to have the benefit of an executed, delivered, accepted and recorded assignment and acceptance relating to such assignment).</w:t>
      </w:r>
    </w:p>
    <w:p>
      <w:pPr>
        <w:spacing w:after="0" w:line="202"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21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set forth in this Agreement, (x) a Lender may at any time create a security interest in all of its rights under this Agreement, the Class A Loans or the Class B Loans, as applicable, and the Loan Documents in favor of any Federal Reserve Bank in accordance with Regulation A of the Board of Governors of the Federal Reserve System, and (y) any Lender that is a commercial paper conduit may at any time pledge or grant a security interest in all or any portion of its rights (including any Loans and any rights to payment of principal and Yield) under this Agreement to a collateral trustee in order to comply with Rule 3a-7 under the Investment Company Act, and any such pledge, collateral assignment or grant of security interest may be made without compliance with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grant of a security interest shall release such Lender from any of its obligations hereunder or substitute any such pledgee or grantee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1" w:name="page182"/>
    <w:bookmarkEnd w:id="181"/>
    <w:p>
      <w:pPr>
        <w:jc w:val="both"/>
        <w:ind w:left="180" w:firstLine="1299"/>
        <w:spacing w:after="0" w:line="252" w:lineRule="auto"/>
        <w:tabs>
          <w:tab w:leader="none" w:pos="21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after the date of this Agreement, a Lender reasonably determines that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such Lender with any request or directive issued on or after the date of this Agreement (whether or not having the force of law) of any such authority, central bank or comparable agency, has made or would be likely to make it unlawful for such Lender to purchase the Class A Loans or Class B Loans, as applicable, hold the Class A Loans or Class B Loans, as applicable, or otherwise to perform the transactions contemplated to be performed by it pursuant to this Agreement and those contemplated to be performed by it pursuant to the Loan Documents to which such Lender is a party, then (i) such Lender shall so notify the Borrower and the Administrative Agent; (ii) the obligation of such Lender to purchase the Class A Loans or the Class B Loans, as applicable, from time to time as contemplated hereunder shall be suspended; and (iii) such Lender may assign its rights and obligations hereunder and under the Loan Documents, the Class A Loans or the Class B Loans, as applicable, and its interests therein pursuant to and in compliance with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Funding Termination Date shall occur if the Borrower or the Servicer fails to accept the proposed assignee chosen by such Lender (but only if such proposed assignee has been consented to by the Administrative Agent).</w:t>
      </w:r>
    </w:p>
    <w:p>
      <w:pPr>
        <w:spacing w:after="0" w:line="195" w:lineRule="exact"/>
        <w:rPr>
          <w:rFonts w:ascii="Times New Roman" w:cs="Times New Roman" w:eastAsia="Times New Roman" w:hAnsi="Times New Roman"/>
          <w:sz w:val="18"/>
          <w:szCs w:val="18"/>
          <w:color w:val="auto"/>
        </w:rPr>
      </w:pPr>
    </w:p>
    <w:p>
      <w:pPr>
        <w:jc w:val="both"/>
        <w:ind w:left="180" w:firstLine="1300"/>
        <w:spacing w:after="0" w:line="252" w:lineRule="auto"/>
        <w:tabs>
          <w:tab w:leader="none" w:pos="21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may, at its sole cost and expense and in accordance with applicable law, at any time sell to one or more entities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participating interests in this Agreement and the other Loan Documents, its agreement to purchase Class A Loans or Class B Loans, as applicable, or any other interest of such Lender hereunder or thereunder. In connection with any such Participation, such Lender shall have the right, in its sole discretion, but at no cost to CPS or the Borrower, to credit tranche the Class A Loans or the Class B Loans, as applicable. In the event of any such sale by a Lender of participating interests to a Participant, such Lender’s obligations under this Agreement to CPS and the Borrower shall remain unchanged, such Lender shall remain solely responsible for the performance thereof and CPS and the Borrower shall continue to deal solely and directly with such Lender in connection with such Lender’s rights and obligations under this Agreement and the other Loan Documents. CPS and the Borrower each hereby agree that if amounts outstanding under this Agreement are due or unpaid, or shall have been declared or shall have become due and payable upon the occurrence of an Event of Default, each Participant shall be deemed to have the right of set off in respect of its participating interest in amounts owing under this Agreement and the other Loan Documents to the same extent as if the amount of its participating interest were owing directly to it as a Lender under this Agreement and the other Loan Documents; provided, that such Participant shall only be entitled to such right of set off if it shall have agreed in the agreement pursuant to which it shall have acquired its participating interest to share with such Lender the proceeds thereof. CPS and the Borrower also each hereby agree that each Participant shall be entitled to the benefits of </w:t>
      </w:r>
      <w:r>
        <w:rPr>
          <w:rFonts w:ascii="Times New Roman" w:cs="Times New Roman" w:eastAsia="Times New Roman" w:hAnsi="Times New Roman"/>
          <w:sz w:val="18"/>
          <w:szCs w:val="18"/>
          <w:u w:val="single" w:color="auto"/>
          <w:color w:val="auto"/>
        </w:rPr>
        <w:t>Sections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with respect to its participation in the Loans outstanding from time to time (subject to the requirements and limitations therein, including the requirements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be delivered by the Participant to the participating Lender)); provided, that such Lender and all Participants shall be entitled to receive no greater amount in the aggregate pursuant to such Sections than such Lender would have been entitled to receive had no such transfer occurred.</w:t>
      </w:r>
    </w:p>
    <w:p>
      <w:pPr>
        <w:spacing w:after="0" w:line="187" w:lineRule="exact"/>
        <w:rPr>
          <w:rFonts w:ascii="Times New Roman" w:cs="Times New Roman" w:eastAsia="Times New Roman" w:hAnsi="Times New Roman"/>
          <w:sz w:val="18"/>
          <w:szCs w:val="18"/>
          <w:color w:val="auto"/>
        </w:rPr>
      </w:pPr>
    </w:p>
    <w:p>
      <w:pPr>
        <w:jc w:val="both"/>
        <w:ind w:left="180" w:firstLine="1300"/>
        <w:spacing w:after="0" w:line="255" w:lineRule="auto"/>
        <w:tabs>
          <w:tab w:leader="none" w:pos="21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may furnish any information concerning CPS and the Borrower or any of their respective Affiliates and Subsidiaries in the possession of such Lender from time to time to assignees and Participants (including prospective assignees and Participants) </w:t>
      </w:r>
      <w:r>
        <w:rPr>
          <w:rFonts w:ascii="Times New Roman" w:cs="Times New Roman" w:eastAsia="Times New Roman" w:hAnsi="Times New Roman"/>
          <w:sz w:val="18"/>
          <w:szCs w:val="18"/>
          <w:color w:val="FF0000"/>
          <w:strike w:val="1"/>
        </w:rPr>
        <w:t>only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provided that, with respect to assignees (including 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assignees), such information shall only be furnished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after notifying the Administrative Agent, CPS and the Borrower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writing and securing signed confidentiality statements (a form of which is reasonably acceptable to the Administrative Agent, CPS and the Borrower) and only for the sole purpose of evaluating assignments </w:t>
      </w:r>
      <w:r>
        <w:rPr>
          <w:rFonts w:ascii="Times New Roman" w:cs="Times New Roman" w:eastAsia="Times New Roman" w:hAnsi="Times New Roman"/>
          <w:sz w:val="18"/>
          <w:szCs w:val="18"/>
          <w:color w:val="FF0000"/>
          <w:strike w:val="1"/>
        </w:rPr>
        <w:t>or participations</w:t>
      </w:r>
      <w:r>
        <w:rPr>
          <w:rFonts w:ascii="Times New Roman" w:cs="Times New Roman" w:eastAsia="Times New Roman" w:hAnsi="Times New Roman"/>
          <w:sz w:val="18"/>
          <w:szCs w:val="18"/>
          <w:color w:val="000000"/>
        </w:rPr>
        <w:t xml:space="preserve"> and for no other purpose.</w:t>
      </w:r>
    </w:p>
    <w:p>
      <w:pPr>
        <w:spacing w:after="0" w:line="188" w:lineRule="exact"/>
        <w:rPr>
          <w:rFonts w:ascii="Times New Roman" w:cs="Times New Roman" w:eastAsia="Times New Roman" w:hAnsi="Times New Roman"/>
          <w:sz w:val="18"/>
          <w:szCs w:val="18"/>
          <w:color w:val="auto"/>
        </w:rPr>
      </w:pPr>
    </w:p>
    <w:p>
      <w:pPr>
        <w:jc w:val="both"/>
        <w:ind w:left="180" w:firstLine="1299"/>
        <w:spacing w:after="0" w:line="256" w:lineRule="auto"/>
        <w:tabs>
          <w:tab w:leader="none" w:pos="21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CPS and the Borrower agree to cooperate with a Lender in connection with any such assignment and/or participation (including in connection with any securitization), and to enter into such restatements of, and amendments, supplements and other modifications to, this Agreement and the other Loan Documents in order to give effect to such assignment and/or participation (including in connection with any securitization). CPS and the Borrower further agree to furnish to any Participant identified by a Lender to CPS and the Borrower copies of all reports and certificates to be delivered by CPS and the Borrower to the Lenders hereunder, as and when delivered to the Lenders.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2" w:name="page183"/>
    <w:bookmarkEnd w:id="182"/>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Termination; Survival</w:t>
      </w:r>
      <w:r>
        <w:rPr>
          <w:rFonts w:ascii="Times New Roman" w:cs="Times New Roman" w:eastAsia="Times New Roman" w:hAnsi="Times New Roman"/>
          <w:sz w:val="18"/>
          <w:szCs w:val="18"/>
          <w:color w:val="auto"/>
        </w:rPr>
        <w:t xml:space="preserve">. The obligations and responsibilities of the Lenders created hereby shall terminate on the Funding Termination Date. Notwithstanding the foregoing, all covenants, agreements, representations, warranties and indemnities made by CPS, the Servicer, the Seller, the Purchaser and/or the Borrower herein, in the other Loan Documents and/or in the Loans delivered pursuant hereto shall survive the purchase and the repayment of the Loans and the execution and delivery of this Agreement and the Loans and shall continue in full force and effect until all interest and principal on the Loans and other amounts owed hereunder and under the other Loan Documents have been paid in full and the Commitments have been terminated. In addition, the obligations of CPS, the Borrower, the Purchaser, the Seller and the Servicer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2.02(e),</w:t>
      </w:r>
      <w:r>
        <w:rPr>
          <w:rFonts w:ascii="Times New Roman" w:cs="Times New Roman" w:eastAsia="Times New Roman" w:hAnsi="Times New Roman"/>
          <w:sz w:val="18"/>
          <w:szCs w:val="18"/>
          <w:color w:val="auto"/>
        </w:rPr>
        <w:t xml:space="preserve"> 3.02,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shall survive the termination of this Agreement. The representations and warranties of the Lenders made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survive termination of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-301625</wp:posOffset>
            </wp:positionV>
            <wp:extent cx="228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74" w:lineRule="exact"/>
        <w:rPr>
          <w:sz w:val="20"/>
          <w:szCs w:val="20"/>
          <w:color w:val="auto"/>
        </w:rPr>
      </w:pPr>
    </w:p>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Payment of Costs and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120" w:hanging="641"/>
        <w:spacing w:after="0"/>
        <w:tabs>
          <w:tab w:leader="none" w:pos="21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Costs and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right="20" w:firstLine="1288"/>
        <w:spacing w:after="0" w:line="266" w:lineRule="auto"/>
        <w:tabs>
          <w:tab w:leader="none" w:pos="278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on demand the reasonable expenses of the Administrative Agent (including the reasonable out-of-pocket and legal costs and expenses of the Administrative Agent, if any) in connection with:</w:t>
      </w:r>
    </w:p>
    <w:p>
      <w:pPr>
        <w:spacing w:after="0" w:line="175" w:lineRule="exact"/>
        <w:rPr>
          <w:rFonts w:ascii="Times New Roman" w:cs="Times New Roman" w:eastAsia="Times New Roman" w:hAnsi="Times New Roman"/>
          <w:sz w:val="18"/>
          <w:szCs w:val="18"/>
          <w:color w:val="auto"/>
        </w:rPr>
      </w:pPr>
    </w:p>
    <w:p>
      <w:pPr>
        <w:jc w:val="both"/>
        <w:ind w:left="1480" w:right="20" w:firstLine="1296"/>
        <w:spacing w:after="0" w:line="255" w:lineRule="auto"/>
        <w:tabs>
          <w:tab w:leader="none" w:pos="3424"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preparation, execution, delivery and administration of this Agreement and of each other Loan Document, including schedules and exhibits, and any amendments, waivers, consents, supplements or other modifications to this Agreement or any other Loan Document as may from time to time hereafter be proposed, whether or not the transactions contemplated hereby or thereby are consummated (including filing fees, any fees and costs of Standard &amp; Poor’s issuing and monitoring a rating in respect of the Loans, and all reasonable costs and expenses associated with periodic due diligence reviews and periodic auditing);</w:t>
      </w:r>
    </w:p>
    <w:p>
      <w:pPr>
        <w:spacing w:after="0" w:line="188" w:lineRule="exact"/>
        <w:rPr>
          <w:rFonts w:ascii="Times New Roman" w:cs="Times New Roman" w:eastAsia="Times New Roman" w:hAnsi="Times New Roman"/>
          <w:sz w:val="18"/>
          <w:szCs w:val="18"/>
          <w:color w:val="auto"/>
        </w:rPr>
      </w:pPr>
    </w:p>
    <w:p>
      <w:pPr>
        <w:ind w:left="1480" w:right="20" w:firstLine="1296"/>
        <w:spacing w:after="0" w:line="282" w:lineRule="auto"/>
        <w:tabs>
          <w:tab w:leader="none" w:pos="3424"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this Agreement and the other Loan Documents, subject to a maximum of [***]; and</w:t>
      </w:r>
    </w:p>
    <w:p>
      <w:pPr>
        <w:spacing w:after="0" w:line="161" w:lineRule="exact"/>
        <w:rPr>
          <w:rFonts w:ascii="Times New Roman" w:cs="Times New Roman" w:eastAsia="Times New Roman" w:hAnsi="Times New Roman"/>
          <w:sz w:val="18"/>
          <w:szCs w:val="18"/>
          <w:color w:val="auto"/>
        </w:rPr>
      </w:pPr>
    </w:p>
    <w:p>
      <w:pPr>
        <w:jc w:val="both"/>
        <w:ind w:left="1480" w:right="20" w:firstLine="1296"/>
        <w:spacing w:after="0" w:line="266" w:lineRule="auto"/>
        <w:tabs>
          <w:tab w:leader="none" w:pos="3424"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fees and out-of-pocket expenses incurred by the Conduit Lenders in connection with the review by each rating agency then rating the commercial paper notes of such Conduit Lenders solely with respect to the Loan Documents.</w:t>
      </w:r>
    </w:p>
    <w:p>
      <w:pPr>
        <w:spacing w:after="0" w:line="175" w:lineRule="exact"/>
        <w:rPr>
          <w:rFonts w:ascii="Times New Roman" w:cs="Times New Roman" w:eastAsia="Times New Roman" w:hAnsi="Times New Roman"/>
          <w:sz w:val="18"/>
          <w:szCs w:val="18"/>
          <w:color w:val="auto"/>
        </w:rPr>
      </w:pPr>
    </w:p>
    <w:p>
      <w:pPr>
        <w:jc w:val="both"/>
        <w:ind w:left="840" w:right="20" w:firstLine="1288"/>
        <w:spacing w:after="0" w:line="253" w:lineRule="auto"/>
        <w:tabs>
          <w:tab w:leader="none" w:pos="278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CPS further jointly and severally agree to (A) pay upon demand all reasonable costs and out-of-pocket expenses incurred by the Administrative Agent, the Collateral Agent and the Lenders as a consequence of, or in connection with, the enforcement of this Agreement or any of the other Loan Documents and any stamp, documentary or other taxes which may be payable by such Person in connection with the execution or delivery of this Agreement, any Loan hereunder, or the issuance of the Loans or any other Loan Documents; and (B) indemnify and hold and save the Administrative Agent, the Collateral Agent, the Lenders and their Affiliates harmless from all liability for any breach by the Borrower of its obligations under this Agreement. The Borrower and Servicer also further jointly and severally agree to reimburse the Lenders upon demand for all reasonable out-of-pocket and legal expenses incurred by the Lenders in connection with (i) the satisfaction of the Rating Requirement after the Restatement Closing Date and (ii) the negotiation of any restructuring or “work-out,” whether or not consummated, of the Loan Documents.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3" w:name="page184"/>
    <w:bookmarkEnd w:id="183"/>
    <w:p>
      <w:pPr>
        <w:jc w:val="both"/>
        <w:ind w:left="180" w:right="20" w:firstLine="1300"/>
        <w:spacing w:after="0" w:line="253" w:lineRule="auto"/>
        <w:tabs>
          <w:tab w:leader="none" w:pos="212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consideration of each Lender’s execution and delivery of this Agreement, CPS, the Borrower, the Purchaser, the Seller and the Servicer (so long as CPS is the Servicer), jointly and severally, hereby agree to indemnify and hold the Administrative Agent, the Collateral Agent, each Lender, their Affiliates and the officers, directors, employees and agents of each of them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harmless from and against any and all actions, causes of action, suits, losses, costs, liabilities and damages, and reasonable expenses incurred in connection therewith, as incurred (irrespective of whether any such Indemnified Party is a party to the action for which indemnification hereunder is sought and including, without limitation, any liability in connection with the offering and sale of the Loans), including reasonable attorneys’ fees and disbursements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the Indemnified Parties or any of them (whether in prosecuting or defending against such actions, suits or claims) as a result of, or arising out of, or relating to:</w:t>
      </w:r>
    </w:p>
    <w:p>
      <w:pPr>
        <w:spacing w:after="0" w:line="194" w:lineRule="exact"/>
        <w:rPr>
          <w:rFonts w:ascii="Times New Roman" w:cs="Times New Roman" w:eastAsia="Times New Roman" w:hAnsi="Times New Roman"/>
          <w:sz w:val="18"/>
          <w:szCs w:val="18"/>
          <w:color w:val="auto"/>
        </w:rPr>
      </w:pPr>
    </w:p>
    <w:p>
      <w:pPr>
        <w:jc w:val="both"/>
        <w:ind w:left="840" w:right="20" w:firstLine="1288"/>
        <w:spacing w:after="0" w:line="258" w:lineRule="auto"/>
        <w:tabs>
          <w:tab w:leader="none" w:pos="278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financed or to be financed in whole or in part (including, without limitation, any Receivable constituting part of the Collateral), directly or indirectly, with the proceeds of any Loan including, without limitation, any claim, suit or action related to such transaction, which claim is based on a violation of Consumer Laws or any applicable vicarious liability statutes, or the use or operation of any Financed Vehicle by any Person; or</w:t>
      </w:r>
    </w:p>
    <w:p>
      <w:pPr>
        <w:spacing w:after="0" w:line="183" w:lineRule="exact"/>
        <w:rPr>
          <w:rFonts w:ascii="Times New Roman" w:cs="Times New Roman" w:eastAsia="Times New Roman" w:hAnsi="Times New Roman"/>
          <w:sz w:val="18"/>
          <w:szCs w:val="18"/>
          <w:color w:val="auto"/>
        </w:rPr>
      </w:pPr>
    </w:p>
    <w:p>
      <w:pPr>
        <w:jc w:val="both"/>
        <w:ind w:left="840" w:right="20" w:firstLine="1288"/>
        <w:spacing w:after="0" w:line="252" w:lineRule="auto"/>
        <w:tabs>
          <w:tab w:leader="none" w:pos="278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or any other Loan Document, or the entering into and performance of this Agreement or any other Loan Document by any of the Indemnified Parties, except for any such Indemnified Liabilities arising for the account of a particular Indemnified Party by reason of the relevant Indemnified Party’s gross negligence, bad faith or willful misconduct and, with respect to CPS (in its individual capacity or as Seller or Servicer), excluding any Indemnified Liabilities that would constitute recourse to CPS for loss by reason of the bankruptcy, insolvency (or other credit condition) of, or credit-related default by the related Obligor on any Receivable and not arising from defaults by the related Obligor arising from a claim by the related Obligor that any part of the debt evidenced by the Receivables is not due as a result of wrongful action by any Person, such as a breach of Consumer Laws. If and to the extent that the foregoing undertaking may be unenforceable for any reason, CPS, the Borrower, the Purchaser, the Seller and the Servicer hereby jointly and severally agree to make the maximum contribution to the payment and satisfaction of each of the Indemnified Liabilities which is permissible under applicable law. The indemnity set forth in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in no event include indemnification for any Taxes (which indemnification is provided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Upon the written request of an Indemnified Party pursuant to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CPS, the Borrower, the Purchaser, the Seller and the Servicer shall promptly reimburse such an Indemnified Party for the amount of any such Indemnified Liabilities incurred by such an Indemnified Party.</w:t>
      </w:r>
    </w:p>
    <w:p>
      <w:pPr>
        <w:spacing w:after="0" w:line="195"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Characterization as Loan Document; Entire Agreement</w:t>
      </w:r>
      <w:r>
        <w:rPr>
          <w:rFonts w:ascii="Times New Roman" w:cs="Times New Roman" w:eastAsia="Times New Roman" w:hAnsi="Times New Roman"/>
          <w:sz w:val="18"/>
          <w:szCs w:val="18"/>
          <w:color w:val="auto"/>
        </w:rPr>
        <w:t xml:space="preserve">. This Agreement shall be deemed to be a Loan Document for all purposes of the Security Agreement and the other Loan Documents. This Agreement, together with the Security Agreement, the Sale and Servicing Agreement, the documents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the other Loan Documents, including the exhibits, schedules and other attachments thereto, contains a final and complete integration of all prior expressions by the parties hereto with respect to the subject matter hereof and shall constitute the entire agreement among the parties hereto with respect to the subject matter hereof, superseding all previous oral statements and other writings with respect thereto.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4" w:name="page185"/>
    <w:bookmarkEnd w:id="184"/>
    <w:p>
      <w:pPr>
        <w:ind w:left="84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9.07</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299"/>
        <w:spacing w:after="0" w:line="253" w:lineRule="auto"/>
        <w:tabs>
          <w:tab w:leader="none" w:pos="21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All notices, amendments, waivers, consents and other communications provided to any party hereto under this Agreement shall be in writing and addressed, delivered or transmitted to such party at its address set forth below its signature hereto or at such other address as may be designated by such party in a notice to the other parties and, in the case of any such notice, waiver, amendment, consent or other communication sent to the Lenders, with a copy thereof to (1) Citibank, N.A., 1 Penns Way, Ops 2 Floor 2, New Castle, Delaware 19720, Attention: Global Loans – Conduit Operations, Email: conduitoperations@citi.com, (2) solely with respect to </w:t>
      </w:r>
      <w:r>
        <w:rPr>
          <w:rFonts w:ascii="Times New Roman" w:cs="Times New Roman" w:eastAsia="Times New Roman" w:hAnsi="Times New Roman"/>
          <w:sz w:val="18"/>
          <w:szCs w:val="18"/>
          <w:u w:val="single" w:color="auto"/>
          <w:color w:val="0000FF"/>
        </w:rPr>
        <w:t>exemption</w:t>
      </w:r>
      <w:r>
        <w:rPr>
          <w:rFonts w:ascii="Times New Roman" w:cs="Times New Roman" w:eastAsia="Times New Roman" w:hAnsi="Times New Roman"/>
          <w:sz w:val="18"/>
          <w:szCs w:val="18"/>
          <w:color w:val="auto"/>
        </w:rPr>
        <w:t xml:space="preserve"> notices other than monthly reports, borrowing notices, paydown notices, financial reports and audit reports, the Administrative Agent at</w:t>
      </w:r>
    </w:p>
    <w:p>
      <w:pPr>
        <w:ind w:left="180"/>
        <w:spacing w:after="0" w:line="187" w:lineRule="auto"/>
        <w:rPr>
          <w:sz w:val="20"/>
          <w:szCs w:val="20"/>
          <w:color w:val="auto"/>
        </w:rPr>
      </w:pPr>
      <w:r>
        <w:rPr>
          <w:rFonts w:ascii="Times New Roman" w:cs="Times New Roman" w:eastAsia="Times New Roman" w:hAnsi="Times New Roman"/>
          <w:sz w:val="18"/>
          <w:szCs w:val="18"/>
          <w:color w:val="auto"/>
        </w:rPr>
        <w:t>Citibank, N.A., 388 Greenwich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Trading, New York, NY 10013, Attn: Citi – Global ABS Financing &amp;</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Securitization, Spread Products, Email: CitiABSLendingNotices@citi.com (3) solely with respect to borrowing notices, the</w:t>
      </w:r>
    </w:p>
    <w:p>
      <w:pPr>
        <w:ind w:left="180"/>
        <w:spacing w:after="0" w:line="191" w:lineRule="auto"/>
        <w:rPr>
          <w:sz w:val="20"/>
          <w:szCs w:val="20"/>
          <w:color w:val="auto"/>
        </w:rPr>
      </w:pPr>
      <w:r>
        <w:rPr>
          <w:rFonts w:ascii="Times New Roman" w:cs="Times New Roman" w:eastAsia="Times New Roman" w:hAnsi="Times New Roman"/>
          <w:sz w:val="18"/>
          <w:szCs w:val="18"/>
          <w:color w:val="auto"/>
        </w:rPr>
        <w:t>Administrative Agent at Citibank, N.A., 388 Greenwich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Trading, New York, NY 10013, Attn: Citi –Global</w:t>
      </w:r>
    </w:p>
    <w:p>
      <w:pPr>
        <w:ind w:left="180"/>
        <w:spacing w:after="0"/>
        <w:tabs>
          <w:tab w:leader="none" w:pos="760" w:val="left"/>
          <w:tab w:leader="none" w:pos="1720" w:val="left"/>
          <w:tab w:leader="none" w:pos="2120" w:val="left"/>
          <w:tab w:leader="none" w:pos="3400" w:val="left"/>
          <w:tab w:leader="none" w:pos="4500" w:val="left"/>
          <w:tab w:leader="none" w:pos="5680" w:val="left"/>
          <w:tab w:leader="none" w:pos="6380" w:val="left"/>
          <w:tab w:leader="none" w:pos="7100" w:val="left"/>
          <w:tab w:leader="none" w:pos="8860" w:val="left"/>
        </w:tabs>
        <w:rPr>
          <w:sz w:val="20"/>
          <w:szCs w:val="20"/>
          <w:color w:val="auto"/>
        </w:rPr>
      </w:pPr>
      <w:r>
        <w:rPr>
          <w:rFonts w:ascii="Times New Roman" w:cs="Times New Roman" w:eastAsia="Times New Roman" w:hAnsi="Times New Roman"/>
          <w:sz w:val="18"/>
          <w:szCs w:val="18"/>
          <w:color w:val="auto"/>
        </w:rPr>
        <w:t>ABS</w:t>
        <w:tab/>
        <w:t>Financing</w:t>
        <w:tab/>
        <w:t>&amp;</w:t>
        <w:tab/>
        <w:t>Securitization,</w:t>
        <w:tab/>
        <w:t>Transaction</w:t>
        <w:tab/>
        <w:t>Management</w:t>
        <w:tab/>
        <w:t>Team,</w:t>
        <w:tab/>
        <w:t>Email:</w:t>
        <w:tab/>
        <w:t>gsp.abs.tm@citi.com</w:t>
        <w:tab/>
        <w:t>and</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strike w:val="1"/>
        </w:rPr>
        <w:t>conduitoperations@citi.com (4) solely with respect to monthly reports, the Administrative Agent at Citibank, N.A., 388</w:t>
      </w:r>
    </w:p>
    <w:p>
      <w:pPr>
        <w:ind w:left="180"/>
        <w:spacing w:after="0" w:line="192" w:lineRule="auto"/>
        <w:rPr>
          <w:sz w:val="20"/>
          <w:szCs w:val="20"/>
          <w:color w:val="auto"/>
        </w:rPr>
      </w:pPr>
      <w:r>
        <w:rPr>
          <w:rFonts w:ascii="Times New Roman" w:cs="Times New Roman" w:eastAsia="Times New Roman" w:hAnsi="Times New Roman"/>
          <w:sz w:val="18"/>
          <w:szCs w:val="18"/>
          <w:u w:val="single" w:color="auto"/>
          <w:color w:val="0000FF"/>
        </w:rPr>
        <w:t>Greenwich Street, 6</w:t>
      </w:r>
      <w:r>
        <w:rPr>
          <w:rFonts w:ascii="Times New Roman" w:cs="Times New Roman" w:eastAsia="Times New Roman" w:hAnsi="Times New Roman"/>
          <w:sz w:val="29"/>
          <w:szCs w:val="29"/>
          <w:u w:val="single" w:color="auto"/>
          <w:color w:val="0000FF"/>
          <w:vertAlign w:val="superscript"/>
        </w:rPr>
        <w:t>th</w:t>
      </w:r>
      <w:r>
        <w:rPr>
          <w:rFonts w:ascii="Times New Roman" w:cs="Times New Roman" w:eastAsia="Times New Roman" w:hAnsi="Times New Roman"/>
          <w:sz w:val="18"/>
          <w:szCs w:val="18"/>
          <w:color w:val="0000FF"/>
        </w:rPr>
        <w:t xml:space="preserve">  Floor Trading, New York, NY 10013, Attn: Citi –Global ABS Financing &amp; Securitization,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-26035</wp:posOffset>
            </wp:positionV>
            <wp:extent cx="46374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-8890</wp:posOffset>
            </wp:positionV>
            <wp:extent cx="46374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jc w:val="both"/>
        <w:ind w:left="180"/>
        <w:spacing w:after="0" w:line="252" w:lineRule="auto"/>
        <w:rPr>
          <w:sz w:val="20"/>
          <w:szCs w:val="20"/>
          <w:color w:val="auto"/>
        </w:rPr>
      </w:pPr>
      <w:r>
        <w:rPr>
          <w:rFonts w:ascii="Times New Roman" w:cs="Times New Roman" w:eastAsia="Times New Roman" w:hAnsi="Times New Roman"/>
          <w:sz w:val="18"/>
          <w:szCs w:val="18"/>
          <w:u w:val="single" w:color="auto"/>
          <w:color w:val="0000FF"/>
        </w:rPr>
        <w:t>Transaction Management Team, Email: abs.servicerreports@citi.com and (5) with respect to each Class B Lender, the notice information provided in the signature pages to this Agreement for each such Class B Lender. Any notice, if mailed and properly addressed with postage prepaid or if properly addressed and sent by pre-paid courier service, shall be deemed given when received. Notices delivered through electronic communications, to the extent provided in paragraph (b) below, shall be effective as provided in said paragraph (b).</w:t>
      </w:r>
    </w:p>
    <w:p>
      <w:pPr>
        <w:spacing w:after="0" w:line="189" w:lineRule="exact"/>
        <w:rPr>
          <w:sz w:val="20"/>
          <w:szCs w:val="20"/>
          <w:color w:val="auto"/>
        </w:rPr>
      </w:pPr>
    </w:p>
    <w:p>
      <w:pPr>
        <w:jc w:val="both"/>
        <w:ind w:left="180"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Notices required to be given to Standard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&amp;</w:t>
      </w:r>
      <w:r>
        <w:rPr>
          <w:rFonts w:ascii="Times New Roman" w:cs="Times New Roman" w:eastAsia="Times New Roman" w:hAnsi="Times New Roman"/>
          <w:sz w:val="18"/>
          <w:szCs w:val="18"/>
          <w:color w:val="auto"/>
        </w:rPr>
        <w:t xml:space="preserve"> Poor’s by the Borrower, the Servicer or the Administrative Agent shall be in writing, personally delivered, electronically delivered, delivered by overnight courier or mailed certified mail, return receipt requested to Standard &amp; Poor’s via electronic delivery to Servicer_reports@sandp.com; for any information not available in electronic format, send hard copies to: Standard &amp; Poor’s Ratings Services, 55 Water Street, 41st Floor, New York, New York 10041-0003, Attention: ABS Surveillance Group; or as to each of the foregoing, at such other address as shall be designated by written notice to the other parties</w:t>
      </w:r>
    </w:p>
    <w:p>
      <w:pPr>
        <w:spacing w:after="0" w:line="187" w:lineRule="exact"/>
        <w:rPr>
          <w:sz w:val="20"/>
          <w:szCs w:val="20"/>
          <w:color w:val="auto"/>
        </w:rPr>
      </w:pPr>
    </w:p>
    <w:p>
      <w:pPr>
        <w:jc w:val="both"/>
        <w:ind w:left="180" w:right="20" w:firstLine="1299"/>
        <w:spacing w:after="0" w:line="254" w:lineRule="auto"/>
        <w:tabs>
          <w:tab w:leader="none" w:pos="21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(provided, that with respect to notices required to be delivered by the Borrower to the Lenders, such procedures shall have been disclosed to the Borrower by the Administrative Agent), provided that the foregoing shall not apply to notices to any Lender or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and the Borrower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8"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therefore; provided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5" w:name="page186"/>
    <w:bookmarkEnd w:id="185"/>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use of electronic communications to deliver notices shall not preclude the use of </w:t>
      </w:r>
      <w:r>
        <w:rPr>
          <w:rFonts w:ascii="Times New Roman" w:cs="Times New Roman" w:eastAsia="Times New Roman" w:hAnsi="Times New Roman"/>
          <w:sz w:val="18"/>
          <w:szCs w:val="18"/>
          <w:color w:val="FF0000"/>
          <w:strike w:val="1"/>
        </w:rPr>
        <w:t>facsimile,</w:t>
      </w:r>
      <w:r>
        <w:rPr>
          <w:rFonts w:ascii="Times New Roman" w:cs="Times New Roman" w:eastAsia="Times New Roman" w:hAnsi="Times New Roman"/>
          <w:sz w:val="18"/>
          <w:szCs w:val="18"/>
          <w:color w:val="auto"/>
        </w:rPr>
        <w:t xml:space="preserve"> mail or pre-paid courier service as described in </w:t>
      </w: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Any covenant, provision, agreement or term of this Agreement that is prohibited or is held to be void or unenforceable in any jurisdiction shall, as to that jurisdiction, be ineffective to the extent of the prohibition or unenforceability without invalidating the remaining provisions of this Agreement.</w:t>
      </w:r>
    </w:p>
    <w:p>
      <w:pPr>
        <w:spacing w:after="0" w:line="176" w:lineRule="exact"/>
        <w:rPr>
          <w:sz w:val="20"/>
          <w:szCs w:val="20"/>
          <w:color w:val="auto"/>
        </w:rPr>
      </w:pPr>
    </w:p>
    <w:p>
      <w:pPr>
        <w:jc w:val="both"/>
        <w:ind w:left="180"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Tax Characterization</w:t>
      </w:r>
      <w:r>
        <w:rPr>
          <w:rFonts w:ascii="Times New Roman" w:cs="Times New Roman" w:eastAsia="Times New Roman" w:hAnsi="Times New Roman"/>
          <w:sz w:val="18"/>
          <w:szCs w:val="18"/>
          <w:color w:val="auto"/>
        </w:rPr>
        <w:t>. Each party to this Agreement (a) acknowledges that it is the intent of the parties to this Agreement that, for accounting purposes and for all Federal, state and local income and franchise tax purposes, the Loans will be treated as evidence of indebtedness issued by the Borrower, (b) agrees to treat the Loans for all such purposes as indebtedness and (c) agrees that the provisions of the Loan Documents shall be construed to further these intentions.</w:t>
      </w:r>
    </w:p>
    <w:p>
      <w:pPr>
        <w:spacing w:after="0" w:line="183" w:lineRule="exact"/>
        <w:rPr>
          <w:sz w:val="20"/>
          <w:szCs w:val="20"/>
          <w:color w:val="auto"/>
        </w:rPr>
      </w:pPr>
    </w:p>
    <w:p>
      <w:pPr>
        <w:jc w:val="both"/>
        <w:ind w:left="180"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Full Recourse to Borrower</w:t>
      </w:r>
      <w:r>
        <w:rPr>
          <w:rFonts w:ascii="Times New Roman" w:cs="Times New Roman" w:eastAsia="Times New Roman" w:hAnsi="Times New Roman"/>
          <w:sz w:val="18"/>
          <w:szCs w:val="18"/>
          <w:color w:val="auto"/>
        </w:rPr>
        <w:t xml:space="preserve">. The obligations of the Borrower under this Agreement and the other Loan Documents shall be full recourse obligations of the Borrower. Notwithstanding the foregoing, no recourse shall be had for the payment of any amount owing in respect of this Agreement, including the payment of any fee hereunder or any other obligation or claim arising out of or based upon this Agreement, against any certificateholder, member, employee, officer, manager, director, affiliate or trustee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shall relieve any of the foregoing Persons from any liability that any such Person may otherwise have as expressly set forth in any Loan Document or for its gross negligence, bad faith or willful misconduct. Nothing contained in this Section shall limit or be deemed to limit any obligations of CPS, the Borrower, the Purchaser, the Seller or the Servicer hereunder or under any other Loan Document, which obligations are full recourse obligations of CPS, the Borrower, the Purchaser, the Seller and the Servicer, respectively.</w:t>
      </w:r>
    </w:p>
    <w:p>
      <w:pPr>
        <w:spacing w:after="0" w:line="194"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ITS CONFLICT OF LAW PROVISIONS (OTHER THAN SECTION 5-1401 OF THE GENERAL OBLIGATIONS LAW), AND THE OBLIGATIONS, RIGHTS AND REMEDIES OF THE PARTIES HEREUNDER SHALL BE DETERMINED IN ACCORDANCE WITH SUCH LAWS.</w:t>
      </w:r>
    </w:p>
    <w:p>
      <w:pPr>
        <w:spacing w:after="0" w:line="183" w:lineRule="exact"/>
        <w:rPr>
          <w:sz w:val="20"/>
          <w:szCs w:val="20"/>
          <w:color w:val="auto"/>
        </w:rPr>
      </w:pPr>
    </w:p>
    <w:p>
      <w:pPr>
        <w:jc w:val="both"/>
        <w:ind w:left="180"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EXCLUSIVE JURISDICTION OF THOSE COURTS. EACH OF THE PARTIES HERETO IRREVOCABLY WAIVES ANY OBJECTION, INCLUDING ANY OBJECTION TO THE LAYING OF VENUE OR BASED ON THE GROUNDS OF FORUM NON CONVENIENS, OR ANY LEGAL PROCESS WITH RESPECT TO ITSELF OR ANY OF ITS PROPERTY, WHICH IT MAY NOW OR HEREAFTER HAVE TO THE BRINGING OF ANY ACTION OR PROCEEDING IN SUCH JURISDICTION IN RESPECT OF THIS AGREEMENT OR ANY DOCUMENT RELATED HERETO. EACH OF THE PARTIES HERETO WAIVES PERSONAL SERVICE OF ANY SUMMONS, COMPLAINT OR OTHER PROCESS, WHICH MAY BE MADE BY ANY OTHER MEANS PERMITTED BY NEW YORK LAW.</w:t>
      </w:r>
    </w:p>
    <w:p>
      <w:pPr>
        <w:spacing w:after="0" w:line="18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HERETO EACH WAIVE THEIR RESPECTIVE RIGHTS TO A TRIAL BY JURY OF ANY CLAIM OR CAUSE OF ACTION BASED UPON OR ARISING OUT OF OR RELATED TO THIS AGREEMENT OR THE TRANSACTIONS CONTEMPLATED HEREBY, IN ANY ACTION, PROCEEDING OR OTHER LITIGATION OF ANY TYPE BROUGHT BY ANY PARTY AGAINST THE OTHER PARTY, WHETHER WITH RESPECT TO CONTRACT CLAIMS, TORT CLAIMS OR OTHERWISE. THE PARTIES HERETO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AMENDMENTS, RENEWALS, SUPPLEMENTS OR MODIFICATIONS TO THIS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6" w:name="page187"/>
    <w:bookmarkEnd w:id="186"/>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signed in any number of counterparts, each of which shall be an original, with the same effect as if the signature thereto and hereto were on the same instrument. This Agreement shall become effective upon the Administrative Agent’s receipt of one or more counterparts hereof signed by Borrower, Servicer and each Lender. This Agreement and each of the other Loan Documents may be executed and delivered by facsimile, portable document format (.pdf), or other Electronic Transmission (as defined below) all with the same force and effect as if the same was a fully executed and delivered original manual counterpart. Delivery of an executed electronic signature page of this Agreement and each of the other Loan Documents by facsimile, portable document format (.pdf), or Electronic Transmission shall be as effective as delivery of a manually executed counterpart hereof and each party to this Agreement and each of the other Loan Documents agrees that it will be bound by its own signature and that it accepts the facsimile, portable document format (.pdf), or other electronic signature of each other party to this Agreement and each of the other Loan Documents. For the avoidance of doubt, the authorization under this paragraph may include, without limitation, use or acceptance by the Administrative Agent of a manually signed paper Agreement or any Loan Document which has been converted into electronic form (such as scanned portable format (.pdf)), or an electronically signed Agreement or any Loan Document converted into another format, for transmission, delivery and/or retention. The Administrative Agent may, at its option, create one or more copies of such Agreement in an electronic form, which shall be deemed created in the ordinary course of the Administrative Agent’s business, and destroy the original paper document. The Administrative Agent may also require that any such documents and signatures be confirmed by a manually signed original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request or deliver the same shall not limit the effectiveness of any facsimile, portable document format (.pdf), or other Electronic Transmission document or signature. The words “execution,” “executed,” “signed,” “signature,” and words of like import in this paragraph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Laws, including the Federal Electronic Signatures in Global and National Commerce Act, the New York State Electronic Signatures and Records Act, or any other similar state laws based on the Uniform Electronic Transactions Act.</w:t>
      </w:r>
    </w:p>
    <w:p>
      <w:pPr>
        <w:spacing w:after="0" w:line="205" w:lineRule="exact"/>
        <w:rPr>
          <w:sz w:val="20"/>
          <w:szCs w:val="20"/>
          <w:color w:val="auto"/>
        </w:rPr>
      </w:pPr>
    </w:p>
    <w:p>
      <w:pPr>
        <w:jc w:val="both"/>
        <w:ind w:left="180"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The obligations of CPS, the Borrower, the Purchaser, the Seller and the Servicer hereunder are absolute and unconditional and each of CPS, the Borrower, the Purchaser, the Seller and the Servicer expressly waives any and all rights of set-off, abatement, diminution or deduction that CPS, the Borrower, the Purchaser, the Seller or the Servicer may otherwise at any time have under applicable law.</w:t>
      </w:r>
    </w:p>
    <w:p>
      <w:pPr>
        <w:spacing w:after="0" w:line="180" w:lineRule="exact"/>
        <w:rPr>
          <w:sz w:val="20"/>
          <w:szCs w:val="20"/>
          <w:color w:val="auto"/>
        </w:rPr>
      </w:pPr>
    </w:p>
    <w:p>
      <w:pPr>
        <w:ind w:left="180" w:right="20" w:firstLine="1299"/>
        <w:spacing w:after="0" w:line="282" w:lineRule="auto"/>
        <w:tabs>
          <w:tab w:leader="none" w:pos="21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now or hereafter granted under applicable law and not by way of limitation of such rights, during the continuance of any Event of Default:</w:t>
      </w:r>
    </w:p>
    <w:p>
      <w:pPr>
        <w:spacing w:after="0" w:line="161" w:lineRule="exact"/>
        <w:rPr>
          <w:rFonts w:ascii="Times New Roman" w:cs="Times New Roman" w:eastAsia="Times New Roman" w:hAnsi="Times New Roman"/>
          <w:sz w:val="18"/>
          <w:szCs w:val="18"/>
          <w:color w:val="auto"/>
        </w:rPr>
      </w:pPr>
    </w:p>
    <w:p>
      <w:pPr>
        <w:jc w:val="both"/>
        <w:ind w:left="840" w:right="20" w:firstLine="1287"/>
        <w:spacing w:after="0" w:line="255" w:lineRule="auto"/>
        <w:tabs>
          <w:tab w:leader="none" w:pos="278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is hereby authorized at any time and from time to time, without notice to the Purchaser or the Borrower, such notice being hereby expressly waived, to set-off any obligation owing by such Lender or any of its Affiliates to the Purchaser or the Borrower, or against any funds or other property of the Purchaser or the Borrower, held by or otherwise in the possession of such Lender or any of its Affiliates, the respective obligations of the Purchaser and the Borrower to such Lender under this Agreement and the other Loan Documents and irrespective of whether or not such Lender shall have made any demand hereunder or thereunder; and</w:t>
      </w:r>
    </w:p>
    <w:p>
      <w:pPr>
        <w:spacing w:after="0" w:line="188" w:lineRule="exact"/>
        <w:rPr>
          <w:rFonts w:ascii="Times New Roman" w:cs="Times New Roman" w:eastAsia="Times New Roman" w:hAnsi="Times New Roman"/>
          <w:sz w:val="18"/>
          <w:szCs w:val="18"/>
          <w:color w:val="auto"/>
        </w:rPr>
      </w:pPr>
    </w:p>
    <w:p>
      <w:pPr>
        <w:jc w:val="both"/>
        <w:ind w:left="840" w:firstLine="1287"/>
        <w:spacing w:after="0" w:line="256" w:lineRule="auto"/>
        <w:tabs>
          <w:tab w:leader="none" w:pos="278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is hereby authorized at any time and from time to time, without notice to CPS, the Seller or the Servicer, such notice being hereby expressly waived, to set-off any obligation owing by such Lender or any of its Affiliates to CPS, the Seller or the Servicer, or against any funds or other property of CPS, the Seller or the Servicer held by or otherwise in the possession of such Lender or any of its Affiliates, the respective obligations of CPS, the Seller and the Servicer to such Lender under this Agreement and the other Loan Documents and irrespective of whether or not such Lender shall have made any demand hereunder or thereunder.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7" w:name="page188"/>
    <w:bookmarkEnd w:id="187"/>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Nonpetition Covenants</w:t>
      </w:r>
      <w:r>
        <w:rPr>
          <w:rFonts w:ascii="Times New Roman" w:cs="Times New Roman" w:eastAsia="Times New Roman" w:hAnsi="Times New Roman"/>
          <w:sz w:val="18"/>
          <w:szCs w:val="18"/>
          <w:color w:val="auto"/>
        </w:rPr>
        <w:t>. Notwithstanding any prior termination of this Agreement, CPS, the Servicer and the Seller shall not, prior to the date that is one year and one day after the day upon which the outstanding principal amount of each Loan has been reduced to zero and all Secured Obligations and any and all other amounts due and owing to the Lenders pursuant to the Loan Documents have been paid in full, acquiesce, petition or otherwise invoke or cause the Purchaser or the Borrower to invoke the process of any court or government authority for the purpose of commencing or sustaining a case against the Purchaser or the Borrower under any federal or state bankruptcy, insolvency or similar law or appointing a receiver, liquidator, assignee, trustee, custodian, sequestrator or other similar official of the Purchaser of the Borrower or any substantial part of its property, or ordering the winding up or liquidation of the affairs of the Purchaser or the Borrower.</w:t>
      </w:r>
    </w:p>
    <w:p>
      <w:pPr>
        <w:spacing w:after="0" w:line="188" w:lineRule="exact"/>
        <w:rPr>
          <w:sz w:val="20"/>
          <w:szCs w:val="20"/>
          <w:color w:val="auto"/>
        </w:rPr>
      </w:pPr>
    </w:p>
    <w:p>
      <w:pPr>
        <w:jc w:val="both"/>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Servicer References</w:t>
      </w:r>
      <w:r>
        <w:rPr>
          <w:rFonts w:ascii="Times New Roman" w:cs="Times New Roman" w:eastAsia="Times New Roman" w:hAnsi="Times New Roman"/>
          <w:sz w:val="18"/>
          <w:szCs w:val="18"/>
          <w:color w:val="auto"/>
        </w:rPr>
        <w:t>. All references to the Servicer herein shall apply to CPS, in its capacity as the initial Servicer, and not to a successor Servicer.</w:t>
      </w:r>
    </w:p>
    <w:p>
      <w:pPr>
        <w:spacing w:after="0" w:line="162"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Confidentiality; Press Releases</w:t>
      </w:r>
      <w:r>
        <w:rPr>
          <w:rFonts w:ascii="Times New Roman" w:cs="Times New Roman" w:eastAsia="Times New Roman" w:hAnsi="Times New Roman"/>
          <w:sz w:val="18"/>
          <w:szCs w:val="18"/>
          <w:color w:val="auto"/>
        </w:rPr>
        <w:t>. Unless required by law or regulation to do so or otherwise expressly permitted by the Loan Documents, no Lender, on the one hand, nor any of CPS, the Seller, the Servicer, the Purchaser or the Borrower on the other hand, shall publish or otherwise disclose any information relating to the material terms of the Class A Commitment or the Class B Commitment, any of the Loan Documents or the transactions contemplated hereby or thereby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to any Person (other than its own advisors, any monoline insurance company that has insured a security in any securitization sponsored by CPS or any of its Affiliates or Subsidiaries and any institutional creditors or potential institutional creditors of CPS and its Affiliate and Subsidiaries to the extent reasonably necessary) without the prior written consent of the other; provided that nothing herein shall be construed to prohibit any party from issuing a press release announcing the consummation of the transactions contemplated by the Loan Documents. No party shall publish any press release naming the other party without the prior written consent of the other (which consent shall not be unreasonably withheld). For avoidance of doubt, it is agreed that to the extent Seller determines that it is required by law (i) to report its entry into this Agreement and the other Loan Documents in a current report on Form 8-K of the Securities and Exchange Commission, which report must file as exhibits at least this Agreement, the Sale and Servicing Agreement, and the Security Agreement, (ii) to make reference to such agreements and the Commitments in its periodic reports to be filed respecting time periods that include all or part of the Term, or (iii) to otherwise make any filing or report with any Governmental Authority, it shall do so. Notwithstanding the foregoing, the Administrative Agent, the Lenders and any Participant may disclose the Confidential Information (i) to any of their respective Affiliates and to their and their respective Affiliates' officers, directors, managers, administrators, trustees, employees, agents, accountants, legal counsel and other representatives (collectively, the “</w:t>
      </w:r>
      <w:r>
        <w:rPr>
          <w:rFonts w:ascii="Times New Roman" w:cs="Times New Roman" w:eastAsia="Times New Roman" w:hAnsi="Times New Roman"/>
          <w:sz w:val="18"/>
          <w:szCs w:val="18"/>
          <w:u w:val="single" w:color="auto"/>
          <w:color w:val="auto"/>
        </w:rPr>
        <w:t>Lender Representatives</w:t>
      </w:r>
      <w:r>
        <w:rPr>
          <w:rFonts w:ascii="Times New Roman" w:cs="Times New Roman" w:eastAsia="Times New Roman" w:hAnsi="Times New Roman"/>
          <w:sz w:val="18"/>
          <w:szCs w:val="18"/>
          <w:color w:val="auto"/>
        </w:rPr>
        <w:t xml:space="preserve">”) (it being understood that the Persons to whom such disclosure is made will be informed of the confidential nature of such information and instructed to keep such information confidential), (ii) to the extent required by applicable law, regulation, subpoena or other legal process, (iii) to the extent requested by any governmental or regulatory authority purporting to have jurisdiction over such party (including any self-regulatory authority), (iv) to Standard &amp; </w:t>
      </w:r>
      <w:r>
        <w:rPr>
          <w:rFonts w:ascii="Times New Roman" w:cs="Times New Roman" w:eastAsia="Times New Roman" w:hAnsi="Times New Roman"/>
          <w:sz w:val="18"/>
          <w:szCs w:val="18"/>
          <w:color w:val="FF0000"/>
          <w:strike w:val="1"/>
        </w:rPr>
        <w:t>Poor's, Moody's</w:t>
      </w:r>
      <w:r>
        <w:rPr>
          <w:rFonts w:ascii="Times New Roman" w:cs="Times New Roman" w:eastAsia="Times New Roman" w:hAnsi="Times New Roman"/>
          <w:sz w:val="18"/>
          <w:szCs w:val="18"/>
          <w:u w:val="single" w:color="auto"/>
          <w:color w:val="0000FF"/>
        </w:rPr>
        <w:t>Poor’s, Moody’s</w:t>
      </w:r>
      <w:r>
        <w:rPr>
          <w:rFonts w:ascii="Times New Roman" w:cs="Times New Roman" w:eastAsia="Times New Roman" w:hAnsi="Times New Roman"/>
          <w:sz w:val="18"/>
          <w:szCs w:val="18"/>
          <w:color w:val="auto"/>
        </w:rPr>
        <w:t xml:space="preserve">, Fitch or any other nationally recognized statistical rating organization, (v) to any other party hereto, (vi) in connection with the exercise of any remedies hereunder or under any other or the Loan Documents or any action or proceeding relating to this Agreement or any other Loan Document or the enforcement of rights hereunder or thereunder, (vii)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9.03(e)</w:t>
      </w:r>
      <w:r>
        <w:rPr>
          <w:rFonts w:ascii="Times New Roman" w:cs="Times New Roman" w:eastAsia="Times New Roman" w:hAnsi="Times New Roman"/>
          <w:sz w:val="18"/>
          <w:szCs w:val="18"/>
          <w:color w:val="auto"/>
        </w:rPr>
        <w:t>, (viii) with the consent of the Borrower, or (ix) to the extent that such information (a) was or becomes available to such party from a source other than CPS or the Borrower, (b) has been independently acquired or developed by any such party without violating any of their respective obligations under this Agreement or (c) becomes publicly available other than as a result of a breach of this Section. This confidentiality agreement shall apply to any and all information relating to the Commitments, any of the Loan Documents and the transactions contemplated hereby and thereby at any time on or after the date hereof.</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8" w:name="page189"/>
    <w:bookmarkEnd w:id="188"/>
    <w:p>
      <w:pPr>
        <w:jc w:val="both"/>
        <w:ind w:left="180"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jc w:val="both"/>
        <w:ind w:left="180" w:right="20" w:firstLine="1300"/>
        <w:spacing w:after="0" w:line="266" w:lineRule="auto"/>
        <w:tabs>
          <w:tab w:leader="none" w:pos="2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to any Lender that is an Affected Financial Institution; and</w:t>
      </w:r>
    </w:p>
    <w:p>
      <w:pPr>
        <w:spacing w:after="0" w:line="17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780" w:hanging="652"/>
        <w:spacing w:after="0"/>
        <w:tabs>
          <w:tab w:leader="none" w:pos="27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840" w:right="20" w:firstLine="1288"/>
        <w:spacing w:after="0" w:line="261" w:lineRule="auto"/>
        <w:tabs>
          <w:tab w:leader="none" w:pos="278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840" w:right="20" w:firstLine="1288"/>
        <w:spacing w:after="0" w:line="282" w:lineRule="auto"/>
        <w:tabs>
          <w:tab w:leader="none" w:pos="278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left="180"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To the fullest extent permitted by applicable law, Borrower shall not assert, and hereby waives, and acknowledges that no other Person shall have, any claim against the Administrative Agent, the Collateral Agent or any Lender,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any Loan or the use of the proceeds thereof.</w:t>
      </w:r>
    </w:p>
    <w:p>
      <w:pPr>
        <w:spacing w:after="0" w:line="187"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Page Eight Funding LLC, as Grantor (as such term is defined in the Security Agreement) and Consumer Portfolio Services, Inc., as pledger under the Pledge Agreement, affirms that nothing contained herein shall modify or diminish in any respect whatsoever its obligations under the Security Agreement or the Pledge Agreement, respectively, and any of the other Loan Documents to which it is a party and reaffirms that its obligations under each of the Security Agreement or the Pledge Agreement, respectively, and each other Security Document is and shall continue to remain in full force and effect. This acknowledgement by each of Page Eight Funding LLC and Consumer Portfolio Services, Inc. is made and delivered to induce the Administrative Agent, the Collateral Agent and the Lenders to enter into this Agreement and each of Page Eight Funding LLC and Consumer Portfolio Services, Inc. acknowledge that the Administrative Agent, the Collateral Agent and the Lenders would not enter into this Agreement in the absence of the acknowledgements contained herein.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89" w:name="page190"/>
    <w:bookmarkEnd w:id="189"/>
    <w:p>
      <w:pPr>
        <w:jc w:val="both"/>
        <w:ind w:left="180" w:right="20" w:firstLine="648"/>
        <w:spacing w:after="0" w:line="256" w:lineRule="auto"/>
        <w:rPr>
          <w:sz w:val="20"/>
          <w:szCs w:val="20"/>
          <w:color w:val="auto"/>
        </w:rPr>
      </w:pPr>
      <w:r>
        <w:rPr>
          <w:rFonts w:ascii="Times New Roman" w:cs="Times New Roman" w:eastAsia="Times New Roman" w:hAnsi="Times New Roman"/>
          <w:sz w:val="18"/>
          <w:szCs w:val="18"/>
          <w:color w:val="0000FF"/>
        </w:rPr>
        <w:t xml:space="preserve">SECTION 9.22 </w:t>
      </w:r>
      <w:r>
        <w:rPr>
          <w:rFonts w:ascii="Times New Roman" w:cs="Times New Roman" w:eastAsia="Times New Roman" w:hAnsi="Times New Roman"/>
          <w:sz w:val="18"/>
          <w:szCs w:val="18"/>
          <w:u w:val="single" w:color="auto"/>
          <w:color w:val="0000FF"/>
        </w:rPr>
        <w:t>No Bankruptcy Petition Against any Conduit Lender. Each of the parties hereto hereby covenants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agrees that, prior to the date which is one year and one day after the payment in full of all outstanding commercial paper or other rated indebtedness of a Conduit Lender, it will not institute against, or encourage, cooperate with or join any other Person in instituting against, such Conduit Lender any bankruptcy, reorganization, arrangement, insolvency or liquidation proceedings under the laws of the United States of America or any state thereof. The provisions of this Section 9.22 shall survive the termination of this Agreement.</w:t>
      </w:r>
    </w:p>
    <w:p>
      <w:pPr>
        <w:spacing w:after="0" w:line="187"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0000FF"/>
        </w:rPr>
        <w:t xml:space="preserve">SECTION 9.23 </w:t>
      </w:r>
      <w:r>
        <w:rPr>
          <w:rFonts w:ascii="Times New Roman" w:cs="Times New Roman" w:eastAsia="Times New Roman" w:hAnsi="Times New Roman"/>
          <w:sz w:val="18"/>
          <w:szCs w:val="18"/>
          <w:u w:val="single" w:color="auto"/>
          <w:color w:val="0000FF"/>
        </w:rPr>
        <w:t>No Recourse Against any Conduit Lender. Notwithstanding anything to the contrary contained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this Agreement, the obligations of each Conduit Lender under this Agreement and all other Loan Documents are solely the corporate obligations of such Conduit Lender and shall be payable solely to the extent of funds received by such Conduit Lender from the Borrower in accordance herewith or from any party to any Loan Document in accordance with the terms thereof in excess of funds necessary to pay such Conduit Lender's matured and maturing commercial paper or other rated indebtedness and, to the extent funds are not available to pay such obligations, the claims relating thereto shall not constitute a claim against such Conduit Lender but shall continue to accrue. The payment of any claim (as defined in Section 101 of Title 11 of the Bankruptcy Code) of any party to this Agreement or any other Loan Document against a Conduit Lender shall be subordinated to the payment in full of all of such Conduit Lender's commercial paper and other rated indebtedness. No recourse under or with respect to any obligation, covenant or agreement of any Conduit Lender as contained in this Agreement or any other agreement, instrument or document entered into by it pursuant hereto or in connection herewith shall be had against any manager or administrator of such Conduit Lender or any incorporator, stockholder, member, officer, employee or director of such Conduit Lender or of any such manager or administrator, as such, by the enforcement of any assessment or by any legal or equitable proceeding, by virtue of any statute or otherwise. The provisions of this Section 9.23 shall survive the termination of this Agreement.</w:t>
      </w:r>
    </w:p>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96" w:right="1299" w:bottom="1440" w:gutter="0" w:footer="0" w:header="0"/>
        </w:sectPr>
      </w:pPr>
    </w:p>
    <w:bookmarkStart w:id="190" w:name="page191"/>
    <w:bookmarkEnd w:id="190"/>
    <w:p>
      <w:pPr>
        <w:ind w:left="180" w:right="360"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duly authorized officers and delivered as of the day and year first above written.</w:t>
      </w:r>
    </w:p>
    <w:p>
      <w:pPr>
        <w:spacing w:after="0" w:line="16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PAGE EIGHT FUNDING LLC, as Borrower and Purchaser</w:t>
      </w:r>
    </w:p>
    <w:p>
      <w:pPr>
        <w:spacing w:after="0" w:line="2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tab/>
        <w:t>19500 Jamboree Road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Irvine, California 92612</w:t>
      </w:r>
    </w:p>
    <w:p>
      <w:pPr>
        <w:spacing w:after="0" w:line="9"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Company Secretary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Telephone: 949-753-6800</w:t>
      </w:r>
    </w:p>
    <w:p>
      <w:pPr>
        <w:spacing w:after="0" w:line="9"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7"/>
          <w:szCs w:val="17"/>
          <w:color w:val="auto"/>
        </w:rPr>
        <w:t>949-753-6897</w:t>
      </w:r>
    </w:p>
    <w:p>
      <w:pPr>
        <w:spacing w:after="0" w:line="200" w:lineRule="exact"/>
        <w:rPr>
          <w:sz w:val="20"/>
          <w:szCs w:val="20"/>
          <w:color w:val="auto"/>
        </w:rPr>
      </w:pPr>
    </w:p>
    <w:p>
      <w:pPr>
        <w:spacing w:after="0" w:line="223" w:lineRule="exact"/>
        <w:rPr>
          <w:sz w:val="20"/>
          <w:szCs w:val="20"/>
          <w:color w:val="auto"/>
        </w:rPr>
      </w:pPr>
    </w:p>
    <w:p>
      <w:pPr>
        <w:ind w:left="4740"/>
        <w:spacing w:after="0" w:line="282" w:lineRule="auto"/>
        <w:rPr>
          <w:sz w:val="20"/>
          <w:szCs w:val="20"/>
          <w:color w:val="auto"/>
        </w:rPr>
      </w:pPr>
      <w:r>
        <w:rPr>
          <w:rFonts w:ascii="Times New Roman" w:cs="Times New Roman" w:eastAsia="Times New Roman" w:hAnsi="Times New Roman"/>
          <w:sz w:val="18"/>
          <w:szCs w:val="18"/>
          <w:color w:val="auto"/>
        </w:rPr>
        <w:t>CONSUMER PORTFOLIO SERVICES, INC., as CPS, Seller and Servicer</w:t>
      </w:r>
    </w:p>
    <w:p>
      <w:pPr>
        <w:spacing w:after="0" w:line="1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tab/>
        <w:t>3800 Howard Hughes Pkwy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Corporate Secretary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Telephone: (888) 785-6691</w:t>
      </w:r>
    </w:p>
    <w:p>
      <w:pPr>
        <w:spacing w:after="0" w:line="9"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7"/>
          <w:szCs w:val="17"/>
          <w:color w:val="auto"/>
        </w:rPr>
        <w:t>(949) 753-6897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[Eighth Amended and Restated Warehouse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00"/>
          </w:cols>
          <w:pgMar w:left="1440" w:top="796" w:right="959" w:bottom="1440" w:gutter="0" w:footer="0" w:header="0"/>
        </w:sectPr>
      </w:pPr>
    </w:p>
    <w:bookmarkStart w:id="191" w:name="page192"/>
    <w:bookmarkEnd w:id="191"/>
    <w:p>
      <w:pPr>
        <w:ind w:left="4740"/>
        <w:spacing w:after="0"/>
        <w:rPr>
          <w:sz w:val="20"/>
          <w:szCs w:val="20"/>
          <w:color w:val="auto"/>
        </w:rPr>
      </w:pPr>
      <w:r>
        <w:rPr>
          <w:rFonts w:ascii="Times New Roman" w:cs="Times New Roman" w:eastAsia="Times New Roman" w:hAnsi="Times New Roman"/>
          <w:sz w:val="17"/>
          <w:szCs w:val="17"/>
          <w:color w:val="auto"/>
        </w:rPr>
        <w:t>CITIBANK, N.A., as Administrative Agent and as Collateral Agent</w:t>
      </w: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David DeBenedetto</w:t>
      </w:r>
    </w:p>
    <w:p>
      <w:pPr>
        <w:spacing w:after="0" w:line="23" w:lineRule="exact"/>
        <w:rPr>
          <w:sz w:val="20"/>
          <w:szCs w:val="20"/>
          <w:color w:val="auto"/>
        </w:rPr>
      </w:pPr>
    </w:p>
    <w:p>
      <w:pPr>
        <w:ind w:left="474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Address for Notices (subject to Section 9.07(a)):</w:t>
      </w:r>
    </w:p>
    <w:p>
      <w:pPr>
        <w:ind w:left="4740"/>
        <w:spacing w:after="0" w:line="205" w:lineRule="auto"/>
        <w:rPr>
          <w:sz w:val="20"/>
          <w:szCs w:val="20"/>
          <w:color w:val="auto"/>
        </w:rPr>
      </w:pPr>
      <w:r>
        <w:rPr>
          <w:rFonts w:ascii="Times New Roman" w:cs="Times New Roman" w:eastAsia="Times New Roman" w:hAnsi="Times New Roman"/>
          <w:sz w:val="18"/>
          <w:szCs w:val="18"/>
          <w:color w:val="auto"/>
        </w:rPr>
        <w:t>388 Greenwich St.,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Trading</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Telephone: (212) 723-3716</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Email: CitiABSLendingNotices@citi.com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[Eighth Amended and Restated Warehouse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20"/>
          </w:cols>
          <w:pgMar w:left="1440" w:top="1012" w:right="839" w:bottom="1440" w:gutter="0" w:footer="0" w:header="0"/>
        </w:sectPr>
      </w:pPr>
    </w:p>
    <w:bookmarkStart w:id="192" w:name="page193"/>
    <w:bookmarkEnd w:id="192"/>
    <w:p>
      <w:pPr>
        <w:ind w:left="4740"/>
        <w:spacing w:after="0"/>
        <w:rPr>
          <w:sz w:val="20"/>
          <w:szCs w:val="20"/>
          <w:color w:val="auto"/>
        </w:rPr>
      </w:pPr>
      <w:r>
        <w:rPr>
          <w:rFonts w:ascii="Times New Roman" w:cs="Times New Roman" w:eastAsia="Times New Roman" w:hAnsi="Times New Roman"/>
          <w:sz w:val="17"/>
          <w:szCs w:val="17"/>
          <w:color w:val="auto"/>
        </w:rPr>
        <w:t>CITIBANK, N.A., as Funding Agent and as a Committed Lender</w:t>
      </w:r>
    </w:p>
    <w:p>
      <w:pPr>
        <w:spacing w:after="0" w:line="2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David DeBenedetto</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Citi Global Loans / Conduit Operations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 Penns Way, Ops 2 Floor 2</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New Castle, DE 19720</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Telephone: 302-323-5492</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conduitoperations@citi.com</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With a copy to (subject to Section 9.07(a)):</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Attn: Citi – Spread Products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388 Greenwich Street, 6th Floor Trading</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Telephone: 212-723-3716</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Email: CitiABSLendingNotices@citi.com</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Wiring instructions: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[Eighth Amended and Restated Warehouse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20"/>
          </w:cols>
          <w:pgMar w:left="1440" w:top="796" w:right="10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i w:val="1"/>
          <w:iCs w:val="1"/>
          <w:color w:val="FF0000"/>
        </w:rPr>
        <w:t>[Link-to-previous setting changed from off in original to on in modified.].</w:t>
      </w:r>
    </w:p>
    <w:p>
      <w:pPr>
        <w:spacing w:after="0" w:line="2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CAFCO, LLC, as a Conduit Lender</w:t>
      </w:r>
    </w:p>
    <w:p>
      <w:pPr>
        <w:spacing w:after="0" w:line="23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CITIBANK, N.A., as its attorney-in-fact</w:t>
      </w: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CHARTA, LLC, as a Conduit Lender</w:t>
      </w:r>
    </w:p>
    <w:p>
      <w:pPr>
        <w:spacing w:after="0" w:line="23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CITIBANK, N.A., as its attorney-in-fact</w:t>
      </w: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CIESCO, LLC, as a Conduit Lender</w:t>
      </w:r>
    </w:p>
    <w:p>
      <w:pPr>
        <w:spacing w:after="0" w:line="23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CITIBANK, N.A., as its attorney-in-fact</w:t>
      </w: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CRC FUNDING, LLC, as a Conduit Lender</w:t>
      </w:r>
    </w:p>
    <w:p>
      <w:pPr>
        <w:spacing w:after="0" w:line="23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CITIBANK, N.A., as its attorney-in-fact</w:t>
      </w: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Linda Moses</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FF0000"/>
        </w:rPr>
        <w:t>[Link-to-previous setting changed from off in original to on in modified.].</w:t>
      </w:r>
    </w:p>
    <w:p>
      <w:pPr>
        <w:spacing w:after="0" w:line="2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[Eighth Amended and Restated Warehouse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94" w:name="page195"/>
    <w:bookmarkEnd w:id="194"/>
    <w:p>
      <w:pPr>
        <w:ind w:left="4740"/>
        <w:spacing w:after="0"/>
        <w:rPr>
          <w:sz w:val="20"/>
          <w:szCs w:val="20"/>
          <w:color w:val="auto"/>
        </w:rPr>
      </w:pPr>
      <w:r>
        <w:rPr>
          <w:rFonts w:ascii="Times New Roman" w:cs="Times New Roman" w:eastAsia="Times New Roman" w:hAnsi="Times New Roman"/>
          <w:sz w:val="18"/>
          <w:szCs w:val="18"/>
          <w:b w:val="1"/>
          <w:bCs w:val="1"/>
          <w:color w:val="auto"/>
        </w:rPr>
        <w:t>ABF AUTO HOLDINGS 2024-1, LLC, as a</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Committed Lender and as a Class B Lender</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By: Oaktree Fund GP IIA, LLC</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Its: Manager</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By: Oaktree Fund GP II, L.P.</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Its: Managing Member</w:t>
      </w: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Title:</w:t>
      </w:r>
    </w:p>
    <w:p>
      <w:pPr>
        <w:spacing w:after="0" w:line="2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Title:</w:t>
      </w:r>
    </w:p>
    <w:p>
      <w:pPr>
        <w:spacing w:after="0" w:line="200" w:lineRule="exact"/>
        <w:rPr>
          <w:sz w:val="20"/>
          <w:szCs w:val="20"/>
          <w:color w:val="auto"/>
        </w:rPr>
      </w:pPr>
    </w:p>
    <w:p>
      <w:pPr>
        <w:spacing w:after="0" w:line="2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OAKTREE DIVERSIFIED INCOME FUND</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 xml:space="preserve">INC., </w:t>
      </w:r>
      <w:r>
        <w:rPr>
          <w:rFonts w:ascii="Times New Roman" w:cs="Times New Roman" w:eastAsia="Times New Roman" w:hAnsi="Times New Roman"/>
          <w:sz w:val="17"/>
          <w:szCs w:val="17"/>
          <w:color w:val="auto"/>
        </w:rPr>
        <w:t>as a Committed Lender and as a Class B Lender</w:t>
      </w:r>
    </w:p>
    <w:p>
      <w:pPr>
        <w:spacing w:after="0" w:line="2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By: Oaktree Fund Advisors, LLC</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Its: Investment Advisor</w:t>
      </w: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[Eighth Amended and Restated Warehouse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95" w:name="page196"/>
    <w:bookmarkEnd w:id="195"/>
    <w:p>
      <w:pPr>
        <w:ind w:left="4740"/>
        <w:spacing w:after="0"/>
        <w:rPr>
          <w:sz w:val="20"/>
          <w:szCs w:val="20"/>
          <w:color w:val="auto"/>
        </w:rPr>
      </w:pPr>
      <w:r>
        <w:rPr>
          <w:rFonts w:ascii="Times New Roman" w:cs="Times New Roman" w:eastAsia="Times New Roman" w:hAnsi="Times New Roman"/>
          <w:sz w:val="18"/>
          <w:szCs w:val="18"/>
          <w:b w:val="1"/>
          <w:bCs w:val="1"/>
          <w:u w:val="single" w:color="auto"/>
          <w:color w:val="0000FF"/>
        </w:rPr>
        <w:t>OAKTREE ASSET-BACKED INCOME FUND</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u w:val="single" w:color="auto"/>
          <w:color w:val="0000FF"/>
        </w:rPr>
        <w:t xml:space="preserve">INC., </w:t>
      </w:r>
      <w:r>
        <w:rPr>
          <w:rFonts w:ascii="Times New Roman" w:cs="Times New Roman" w:eastAsia="Times New Roman" w:hAnsi="Times New Roman"/>
          <w:sz w:val="17"/>
          <w:szCs w:val="17"/>
          <w:u w:val="single" w:color="auto"/>
          <w:color w:val="0000FF"/>
        </w:rPr>
        <w:t>as a Committed Lender and as a Class B Lender</w:t>
      </w:r>
    </w:p>
    <w:p>
      <w:pPr>
        <w:spacing w:after="0" w:line="2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By: Oaktree Fund Advisors, LLC</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0000FF"/>
        </w:rPr>
        <w:t>Its: Investment Advisor</w:t>
      </w: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Title:</w:t>
      </w:r>
    </w:p>
    <w:p>
      <w:pPr>
        <w:spacing w:after="0" w:line="2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0600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[Eighth Amended and Restated Warehouse Credit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224155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u w:val="single" w:color="auto"/>
          <w:color w:val="auto"/>
        </w:rPr>
        <w:t>Form of Borrowing Base Certificate</w:t>
      </w:r>
    </w:p>
    <w:p>
      <w:pPr>
        <w:spacing w:after="0" w:line="200" w:lineRule="exact"/>
        <w:rPr>
          <w:sz w:val="20"/>
          <w:szCs w:val="20"/>
          <w:color w:val="auto"/>
        </w:rPr>
      </w:pPr>
    </w:p>
    <w:p>
      <w:pPr>
        <w:spacing w:after="0" w:line="2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23"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BORROWING REQUEST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Global Loans / Conduit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Penns Way, Ops 2 Floor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302-323-5492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conduitoperations@citi.com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Borrowing Request is delivered to you pursuant to Section 2.03(a) of that certain Eighth Amended and Restated Credit Agreement, dated as of November 1, 2024 (as may be further amended, supplemented, restated or otherwise modified from time to time in accordance with the terms thereof,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PAGE EIGHT FUNDING LLC, a Delaware limited liability company (“</w:t>
      </w:r>
      <w:r>
        <w:rPr>
          <w:rFonts w:ascii="Times New Roman" w:cs="Times New Roman" w:eastAsia="Times New Roman" w:hAnsi="Times New Roman"/>
          <w:sz w:val="18"/>
          <w:szCs w:val="18"/>
          <w:u w:val="single" w:color="auto"/>
          <w:color w:val="auto"/>
        </w:rPr>
        <w:t>the Borrower</w:t>
      </w:r>
      <w:r>
        <w:rPr>
          <w:rFonts w:ascii="Times New Roman" w:cs="Times New Roman" w:eastAsia="Times New Roman" w:hAnsi="Times New Roman"/>
          <w:sz w:val="18"/>
          <w:szCs w:val="18"/>
          <w:color w:val="auto"/>
        </w:rPr>
        <w:t>”), Consumer Portfolio Services, Inc., a California corporation, as Servicer (“</w:t>
      </w:r>
      <w:r>
        <w:rPr>
          <w:rFonts w:ascii="Times New Roman" w:cs="Times New Roman" w:eastAsia="Times New Roman" w:hAnsi="Times New Roman"/>
          <w:sz w:val="18"/>
          <w:szCs w:val="18"/>
          <w:u w:val="single" w:color="auto"/>
          <w:color w:val="auto"/>
        </w:rPr>
        <w:t>CPS</w:t>
      </w:r>
      <w:r>
        <w:rPr>
          <w:rFonts w:ascii="Times New Roman" w:cs="Times New Roman" w:eastAsia="Times New Roman" w:hAnsi="Times New Roman"/>
          <w:sz w:val="18"/>
          <w:szCs w:val="18"/>
          <w:color w:val="auto"/>
        </w:rPr>
        <w:t>”, and in such capacity,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the Lenders from time to time party thereto, and Citibank,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Unless otherwise defined herein or as the context otherwise requires, terms used herein have the meaning assigned thereto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that a [Class A Loan be made in the aggregate principal amount of $_____ on ___, 20 ] [and that a] [Class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be made in the aggregate principal amount of $_____ on ___, 20 ].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that as of the date hereof, the aggregate Principal Balance of Eligible Receivables is an amount equal to $_____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that as of the date hereof, the Class A Loan Balance is equal to $_____ and the Class B Loan Balance is equal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that the Total Borrowing Base as of the date hereof is equal to $_____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Attached hereto as Schedule I is a summary of the foregoing request. Attached hereto as Schedule II is the Schedule of Receivables relating to the Loan requested 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undersigned hereby acknowledges that the delivery of this Borrowing Request and the acceptance by undersigned of the proceeds of the Loan[s] requested hereby constitute a representation and warranty by the undersigned that, on the date of such Loan[s], and before and after giving effect thereto and to the application of the proceeds therefrom, all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of this Agreement have been satisfied and all representations and warranties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this Agreement are true and correct.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agrees that if prior to the time of the Loan[s] requested hereby any matter certified to herein by it will not be true and correct at such time as if then made, it will immediately so notify you. Except to the extent, if any, that prior to the time of the Loan[s] requested hereby you shall receive written notice to the contrary from the undersigned, each matter certified to herein shall be deemed once again to be certified as true and correct at the date of such Loan[s] as if then made.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18"/>
          <w:szCs w:val="18"/>
          <w:color w:val="auto"/>
        </w:rPr>
        <w:t>Borrower hereby directs Administrative Agent to deposit (or to direct the Account Bank to credit) $_____ from the gross proceeds of the Loan[s]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the Reserve Account in satisfaction of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of the Agreement. [Borrower hereby directs Administrative Agent to wire the net proceeds of the Loan[s] directly to the Seller (or in compliance with Seller’s instruction) in partial satisfaction of Seller’s obligation to the Purchaser to deliver the Purchase Price for the Receivables and Other Conveyed Property being acquired by Borrower from the Purchaser and pledged by Borrower to the Collateral Agent on the applicable Funding Date.] Please wire transfer the net proceeds of the Loan[s] to the following account pursuant to the following instructions: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payment instructions]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has caused this Borrowing Request to be executed and delivered, and the </w:t>
      </w:r>
      <w:r>
        <w:rPr>
          <w:rFonts w:ascii="Times New Roman" w:cs="Times New Roman" w:eastAsia="Times New Roman" w:hAnsi="Times New Roman"/>
          <w:sz w:val="18"/>
          <w:szCs w:val="18"/>
          <w:color w:val="FF0000"/>
          <w:strike w:val="1"/>
        </w:rPr>
        <w:t>certification</w:t>
      </w:r>
      <w:r>
        <w:rPr>
          <w:rFonts w:ascii="Times New Roman" w:cs="Times New Roman" w:eastAsia="Times New Roman" w:hAnsi="Times New Roman"/>
          <w:sz w:val="18"/>
          <w:szCs w:val="18"/>
          <w:u w:val="single" w:color="auto"/>
          <w:color w:val="0000FF"/>
        </w:rPr>
        <w:t>certifications</w:t>
      </w:r>
      <w:r>
        <w:rPr>
          <w:rFonts w:ascii="Times New Roman" w:cs="Times New Roman" w:eastAsia="Times New Roman" w:hAnsi="Times New Roman"/>
          <w:sz w:val="18"/>
          <w:szCs w:val="18"/>
          <w:color w:val="auto"/>
        </w:rPr>
        <w:t xml:space="preserve"> and warranties contained herein to be made, by its duly Authorized Officer this day of ____, 20 .</w:t>
      </w:r>
    </w:p>
    <w:p>
      <w:pPr>
        <w:spacing w:after="0" w:line="1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PAGE EIGHT FUNDING LLC</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__________________________________</w:t>
      </w:r>
    </w:p>
    <w:p>
      <w:pPr>
        <w:spacing w:after="0" w:line="207"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undersigned hereby acknowledges that the delivery of this Borrowing Request and the acceptance by Page Eight Funding LLC or the undersigned of the proceeds of the Loan requested hereby constitute a representation and warranty by the undersigned that, on the date of such Loan, and before and after giving effect thereto and to the application of the proceeds therefrom, all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of this Agreement have been satisfied and all representations and warranties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this Agreement are true and correct.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has caused this Borrowing Request to be executed and delivered, and the </w:t>
      </w:r>
      <w:r>
        <w:rPr>
          <w:rFonts w:ascii="Times New Roman" w:cs="Times New Roman" w:eastAsia="Times New Roman" w:hAnsi="Times New Roman"/>
          <w:sz w:val="18"/>
          <w:szCs w:val="18"/>
          <w:color w:val="FF0000"/>
          <w:strike w:val="1"/>
        </w:rPr>
        <w:t>certification</w:t>
      </w:r>
      <w:r>
        <w:rPr>
          <w:rFonts w:ascii="Times New Roman" w:cs="Times New Roman" w:eastAsia="Times New Roman" w:hAnsi="Times New Roman"/>
          <w:sz w:val="18"/>
          <w:szCs w:val="18"/>
          <w:u w:val="single" w:color="auto"/>
          <w:color w:val="0000FF"/>
        </w:rPr>
        <w:t>certifications</w:t>
      </w:r>
      <w:r>
        <w:rPr>
          <w:rFonts w:ascii="Times New Roman" w:cs="Times New Roman" w:eastAsia="Times New Roman" w:hAnsi="Times New Roman"/>
          <w:sz w:val="18"/>
          <w:szCs w:val="18"/>
          <w:color w:val="auto"/>
        </w:rPr>
        <w:t xml:space="preserve"> and warranties contained herein to be made, by its duly Authorized Officer this day of , 20 .</w:t>
      </w:r>
    </w:p>
    <w:p>
      <w:pPr>
        <w:spacing w:after="0" w:line="1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__________________________________</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BORROWING REQUEST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Date: 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Wire to Page Eight Funding LLC: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Wire to Account Bank (Reserve Account): </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96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 Page Eight</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 Account Bank</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Class A Loan</w:t>
            </w: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Class B Loan</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Amount:</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Wired:</w:t>
            </w: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9"/>
        </w:trPr>
        <w:tc>
          <w:tcPr>
            <w:tcW w:w="2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color w:val="auto"/>
        </w:rPr>
        <w:t>SCHEDULE 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BORROWING REQUEST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[Schedule of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2966085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FORM OF ADVANCE RATE CALCULATOR</w:t>
      </w: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[On file with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4474845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u w:val="single" w:color="auto"/>
          <w:color w:val="auto"/>
        </w:rPr>
        <w:t>TIMING CURVE (for Projected CNL Matrix)</w:t>
      </w:r>
    </w:p>
    <w:p>
      <w:pPr>
        <w:spacing w:after="0" w:line="23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4063365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03" w:name="page204"/>
    <w:bookmarkEnd w:id="203"/>
    <w:p>
      <w:pPr>
        <w:jc w:val="center"/>
        <w:ind w:right="-1100"/>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LENDERS’ COMMITMENTS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AND CALCULATION OF MAXIMUM LOAN BALANCES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Loans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Class A Maximum Loan Balance</w:t>
      </w:r>
      <w:r>
        <w:rPr>
          <w:rFonts w:ascii="Times New Roman" w:cs="Times New Roman" w:eastAsia="Times New Roman" w:hAnsi="Times New Roman"/>
          <w:sz w:val="18"/>
          <w:szCs w:val="18"/>
          <w:color w:val="auto"/>
        </w:rPr>
        <w:t>” shall equal $</w:t>
      </w:r>
      <w:r>
        <w:rPr>
          <w:rFonts w:ascii="Times New Roman" w:cs="Times New Roman" w:eastAsia="Times New Roman" w:hAnsi="Times New Roman"/>
          <w:sz w:val="18"/>
          <w:szCs w:val="18"/>
          <w:color w:val="FF0000"/>
          <w:strike w:val="1"/>
        </w:rPr>
        <w:t>200,000,000</w:t>
      </w:r>
      <w:r>
        <w:rPr>
          <w:rFonts w:ascii="Times New Roman" w:cs="Times New Roman" w:eastAsia="Times New Roman" w:hAnsi="Times New Roman"/>
          <w:sz w:val="18"/>
          <w:szCs w:val="18"/>
          <w:u w:val="single" w:color="auto"/>
          <w:color w:val="0000FF"/>
        </w:rPr>
        <w:t>450,000,000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Lender Group:</w:t>
      </w:r>
    </w:p>
    <w:p>
      <w:pPr>
        <w:spacing w:after="0" w:line="225" w:lineRule="exact"/>
        <w:rPr>
          <w:sz w:val="20"/>
          <w:szCs w:val="20"/>
          <w:color w:val="auto"/>
        </w:rPr>
      </w:pPr>
    </w:p>
    <w:p>
      <w:pPr>
        <w:ind w:left="980" w:hanging="324"/>
        <w:spacing w:after="0"/>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Committed Lenders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N.A.</w:t>
      </w:r>
    </w:p>
    <w:p>
      <w:pPr>
        <w:spacing w:after="0" w:line="27" w:lineRule="exact"/>
        <w:rPr>
          <w:rFonts w:ascii="Times New Roman" w:cs="Times New Roman" w:eastAsia="Times New Roman" w:hAnsi="Times New Roman"/>
          <w:sz w:val="18"/>
          <w:szCs w:val="18"/>
          <w:color w:val="auto"/>
        </w:rPr>
      </w:pPr>
    </w:p>
    <w:p>
      <w:pPr>
        <w:ind w:left="980" w:right="63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Lender Percentage: [***] Class A Commitment Percentage:[***] Funding Agent: Citibank, N.A.</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Wiring Instructions for Payments to Funding Agent: [***</w:t>
      </w:r>
      <w:r>
        <w:rPr>
          <w:rFonts w:ascii="Times New Roman" w:cs="Times New Roman" w:eastAsia="Times New Roman" w:hAnsi="Times New Roman"/>
          <w:sz w:val="18"/>
          <w:szCs w:val="18"/>
          <w:u w:val="single" w:color="auto"/>
          <w:color w:val="auto"/>
        </w:rPr>
        <w:t>]</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Conduit Lenders</w:t>
      </w:r>
    </w:p>
    <w:p>
      <w:pPr>
        <w:spacing w:after="0" w:line="225" w:lineRule="exact"/>
        <w:rPr>
          <w:rFonts w:ascii="Times New Roman" w:cs="Times New Roman" w:eastAsia="Times New Roman" w:hAnsi="Times New Roman"/>
          <w:sz w:val="18"/>
          <w:szCs w:val="18"/>
          <w:color w:val="auto"/>
        </w:rPr>
      </w:pPr>
    </w:p>
    <w:p>
      <w:pPr>
        <w:ind w:left="980" w:right="7719"/>
        <w:spacing w:after="0" w:line="7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CAFCO, LLC CHARTA, LLC CIESCO, LLC CRC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i w:val="1"/>
          <w:iCs w:val="1"/>
          <w:color w:val="auto"/>
        </w:rPr>
        <w:t>Class B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Class B Maximum Loan Balance</w:t>
      </w:r>
      <w:r>
        <w:rPr>
          <w:rFonts w:ascii="Times New Roman" w:cs="Times New Roman" w:eastAsia="Times New Roman" w:hAnsi="Times New Roman"/>
          <w:sz w:val="18"/>
          <w:szCs w:val="18"/>
          <w:color w:val="auto"/>
        </w:rPr>
        <w:t>” shall equal $</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u w:val="single" w:color="auto"/>
          <w:color w:val="0000FF"/>
        </w:rPr>
        <w:t>58,000,000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Commitments of each Class B Lender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20" w:type="dxa"/>
            <w:vAlign w:val="bottom"/>
            <w:tcBorders>
              <w:top w:val="single" w:sz="8" w:color="auto"/>
              <w:left w:val="single" w:sz="8" w:color="auto"/>
              <w:right w:val="single" w:sz="8" w:color="auto"/>
            </w:tcBorders>
            <w:gridSpan w:val="4"/>
          </w:tcPr>
          <w:p>
            <w:pPr>
              <w:ind w:left="120"/>
              <w:spacing w:after="0" w:line="189" w:lineRule="exact"/>
              <w:rPr>
                <w:sz w:val="20"/>
                <w:szCs w:val="20"/>
                <w:color w:val="auto"/>
              </w:rPr>
            </w:pPr>
            <w:r>
              <w:rPr>
                <w:rFonts w:ascii="Times New Roman" w:cs="Times New Roman" w:eastAsia="Times New Roman" w:hAnsi="Times New Roman"/>
                <w:sz w:val="18"/>
                <w:szCs w:val="18"/>
                <w:color w:val="auto"/>
              </w:rPr>
              <w:t>Lender</w:t>
            </w:r>
          </w:p>
        </w:tc>
        <w:tc>
          <w:tcPr>
            <w:tcW w:w="80" w:type="dxa"/>
            <w:vAlign w:val="bottom"/>
            <w:tcBorders>
              <w:top w:val="single" w:sz="8" w:color="auto"/>
            </w:tcBorders>
          </w:tcPr>
          <w:p>
            <w:pPr>
              <w:spacing w:after="0"/>
              <w:rPr>
                <w:sz w:val="16"/>
                <w:szCs w:val="16"/>
                <w:color w:val="auto"/>
              </w:rPr>
            </w:pPr>
          </w:p>
        </w:tc>
        <w:tc>
          <w:tcPr>
            <w:tcW w:w="2840" w:type="dxa"/>
            <w:vAlign w:val="bottom"/>
            <w:tcBorders>
              <w:top w:val="single" w:sz="8" w:color="auto"/>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Applicable Percentage</w:t>
            </w:r>
          </w:p>
        </w:tc>
        <w:tc>
          <w:tcPr>
            <w:tcW w:w="80" w:type="dxa"/>
            <w:vAlign w:val="bottom"/>
            <w:tcBorders>
              <w:top w:val="single" w:sz="8" w:color="auto"/>
            </w:tcBorders>
          </w:tcPr>
          <w:p>
            <w:pPr>
              <w:spacing w:after="0"/>
              <w:rPr>
                <w:sz w:val="16"/>
                <w:szCs w:val="16"/>
                <w:color w:val="auto"/>
              </w:rPr>
            </w:pPr>
          </w:p>
        </w:tc>
        <w:tc>
          <w:tcPr>
            <w:tcW w:w="2820" w:type="dxa"/>
            <w:vAlign w:val="bottom"/>
            <w:tcBorders>
              <w:top w:val="single" w:sz="8" w:color="auto"/>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Commitment Amount</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420" w:type="dxa"/>
            <w:vAlign w:val="bottom"/>
            <w:tcBorders>
              <w:left w:val="single" w:sz="8" w:color="auto"/>
              <w:right w:val="single" w:sz="8" w:color="auto"/>
            </w:tcBorders>
            <w:gridSpan w:val="4"/>
          </w:tcPr>
          <w:p>
            <w:pPr>
              <w:ind w:left="120"/>
              <w:spacing w:after="0" w:line="169" w:lineRule="exact"/>
              <w:rPr>
                <w:sz w:val="20"/>
                <w:szCs w:val="20"/>
                <w:color w:val="auto"/>
              </w:rPr>
            </w:pPr>
            <w:r>
              <w:rPr>
                <w:rFonts w:ascii="Times New Roman" w:cs="Times New Roman" w:eastAsia="Times New Roman" w:hAnsi="Times New Roman"/>
                <w:sz w:val="18"/>
                <w:szCs w:val="18"/>
                <w:color w:val="auto"/>
              </w:rPr>
              <w:t>ABF Auto Holdings 2024-1, LLC</w:t>
            </w:r>
          </w:p>
        </w:tc>
        <w:tc>
          <w:tcPr>
            <w:tcW w:w="80" w:type="dxa"/>
            <w:vAlign w:val="bottom"/>
          </w:tcPr>
          <w:p>
            <w:pPr>
              <w:spacing w:after="0"/>
              <w:rPr>
                <w:sz w:val="14"/>
                <w:szCs w:val="14"/>
                <w:color w:val="auto"/>
              </w:rPr>
            </w:pPr>
          </w:p>
        </w:tc>
        <w:tc>
          <w:tcPr>
            <w:tcW w:w="4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FF0000"/>
                <w:strike w:val="1"/>
                <w:w w:val="97"/>
              </w:rPr>
              <w:t>[***]</w:t>
            </w:r>
          </w:p>
        </w:tc>
        <w:tc>
          <w:tcPr>
            <w:tcW w:w="1220" w:type="dxa"/>
            <w:vAlign w:val="bottom"/>
            <w:gridSpan w:val="2"/>
          </w:tcPr>
          <w:p>
            <w:pPr>
              <w:jc w:val="right"/>
              <w:ind w:right="840"/>
              <w:spacing w:after="0" w:line="169" w:lineRule="exact"/>
              <w:rPr>
                <w:sz w:val="20"/>
                <w:szCs w:val="20"/>
                <w:color w:val="auto"/>
              </w:rPr>
            </w:pPr>
            <w:r>
              <w:rPr>
                <w:rFonts w:ascii="Times New Roman" w:cs="Times New Roman" w:eastAsia="Times New Roman" w:hAnsi="Times New Roman"/>
                <w:sz w:val="18"/>
                <w:szCs w:val="18"/>
                <w:color w:val="0000FF"/>
                <w:w w:val="92"/>
              </w:rPr>
              <w:t>[***]</w:t>
            </w:r>
          </w:p>
        </w:tc>
        <w:tc>
          <w:tcPr>
            <w:tcW w:w="1220" w:type="dxa"/>
            <w:vAlign w:val="bottom"/>
            <w:tcBorders>
              <w:right w:val="single" w:sz="8" w:color="auto"/>
            </w:tcBorders>
          </w:tcPr>
          <w:p>
            <w:pPr>
              <w:spacing w:after="0"/>
              <w:rPr>
                <w:sz w:val="14"/>
                <w:szCs w:val="14"/>
                <w:color w:val="auto"/>
              </w:rPr>
            </w:pPr>
          </w:p>
        </w:tc>
        <w:tc>
          <w:tcPr>
            <w:tcW w:w="18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2"/>
              </w:rPr>
              <w:t>[***]</w:t>
            </w:r>
          </w:p>
        </w:tc>
        <w:tc>
          <w:tcPr>
            <w:tcW w:w="1100" w:type="dxa"/>
            <w:vAlign w:val="bottom"/>
            <w:gridSpan w:val="3"/>
          </w:tcPr>
          <w:p>
            <w:pPr>
              <w:jc w:val="right"/>
              <w:ind w:right="720"/>
              <w:spacing w:after="0" w:line="169" w:lineRule="exact"/>
              <w:rPr>
                <w:sz w:val="20"/>
                <w:szCs w:val="20"/>
                <w:color w:val="auto"/>
              </w:rPr>
            </w:pPr>
            <w:r>
              <w:rPr>
                <w:rFonts w:ascii="Times New Roman" w:cs="Times New Roman" w:eastAsia="Times New Roman" w:hAnsi="Times New Roman"/>
                <w:sz w:val="18"/>
                <w:szCs w:val="18"/>
                <w:color w:val="0000FF"/>
                <w:w w:val="92"/>
              </w:rPr>
              <w:t>[***]</w:t>
            </w:r>
          </w:p>
        </w:tc>
        <w:tc>
          <w:tcPr>
            <w:tcW w:w="1240" w:type="dxa"/>
            <w:vAlign w:val="bottom"/>
            <w:tcBorders>
              <w:right w:val="single" w:sz="8" w:color="auto"/>
            </w:tcBorders>
          </w:tcPr>
          <w:p>
            <w:pPr>
              <w:spacing w:after="0"/>
              <w:rPr>
                <w:sz w:val="14"/>
                <w:szCs w:val="14"/>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420" w:type="dxa"/>
            <w:vAlign w:val="bottom"/>
            <w:tcBorders>
              <w:left w:val="single" w:sz="8" w:color="auto"/>
              <w:right w:val="single" w:sz="8" w:color="auto"/>
            </w:tcBorders>
            <w:gridSpan w:val="4"/>
          </w:tcPr>
          <w:p>
            <w:pPr>
              <w:ind w:left="120"/>
              <w:spacing w:after="0" w:line="170" w:lineRule="exact"/>
              <w:rPr>
                <w:sz w:val="20"/>
                <w:szCs w:val="20"/>
                <w:color w:val="auto"/>
              </w:rPr>
            </w:pPr>
            <w:r>
              <w:rPr>
                <w:rFonts w:ascii="Times New Roman" w:cs="Times New Roman" w:eastAsia="Times New Roman" w:hAnsi="Times New Roman"/>
                <w:sz w:val="18"/>
                <w:szCs w:val="18"/>
                <w:color w:val="auto"/>
              </w:rPr>
              <w:t>Oaktree Diversified Income Fund</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Inc.</w:t>
            </w:r>
          </w:p>
        </w:tc>
        <w:tc>
          <w:tcPr>
            <w:tcW w:w="80" w:type="dxa"/>
            <w:vAlign w:val="bottom"/>
          </w:tcPr>
          <w:p>
            <w:pPr>
              <w:spacing w:after="0"/>
              <w:rPr>
                <w:sz w:val="14"/>
                <w:szCs w:val="14"/>
                <w:color w:val="auto"/>
              </w:rPr>
            </w:pPr>
          </w:p>
        </w:tc>
        <w:tc>
          <w:tcPr>
            <w:tcW w:w="4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FF0000"/>
                <w:strike w:val="1"/>
                <w:w w:val="97"/>
              </w:rPr>
              <w:t>[***]</w:t>
            </w:r>
          </w:p>
        </w:tc>
        <w:tc>
          <w:tcPr>
            <w:tcW w:w="1220" w:type="dxa"/>
            <w:vAlign w:val="bottom"/>
            <w:gridSpan w:val="2"/>
          </w:tcPr>
          <w:p>
            <w:pPr>
              <w:jc w:val="right"/>
              <w:ind w:right="840"/>
              <w:spacing w:after="0" w:line="170" w:lineRule="exact"/>
              <w:rPr>
                <w:sz w:val="20"/>
                <w:szCs w:val="20"/>
                <w:color w:val="auto"/>
              </w:rPr>
            </w:pPr>
            <w:r>
              <w:rPr>
                <w:rFonts w:ascii="Times New Roman" w:cs="Times New Roman" w:eastAsia="Times New Roman" w:hAnsi="Times New Roman"/>
                <w:sz w:val="18"/>
                <w:szCs w:val="18"/>
                <w:color w:val="0000FF"/>
                <w:w w:val="92"/>
              </w:rPr>
              <w:t>[***]</w:t>
            </w:r>
          </w:p>
        </w:tc>
        <w:tc>
          <w:tcPr>
            <w:tcW w:w="1220" w:type="dxa"/>
            <w:vAlign w:val="bottom"/>
            <w:tcBorders>
              <w:right w:val="single" w:sz="8" w:color="auto"/>
            </w:tcBorders>
          </w:tcPr>
          <w:p>
            <w:pPr>
              <w:spacing w:after="0"/>
              <w:rPr>
                <w:sz w:val="14"/>
                <w:szCs w:val="14"/>
                <w:color w:val="auto"/>
              </w:rPr>
            </w:pPr>
          </w:p>
        </w:tc>
        <w:tc>
          <w:tcPr>
            <w:tcW w:w="58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420" w:type="dxa"/>
            <w:vAlign w:val="bottom"/>
            <w:tcBorders>
              <w:left w:val="single" w:sz="8" w:color="auto"/>
              <w:bottom w:val="single" w:sz="8" w:color="auto"/>
              <w:right w:val="single" w:sz="8" w:color="auto"/>
            </w:tcBorders>
            <w:gridSpan w:val="4"/>
            <w:shd w:val="clear" w:color="auto" w:fill="E6E6F9"/>
          </w:tcPr>
          <w:p>
            <w:pPr>
              <w:ind w:left="120"/>
              <w:spacing w:after="0" w:line="170" w:lineRule="exact"/>
              <w:rPr>
                <w:sz w:val="20"/>
                <w:szCs w:val="20"/>
                <w:color w:val="auto"/>
              </w:rPr>
            </w:pPr>
            <w:r>
              <w:rPr>
                <w:rFonts w:ascii="Times New Roman" w:cs="Times New Roman" w:eastAsia="Times New Roman" w:hAnsi="Times New Roman"/>
                <w:sz w:val="18"/>
                <w:szCs w:val="18"/>
                <w:color w:val="0000FF"/>
              </w:rPr>
              <w:t>Oaktree Asset-Backed Income Fund Inc.</w:t>
            </w:r>
          </w:p>
        </w:tc>
        <w:tc>
          <w:tcPr>
            <w:tcW w:w="860" w:type="dxa"/>
            <w:vAlign w:val="bottom"/>
            <w:tcBorders>
              <w:bottom w:val="single" w:sz="8" w:color="auto"/>
            </w:tcBorders>
            <w:gridSpan w:val="3"/>
            <w:shd w:val="clear" w:color="auto" w:fill="E6E6F9"/>
          </w:tcPr>
          <w:p>
            <w:pPr>
              <w:ind w:left="80"/>
              <w:spacing w:after="0" w:line="170" w:lineRule="exact"/>
              <w:rPr>
                <w:sz w:val="20"/>
                <w:szCs w:val="20"/>
                <w:color w:val="auto"/>
              </w:rPr>
            </w:pPr>
            <w:r>
              <w:rPr>
                <w:rFonts w:ascii="Times New Roman" w:cs="Times New Roman" w:eastAsia="Times New Roman" w:hAnsi="Times New Roman"/>
                <w:sz w:val="18"/>
                <w:szCs w:val="18"/>
                <w:color w:val="0000FF"/>
              </w:rPr>
              <w:t>[***]</w:t>
            </w:r>
          </w:p>
        </w:tc>
        <w:tc>
          <w:tcPr>
            <w:tcW w:w="840" w:type="dxa"/>
            <w:vAlign w:val="bottom"/>
            <w:tcBorders>
              <w:bottom w:val="single" w:sz="8" w:color="auto"/>
            </w:tcBorders>
            <w:shd w:val="clear" w:color="auto" w:fill="E6E6F9"/>
          </w:tcPr>
          <w:p>
            <w:pPr>
              <w:spacing w:after="0"/>
              <w:rPr>
                <w:sz w:val="18"/>
                <w:szCs w:val="18"/>
                <w:color w:val="auto"/>
              </w:rPr>
            </w:pPr>
          </w:p>
        </w:tc>
        <w:tc>
          <w:tcPr>
            <w:tcW w:w="1220" w:type="dxa"/>
            <w:vAlign w:val="bottom"/>
            <w:tcBorders>
              <w:bottom w:val="single" w:sz="8" w:color="auto"/>
              <w:right w:val="single" w:sz="8" w:color="auto"/>
            </w:tcBorders>
            <w:shd w:val="clear" w:color="auto" w:fill="E6E6F9"/>
          </w:tcPr>
          <w:p>
            <w:pPr>
              <w:spacing w:after="0"/>
              <w:rPr>
                <w:sz w:val="18"/>
                <w:szCs w:val="18"/>
                <w:color w:val="auto"/>
              </w:rPr>
            </w:pPr>
          </w:p>
        </w:tc>
        <w:tc>
          <w:tcPr>
            <w:tcW w:w="580" w:type="dxa"/>
            <w:vAlign w:val="bottom"/>
            <w:tcBorders>
              <w:bottom w:val="single" w:sz="8" w:color="auto"/>
            </w:tcBorders>
            <w:gridSpan w:val="4"/>
            <w:shd w:val="clear" w:color="auto" w:fill="E6E6F9"/>
          </w:tcPr>
          <w:p>
            <w:pPr>
              <w:jc w:val="right"/>
              <w:spacing w:after="0" w:line="170"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p>
        </w:tc>
        <w:tc>
          <w:tcPr>
            <w:tcW w:w="360" w:type="dxa"/>
            <w:vAlign w:val="bottom"/>
            <w:tcBorders>
              <w:bottom w:val="single" w:sz="8" w:color="auto"/>
            </w:tcBorders>
            <w:shd w:val="clear" w:color="auto" w:fill="E6E6F9"/>
          </w:tcPr>
          <w:p>
            <w:pPr>
              <w:spacing w:after="0"/>
              <w:rPr>
                <w:sz w:val="18"/>
                <w:szCs w:val="18"/>
                <w:color w:val="auto"/>
              </w:rPr>
            </w:pPr>
          </w:p>
        </w:tc>
        <w:tc>
          <w:tcPr>
            <w:tcW w:w="720" w:type="dxa"/>
            <w:vAlign w:val="bottom"/>
            <w:tcBorders>
              <w:bottom w:val="single" w:sz="8" w:color="auto"/>
            </w:tcBorders>
            <w:shd w:val="clear" w:color="auto" w:fill="E6E6F9"/>
          </w:tcPr>
          <w:p>
            <w:pPr>
              <w:spacing w:after="0"/>
              <w:rPr>
                <w:sz w:val="18"/>
                <w:szCs w:val="18"/>
                <w:color w:val="auto"/>
              </w:rPr>
            </w:pPr>
          </w:p>
        </w:tc>
        <w:tc>
          <w:tcPr>
            <w:tcW w:w="1240" w:type="dxa"/>
            <w:vAlign w:val="bottom"/>
            <w:tcBorders>
              <w:bottom w:val="single" w:sz="8" w:color="auto"/>
              <w:right w:val="single" w:sz="8" w:color="auto"/>
            </w:tcBorders>
            <w:shd w:val="clear" w:color="auto" w:fill="E6E6F9"/>
          </w:tcPr>
          <w:p>
            <w:pPr>
              <w:spacing w:after="0"/>
              <w:rPr>
                <w:sz w:val="18"/>
                <w:szCs w:val="18"/>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800" w:type="dxa"/>
            <w:vAlign w:val="bottom"/>
            <w:tcBorders>
              <w:right w:val="single" w:sz="8" w:color="auto"/>
            </w:tcBorders>
            <w:gridSpan w:val="2"/>
          </w:tcPr>
          <w:p>
            <w:pPr>
              <w:ind w:left="140"/>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tcPr>
          <w:p>
            <w:pPr>
              <w:ind w:left="80"/>
              <w:spacing w:after="0" w:line="17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8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FF0000"/>
                <w:strike w:val="1"/>
                <w:w w:val="92"/>
              </w:rPr>
              <w:t>[***]</w:t>
            </w:r>
          </w:p>
        </w:tc>
        <w:tc>
          <w:tcPr>
            <w:tcW w:w="1100" w:type="dxa"/>
            <w:vAlign w:val="bottom"/>
            <w:gridSpan w:val="3"/>
          </w:tcPr>
          <w:p>
            <w:pPr>
              <w:jc w:val="right"/>
              <w:ind w:right="720"/>
              <w:spacing w:after="0" w:line="170" w:lineRule="exact"/>
              <w:rPr>
                <w:sz w:val="20"/>
                <w:szCs w:val="20"/>
                <w:color w:val="auto"/>
              </w:rPr>
            </w:pPr>
            <w:r>
              <w:rPr>
                <w:rFonts w:ascii="Times New Roman" w:cs="Times New Roman" w:eastAsia="Times New Roman" w:hAnsi="Times New Roman"/>
                <w:sz w:val="18"/>
                <w:szCs w:val="18"/>
                <w:color w:val="0000FF"/>
                <w:w w:val="92"/>
              </w:rPr>
              <w:t>[***]</w:t>
            </w:r>
          </w:p>
        </w:tc>
        <w:tc>
          <w:tcPr>
            <w:tcW w:w="1240" w:type="dxa"/>
            <w:vAlign w:val="bottom"/>
            <w:tcBorders>
              <w:right w:val="single" w:sz="8" w:color="auto"/>
            </w:tcBorders>
          </w:tcPr>
          <w:p>
            <w:pPr>
              <w:spacing w:after="0"/>
              <w:rPr>
                <w:sz w:val="14"/>
                <w:szCs w:val="14"/>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4692"/>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205" w:name="page206"/>
    <w:bookmarkEnd w:id="205"/>
    <w:p>
      <w:pPr>
        <w:spacing w:after="0"/>
        <w:tabs>
          <w:tab w:leader="none" w:pos="2800" w:val="left"/>
        </w:tabs>
        <w:rPr>
          <w:sz w:val="20"/>
          <w:szCs w:val="20"/>
          <w:color w:val="auto"/>
        </w:rPr>
      </w:pPr>
      <w:r>
        <w:rPr>
          <w:rFonts w:ascii="Times New Roman" w:cs="Times New Roman" w:eastAsia="Times New Roman" w:hAnsi="Times New Roman"/>
          <w:sz w:val="18"/>
          <w:szCs w:val="18"/>
          <w:color w:val="auto"/>
        </w:rPr>
        <w:t>Class B Funding Agent:</w:t>
      </w:r>
      <w:r>
        <w:rPr>
          <w:sz w:val="20"/>
          <w:szCs w:val="20"/>
          <w:color w:val="auto"/>
        </w:rPr>
        <w:tab/>
      </w:r>
      <w:r>
        <w:rPr>
          <w:rFonts w:ascii="Times New Roman" w:cs="Times New Roman" w:eastAsia="Times New Roman" w:hAnsi="Times New Roman"/>
          <w:sz w:val="17"/>
          <w:szCs w:val="17"/>
          <w:color w:val="auto"/>
        </w:rPr>
        <w:t>ABF Auto Holdings 2024-1,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Wiring Instructions for Payments to Class B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ABF Auto Holdings 2024-1,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Oaktree Diversified Income Fund</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2691765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206" w:name="page207"/>
    <w:bookmarkEnd w:id="206"/>
    <w:p>
      <w:pPr>
        <w:jc w:val="center"/>
        <w:ind w:right="-1120"/>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8"/>
          <w:szCs w:val="18"/>
          <w:u w:val="single" w:color="auto"/>
          <w:color w:val="auto"/>
        </w:rPr>
        <w:t>LITIGATION THRESHOLDS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litigation,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3926205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07" w:name="page208"/>
    <w:bookmarkEnd w:id="20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08" w:name="page209"/>
    <w:bookmarkEnd w:id="20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September 30, 2026,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1)"/>
      <w:numFmt w:val="decimal"/>
      <w:start w:val="1"/>
    </w:lvl>
  </w:abstractNum>
  <w:abstractNum w:abstractNumId="3">
    <w:nsid w:val="43F18422"/>
    <w:multiLevelType w:val="hybridMultilevel"/>
    <w:lvl w:ilvl="0">
      <w:lvlJc w:val="left"/>
      <w:lvlText w:val="(%1)"/>
      <w:numFmt w:val="decimal"/>
      <w:start w:val="2"/>
    </w:lvl>
  </w:abstractNum>
  <w:abstractNum w:abstractNumId="4">
    <w:nsid w:val="60EF0119"/>
    <w:multiLevelType w:val="hybridMultilevel"/>
    <w:lvl w:ilvl="0">
      <w:lvlJc w:val="left"/>
      <w:lvlText w:val="(%1)"/>
      <w:numFmt w:val="decimal"/>
      <w:start w:val="3"/>
    </w:lvl>
  </w:abstractNum>
  <w:abstractNum w:abstractNumId="5">
    <w:nsid w:val="26F324BA"/>
    <w:multiLevelType w:val="hybridMultilevel"/>
    <w:lvl w:ilvl="0">
      <w:lvlJc w:val="left"/>
      <w:lvlText w:val="(%1)"/>
      <w:numFmt w:val="decimal"/>
      <w:start w:val="1"/>
    </w:lvl>
  </w:abstractNum>
  <w:abstractNum w:abstractNumId="6">
    <w:nsid w:val="7F01579B"/>
    <w:multiLevelType w:val="hybridMultilevel"/>
    <w:lvl w:ilvl="0">
      <w:lvlJc w:val="left"/>
      <w:lvlText w:val="(%1)"/>
      <w:numFmt w:val="decimal"/>
      <w:start w:val="4"/>
    </w:lvl>
  </w:abstractNum>
  <w:abstractNum w:abstractNumId="7">
    <w:nsid w:val="49DA307D"/>
    <w:multiLevelType w:val="hybridMultilevel"/>
    <w:lvl w:ilvl="0">
      <w:lvlJc w:val="left"/>
      <w:lvlText w:val="(%1)"/>
      <w:numFmt w:val="decimal"/>
      <w:start w:val="6"/>
    </w:lvl>
  </w:abstractNum>
  <w:abstractNum w:abstractNumId="8">
    <w:nsid w:val="7055A5F5"/>
    <w:multiLevelType w:val="hybridMultilevel"/>
    <w:lvl w:ilvl="0">
      <w:lvlJc w:val="left"/>
      <w:lvlText w:val="(%1)"/>
      <w:numFmt w:val="decimal"/>
      <w:start w:val="7"/>
    </w:lvl>
  </w:abstractNum>
  <w:abstractNum w:abstractNumId="9">
    <w:nsid w:val="5FB8370B"/>
    <w:multiLevelType w:val="hybridMultilevel"/>
    <w:lvl w:ilvl="0">
      <w:lvlJc w:val="left"/>
      <w:lvlText w:val="(%1)"/>
      <w:numFmt w:val="decimal"/>
      <w:start w:val="8"/>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1)"/>
      <w:numFmt w:val="decimal"/>
      <w:start w:val="1"/>
    </w:lvl>
  </w:abstractNum>
  <w:abstractNum w:abstractNumId="13">
    <w:nsid w:val="6AA78F7F"/>
    <w:multiLevelType w:val="hybridMultilevel"/>
    <w:lvl w:ilvl="0">
      <w:lvlJc w:val="left"/>
      <w:lvlText w:val="(%1)"/>
      <w:numFmt w:val="decimal"/>
      <w:start w:val="1"/>
    </w:lvl>
  </w:abstractNum>
  <w:abstractNum w:abstractNumId="14">
    <w:nsid w:val="7672BD23"/>
    <w:multiLevelType w:val="hybridMultilevel"/>
    <w:lvl w:ilvl="0">
      <w:lvlJc w:val="left"/>
      <w:lvlText w:val="(%1)"/>
      <w:numFmt w:val="decimal"/>
      <w:start w:val="1"/>
    </w:lvl>
  </w:abstractNum>
  <w:abstractNum w:abstractNumId="15">
    <w:nsid w:val="6FC75AF8"/>
    <w:multiLevelType w:val="hybridMultilevel"/>
    <w:lvl w:ilvl="0">
      <w:lvlJc w:val="left"/>
      <w:lvlText w:val="(%1)"/>
      <w:numFmt w:val="decimal"/>
      <w:start w:val="2"/>
    </w:lvl>
  </w:abstractNum>
  <w:abstractNum w:abstractNumId="16">
    <w:nsid w:val="6A5F7029"/>
    <w:multiLevelType w:val="hybridMultilevel"/>
    <w:lvl w:ilvl="0">
      <w:lvlJc w:val="left"/>
      <w:lvlText w:val="(%1)"/>
      <w:numFmt w:val="decimal"/>
      <w:start w:val="1"/>
    </w:lvl>
  </w:abstractNum>
  <w:abstractNum w:abstractNumId="17">
    <w:nsid w:val="7D5E18F8"/>
    <w:multiLevelType w:val="hybridMultilevel"/>
    <w:lvl w:ilvl="0">
      <w:lvlJc w:val="left"/>
      <w:lvlText w:val="(%1)"/>
      <w:numFmt w:val="decimal"/>
      <w:start w:val="2"/>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1)"/>
      <w:numFmt w:val="decimal"/>
      <w:start w:val="1"/>
    </w:lvl>
  </w:abstractNum>
  <w:abstractNum w:abstractNumId="20">
    <w:nsid w:val="7DE67713"/>
    <w:multiLevelType w:val="hybridMultilevel"/>
    <w:lvl w:ilvl="0">
      <w:lvlJc w:val="left"/>
      <w:lvlText w:val="%1"/>
      <w:numFmt w:val="decimal"/>
      <w:start w:val="32"/>
    </w:lvl>
  </w:abstractNum>
  <w:abstractNum w:abstractNumId="21">
    <w:nsid w:val="555C55B5"/>
    <w:multiLevelType w:val="hybridMultilevel"/>
    <w:lvl w:ilvl="0">
      <w:lvlJc w:val="left"/>
      <w:lvlText w:val="%1"/>
      <w:numFmt w:val="decimal"/>
      <w:start w:val="104"/>
    </w:lvl>
    <w:lvl w:ilvl="1">
      <w:lvlJc w:val="left"/>
      <w:lvlText w:val="*"/>
      <w:numFmt w:val="bullet"/>
      <w:start w:val="1"/>
    </w:lvl>
  </w:abstractNum>
  <w:abstractNum w:abstractNumId="22">
    <w:nsid w:val="3FA62ACA"/>
    <w:multiLevelType w:val="hybridMultilevel"/>
    <w:lvl w:ilvl="0">
      <w:lvlJc w:val="left"/>
      <w:lvlText w:val="%1"/>
      <w:numFmt w:val="decimal"/>
      <w:start w:val="1"/>
    </w:lvl>
    <w:lvl w:ilvl="1">
      <w:lvlJc w:val="left"/>
      <w:lvlText w:val="**"/>
      <w:numFmt w:val="bullet"/>
      <w:start w:val="1"/>
    </w:lvl>
  </w:abstractNum>
  <w:abstractNum w:abstractNumId="23">
    <w:nsid w:val="14FCE74E"/>
    <w:multiLevelType w:val="hybridMultilevel"/>
    <w:lvl w:ilvl="0">
      <w:lvlJc w:val="left"/>
      <w:lvlText w:val="(%1)"/>
      <w:numFmt w:val="lowerLetter"/>
      <w:start w:val="1"/>
    </w:lvl>
  </w:abstractNum>
  <w:abstractNum w:abstractNumId="24">
    <w:nsid w:val="6A3DD3E8"/>
    <w:multiLevelType w:val="hybridMultilevel"/>
    <w:lvl w:ilvl="0">
      <w:lvlJc w:val="left"/>
      <w:lvlText w:val="(%1)"/>
      <w:numFmt w:val="lowerLetter"/>
      <w:start w:val="1"/>
    </w:lvl>
    <w:lvl w:ilvl="1">
      <w:lvlJc w:val="left"/>
      <w:lvlText w:val="(%2)"/>
      <w:numFmt w:val="lowerRoman"/>
      <w:start w:val="1"/>
    </w:lvl>
  </w:abstractNum>
  <w:abstractNum w:abstractNumId="25">
    <w:nsid w:val="71C91298"/>
    <w:multiLevelType w:val="hybridMultilevel"/>
    <w:lvl w:ilvl="0">
      <w:lvlJc w:val="left"/>
      <w:lvlText w:val="(%1)"/>
      <w:numFmt w:val="lowerLetter"/>
      <w:start w:val="1"/>
    </w:lvl>
  </w:abstractNum>
  <w:abstractNum w:abstractNumId="26">
    <w:nsid w:val="9DAF632"/>
    <w:multiLevelType w:val="hybridMultilevel"/>
    <w:lvl w:ilvl="0">
      <w:lvlJc w:val="left"/>
      <w:lvlText w:val="%1"/>
      <w:numFmt w:val="upperLetter"/>
      <w:start w:val="1"/>
    </w:lvl>
    <w:lvl w:ilvl="1">
      <w:lvlJc w:val="left"/>
      <w:lvlText w:val="(%2)"/>
      <w:numFmt w:val="lowerLetter"/>
      <w:start w:val="6"/>
    </w:lvl>
  </w:abstractNum>
  <w:abstractNum w:abstractNumId="27">
    <w:nsid w:val="53299938"/>
    <w:multiLevelType w:val="hybridMultilevel"/>
    <w:lvl w:ilvl="0">
      <w:lvlJc w:val="left"/>
      <w:lvlText w:val="(%1)"/>
      <w:numFmt w:val="upperLetter"/>
      <w:start w:val="1"/>
    </w:lvl>
    <w:lvl w:ilvl="1">
      <w:lvlJc w:val="left"/>
      <w:lvlText w:val="(%2)"/>
      <w:numFmt w:val="lowerLetter"/>
      <w:start w:val="7"/>
    </w:lvl>
  </w:abstractNum>
  <w:abstractNum w:abstractNumId="28">
    <w:nsid w:val="1FBFE8E0"/>
    <w:multiLevelType w:val="hybridMultilevel"/>
    <w:lvl w:ilvl="0">
      <w:lvlJc w:val="left"/>
      <w:lvlText w:val="(%1)"/>
      <w:numFmt w:val="lowerLetter"/>
      <w:start w:val="1"/>
    </w:lvl>
    <w:lvl w:ilvl="1">
      <w:lvlJc w:val="left"/>
      <w:lvlText w:val="(%2)"/>
      <w:numFmt w:val="lowerRoman"/>
      <w:start w:val="1"/>
    </w:lvl>
  </w:abstractNum>
  <w:abstractNum w:abstractNumId="29">
    <w:nsid w:val="5092CA79"/>
    <w:multiLevelType w:val="hybridMultilevel"/>
    <w:lvl w:ilvl="0">
      <w:lvlJc w:val="left"/>
      <w:lvlText w:val="%1"/>
      <w:numFmt w:val="upperLetter"/>
      <w:start w:val="1"/>
    </w:lvl>
    <w:lvl w:ilvl="1">
      <w:lvlJc w:val="left"/>
      <w:lvlText w:val="(%2)"/>
      <w:numFmt w:val="lowerRoman"/>
      <w:start w:val="5"/>
    </w:lvl>
  </w:abstractNum>
  <w:abstractNum w:abstractNumId="30">
    <w:nsid w:val="1D545C4D"/>
    <w:multiLevelType w:val="hybridMultilevel"/>
    <w:lvl w:ilvl="0">
      <w:lvlJc w:val="left"/>
      <w:lvlText w:val="(%1)"/>
      <w:numFmt w:val="upperLetter"/>
      <w:start w:val="3"/>
    </w:lvl>
    <w:lvl w:ilvl="1">
      <w:lvlJc w:val="left"/>
      <w:lvlText w:val="(%2)"/>
      <w:numFmt w:val="lowerRoman"/>
      <w:start w:val="7"/>
    </w:lvl>
  </w:abstractNum>
  <w:abstractNum w:abstractNumId="31">
    <w:nsid w:val="59ADEA3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
    <w:nsid w:val="288F1A34"/>
    <w:multiLevelType w:val="hybridMultilevel"/>
    <w:lvl w:ilvl="0">
      <w:lvlJc w:val="left"/>
      <w:lvlText w:val="(%1)"/>
      <w:numFmt w:val="lowerRoman"/>
      <w:start w:val="3"/>
    </w:lvl>
  </w:abstractNum>
  <w:abstractNum w:abstractNumId="33">
    <w:nsid w:val="2A155DBC"/>
    <w:multiLevelType w:val="hybridMultilevel"/>
    <w:lvl w:ilvl="0">
      <w:lvlJc w:val="left"/>
      <w:lvlText w:val="(%1)"/>
      <w:numFmt w:val="lowerRoman"/>
      <w:start w:val="12"/>
    </w:lvl>
  </w:abstractNum>
  <w:abstractNum w:abstractNumId="34">
    <w:nsid w:val="1D9F6E5F"/>
    <w:multiLevelType w:val="hybridMultilevel"/>
    <w:lvl w:ilvl="0">
      <w:lvlJc w:val="left"/>
      <w:lvlText w:val="[***]"/>
      <w:numFmt w:val="bullet"/>
      <w:start w:val="1"/>
    </w:lvl>
    <w:lvl w:ilvl="1">
      <w:lvlJc w:val="left"/>
      <w:lvlText w:val="(%2)"/>
      <w:numFmt w:val="lowerRoman"/>
      <w:start w:val="19"/>
    </w:lvl>
  </w:abstractNum>
  <w:abstractNum w:abstractNumId="35">
    <w:nsid w:val="97E1B4E"/>
    <w:multiLevelType w:val="hybridMultilevel"/>
    <w:lvl w:ilvl="0">
      <w:lvlJc w:val="left"/>
      <w:lvlText w:val="[***]"/>
      <w:numFmt w:val="bullet"/>
      <w:start w:val="1"/>
    </w:lvl>
    <w:lvl w:ilvl="1">
      <w:lvlJc w:val="left"/>
      <w:lvlText w:val="(%2)"/>
      <w:numFmt w:val="lowerRoman"/>
      <w:start w:val="20"/>
    </w:lvl>
  </w:abstractNum>
  <w:abstractNum w:abstractNumId="36">
    <w:nsid w:val="51088277"/>
    <w:multiLevelType w:val="hybridMultilevel"/>
    <w:lvl w:ilvl="0">
      <w:lvlJc w:val="left"/>
      <w:lvlText w:val="(%1)"/>
      <w:numFmt w:val="lowerRoman"/>
      <w:start w:val="29"/>
    </w:lvl>
  </w:abstractNum>
  <w:abstractNum w:abstractNumId="37">
    <w:nsid w:val="1CA0C5FA"/>
    <w:multiLevelType w:val="hybridMultilevel"/>
    <w:lvl w:ilvl="0">
      <w:lvlJc w:val="left"/>
      <w:lvlText w:val="(%1)"/>
      <w:numFmt w:val="upperLetter"/>
      <w:start w:val="5"/>
    </w:lvl>
  </w:abstractNum>
  <w:abstractNum w:abstractNumId="38">
    <w:nsid w:val="53584BCB"/>
    <w:multiLevelType w:val="hybridMultilevel"/>
    <w:lvl w:ilvl="0">
      <w:lvlJc w:val="left"/>
      <w:lvlText w:val="(%1)"/>
      <w:numFmt w:val="lowerLetter"/>
      <w:start w:val="3"/>
    </w:lvl>
  </w:abstractNum>
  <w:abstractNum w:abstractNumId="39">
    <w:nsid w:val="415E286C"/>
    <w:multiLevelType w:val="hybridMultilevel"/>
    <w:lvl w:ilvl="0">
      <w:lvlJc w:val="left"/>
      <w:lvlText w:val="(%1)"/>
      <w:numFmt w:val="lowerLetter"/>
      <w:start w:val="1"/>
    </w:lvl>
  </w:abstractNum>
  <w:abstractNum w:abstractNumId="40">
    <w:nsid w:val="7C58FD05"/>
    <w:multiLevelType w:val="hybridMultilevel"/>
    <w:lvl w:ilvl="0">
      <w:lvlJc w:val="left"/>
      <w:lvlText w:val="(%1)"/>
      <w:numFmt w:val="lowerLetter"/>
      <w:start w:val="3"/>
    </w:lvl>
    <w:lvl w:ilvl="1">
      <w:lvlJc w:val="left"/>
      <w:lvlText w:val="(%2)"/>
      <w:numFmt w:val="lowerRoman"/>
      <w:start w:val="1"/>
    </w:lvl>
  </w:abstractNum>
  <w:abstractNum w:abstractNumId="41">
    <w:nsid w:val="23D86AAC"/>
    <w:multiLevelType w:val="hybridMultilevel"/>
    <w:lvl w:ilvl="0">
      <w:lvlJc w:val="left"/>
      <w:lvlText w:val="(%1)"/>
      <w:numFmt w:val="lowerLetter"/>
      <w:start w:val="1"/>
    </w:lvl>
  </w:abstractNum>
  <w:abstractNum w:abstractNumId="42">
    <w:nsid w:val="45E6D486"/>
    <w:multiLevelType w:val="hybridMultilevel"/>
    <w:lvl w:ilvl="0">
      <w:lvlJc w:val="left"/>
      <w:lvlText w:val="(%1)"/>
      <w:numFmt w:val="lowerLetter"/>
      <w:start w:val="1"/>
    </w:lvl>
  </w:abstractNum>
  <w:abstractNum w:abstractNumId="43">
    <w:nsid w:val="5C10FE21"/>
    <w:multiLevelType w:val="hybridMultilevel"/>
    <w:lvl w:ilvl="0">
      <w:lvlJc w:val="left"/>
      <w:lvlText w:val="(%1)"/>
      <w:numFmt w:val="lowerLetter"/>
      <w:start w:val="6"/>
    </w:lvl>
  </w:abstractNum>
  <w:abstractNum w:abstractNumId="44">
    <w:nsid w:val="E7FFA2B"/>
    <w:multiLevelType w:val="hybridMultilevel"/>
    <w:lvl w:ilvl="0">
      <w:lvlJc w:val="left"/>
      <w:lvlText w:val="(%1)"/>
      <w:numFmt w:val="lowerLetter"/>
      <w:start w:val="1"/>
    </w:lvl>
  </w:abstractNum>
  <w:abstractNum w:abstractNumId="45">
    <w:nsid w:val="3C5991AA"/>
    <w:multiLevelType w:val="hybridMultilevel"/>
    <w:lvl w:ilvl="0">
      <w:lvlJc w:val="left"/>
      <w:lvlText w:val="(%1)"/>
      <w:numFmt w:val="decimal"/>
      <w:start w:val="5"/>
    </w:lvl>
  </w:abstractNum>
  <w:abstractNum w:abstractNumId="46">
    <w:nsid w:val="4BD8591A"/>
    <w:multiLevelType w:val="hybridMultilevel"/>
    <w:lvl w:ilvl="0">
      <w:lvlJc w:val="left"/>
      <w:lvlText w:val="%1"/>
      <w:numFmt w:val="lowerLetter"/>
      <w:start w:val="1"/>
    </w:lvl>
    <w:lvl w:ilvl="1">
      <w:lvlJc w:val="left"/>
      <w:lvlText w:val="(%2)"/>
      <w:numFmt w:val="lowerLetter"/>
      <w:start w:val="1"/>
    </w:lvl>
  </w:abstractNum>
  <w:abstractNum w:abstractNumId="47">
    <w:nsid w:val="78DF6A55"/>
    <w:multiLevelType w:val="hybridMultilevel"/>
    <w:lvl w:ilvl="0">
      <w:lvlJc w:val="left"/>
      <w:lvlText w:val="(%1)"/>
      <w:numFmt w:val="lowerLetter"/>
      <w:start w:val="9"/>
    </w:lvl>
    <w:lvl w:ilvl="1">
      <w:lvlJc w:val="left"/>
      <w:lvlText w:val="(%2)"/>
      <w:numFmt w:val="lowerLetter"/>
      <w:start w:val="2"/>
    </w:lvl>
  </w:abstractNum>
  <w:abstractNum w:abstractNumId="48">
    <w:nsid w:val="39B7AAA2"/>
    <w:multiLevelType w:val="hybridMultilevel"/>
    <w:lvl w:ilvl="0">
      <w:lvlJc w:val="left"/>
      <w:lvlText w:val="(%1)"/>
      <w:numFmt w:val="lowerLetter"/>
      <w:start w:val="1"/>
    </w:lvl>
  </w:abstractNum>
  <w:abstractNum w:abstractNumId="49">
    <w:nsid w:val="2B0D8DBE"/>
    <w:multiLevelType w:val="hybridMultilevel"/>
    <w:lvl w:ilvl="0">
      <w:lvlJc w:val="left"/>
      <w:lvlText w:val="(%1)"/>
      <w:numFmt w:val="lowerRoman"/>
      <w:start w:val="2"/>
    </w:lvl>
  </w:abstractNum>
  <w:abstractNum w:abstractNumId="50">
    <w:nsid w:val="6C80EC70"/>
    <w:multiLevelType w:val="hybridMultilevel"/>
    <w:lvl w:ilvl="0">
      <w:lvlJc w:val="left"/>
      <w:lvlText w:val="(%1)"/>
      <w:numFmt w:val="lowerRoman"/>
      <w:start w:val="3"/>
    </w:lvl>
  </w:abstractNum>
  <w:abstractNum w:abstractNumId="51">
    <w:nsid w:val="379E21B5"/>
    <w:multiLevelType w:val="hybridMultilevel"/>
    <w:lvl w:ilvl="0">
      <w:lvlJc w:val="left"/>
      <w:lvlText w:val="(%1)"/>
      <w:numFmt w:val="upperLetter"/>
      <w:start w:val="35"/>
    </w:lvl>
  </w:abstractNum>
  <w:abstractNum w:abstractNumId="52">
    <w:nsid w:val="69E373"/>
    <w:multiLevelType w:val="hybridMultilevel"/>
    <w:lvl w:ilvl="0">
      <w:lvlJc w:val="left"/>
      <w:lvlText w:val="%1."/>
      <w:numFmt w:val="decimal"/>
      <w:start w:val="1"/>
    </w:lvl>
  </w:abstractNum>
  <w:abstractNum w:abstractNumId="53">
    <w:nsid w:val="2C27173B"/>
    <w:multiLevelType w:val="hybridMultilevel"/>
    <w:lvl w:ilvl="0">
      <w:lvlJc w:val="left"/>
      <w:lvlText w:val="%1."/>
      <w:numFmt w:val="decimal"/>
      <w:start w:val="3"/>
    </w:lvl>
  </w:abstractNum>
  <w:abstractNum w:abstractNumId="54">
    <w:nsid w:val="4C9B0904"/>
    <w:multiLevelType w:val="hybridMultilevel"/>
    <w:lvl w:ilvl="0">
      <w:lvlJc w:val="left"/>
      <w:lvlText w:val="%1."/>
      <w:numFmt w:val="decimal"/>
      <w:start w:val="4"/>
    </w:lvl>
  </w:abstractNum>
  <w:abstractNum w:abstractNumId="55">
    <w:nsid w:val="6AA7B75C"/>
    <w:multiLevelType w:val="hybridMultilevel"/>
    <w:lvl w:ilvl="0">
      <w:lvlJc w:val="left"/>
      <w:lvlText w:val="(%1)"/>
      <w:numFmt w:val="lowerLetter"/>
      <w:start w:val="1"/>
    </w:lvl>
  </w:abstractNum>
  <w:abstractNum w:abstractNumId="56">
    <w:nsid w:val="1DF029D3"/>
    <w:multiLevelType w:val="hybridMultilevel"/>
    <w:lvl w:ilvl="0">
      <w:lvlJc w:val="left"/>
      <w:lvlText w:val="%1."/>
      <w:numFmt w:val="decimal"/>
      <w:start w:val="7"/>
    </w:lvl>
  </w:abstractNum>
  <w:abstractNum w:abstractNumId="57">
    <w:nsid w:val="5675FF36"/>
    <w:multiLevelType w:val="hybridMultilevel"/>
    <w:lvl w:ilvl="0">
      <w:lvlJc w:val="left"/>
      <w:lvlText w:val="(%1)"/>
      <w:numFmt w:val="lowerLetter"/>
      <w:start w:val="1"/>
    </w:lvl>
  </w:abstractNum>
  <w:abstractNum w:abstractNumId="58">
    <w:nsid w:val="3DD15094"/>
    <w:multiLevelType w:val="hybridMultilevel"/>
    <w:lvl w:ilvl="0">
      <w:lvlJc w:val="left"/>
      <w:lvlText w:val="(%1)"/>
      <w:numFmt w:val="lowerLetter"/>
      <w:start w:val="7"/>
    </w:lvl>
  </w:abstractNum>
  <w:abstractNum w:abstractNumId="59">
    <w:nsid w:val="3DB012B3"/>
    <w:multiLevelType w:val="hybridMultilevel"/>
    <w:lvl w:ilvl="0">
      <w:lvlJc w:val="left"/>
      <w:lvlText w:val="%1."/>
      <w:numFmt w:val="decimal"/>
      <w:start w:val="8"/>
    </w:lvl>
  </w:abstractNum>
  <w:abstractNum w:abstractNumId="60">
    <w:nsid w:val="2708C9AF"/>
    <w:multiLevelType w:val="hybridMultilevel"/>
    <w:lvl w:ilvl="0">
      <w:lvlJc w:val="left"/>
      <w:lvlText w:val="(%1)"/>
      <w:numFmt w:val="lowerLetter"/>
      <w:start w:val="1"/>
    </w:lvl>
  </w:abstractNum>
  <w:abstractNum w:abstractNumId="61">
    <w:nsid w:val="5B25ACE2"/>
    <w:multiLevelType w:val="hybridMultilevel"/>
    <w:lvl w:ilvl="0">
      <w:lvlJc w:val="left"/>
      <w:lvlText w:val="%1"/>
      <w:numFmt w:val="decimal"/>
      <w:start w:val="1"/>
    </w:lvl>
    <w:lvl w:ilvl="1">
      <w:lvlJc w:val="left"/>
      <w:lvlText w:val="(%2)"/>
      <w:numFmt w:val="lowerLetter"/>
      <w:start w:val="7"/>
    </w:lvl>
  </w:abstractNum>
  <w:abstractNum w:abstractNumId="62">
    <w:nsid w:val="175DFCF0"/>
    <w:multiLevelType w:val="hybridMultilevel"/>
    <w:lvl w:ilvl="0">
      <w:lvlJc w:val="left"/>
      <w:lvlText w:val="%1."/>
      <w:numFmt w:val="decimal"/>
      <w:start w:val="10"/>
    </w:lvl>
    <w:lvl w:ilvl="1">
      <w:lvlJc w:val="left"/>
      <w:lvlText w:val="%2"/>
      <w:numFmt w:val="lowerLetter"/>
      <w:start w:val="1"/>
    </w:lvl>
  </w:abstractNum>
  <w:abstractNum w:abstractNumId="63">
    <w:nsid w:val="4F97E3E4"/>
    <w:multiLevelType w:val="hybridMultilevel"/>
    <w:lvl w:ilvl="0">
      <w:lvlJc w:val="left"/>
      <w:lvlText w:val="(%1)"/>
      <w:numFmt w:val="lowerRoman"/>
      <w:start w:val="1"/>
    </w:lvl>
  </w:abstractNum>
  <w:abstractNum w:abstractNumId="64">
    <w:nsid w:val="53B0A9E"/>
    <w:multiLevelType w:val="hybridMultilevel"/>
    <w:lvl w:ilvl="0">
      <w:lvlJc w:val="left"/>
      <w:lvlText w:val="(%1)"/>
      <w:numFmt w:val="lowerLetter"/>
      <w:start w:val="1"/>
    </w:lvl>
  </w:abstractNum>
  <w:abstractNum w:abstractNumId="65">
    <w:nsid w:val="34FD6B4F"/>
    <w:multiLevelType w:val="hybridMultilevel"/>
    <w:lvl w:ilvl="0">
      <w:lvlJc w:val="left"/>
      <w:lvlText w:val="(%1)"/>
      <w:numFmt w:val="lowerLetter"/>
      <w:start w:val="1"/>
    </w:lvl>
  </w:abstractNum>
  <w:abstractNum w:abstractNumId="66">
    <w:nsid w:val="5915FF32"/>
    <w:multiLevelType w:val="hybridMultilevel"/>
    <w:lvl w:ilvl="0">
      <w:lvlJc w:val="left"/>
      <w:lvlText w:val="(%1)"/>
      <w:numFmt w:val="lowerRoman"/>
      <w:start w:val="10"/>
    </w:lvl>
  </w:abstractNum>
  <w:abstractNum w:abstractNumId="67">
    <w:nsid w:val="56438D15"/>
    <w:multiLevelType w:val="hybridMultilevel"/>
    <w:lvl w:ilvl="0">
      <w:lvlJc w:val="left"/>
      <w:lvlText w:val="(%1)"/>
      <w:numFmt w:val="lowerLetter"/>
      <w:start w:val="1"/>
    </w:lvl>
  </w:abstractNum>
  <w:abstractNum w:abstractNumId="68">
    <w:nsid w:val="519E3149"/>
    <w:multiLevelType w:val="hybridMultilevel"/>
    <w:lvl w:ilvl="0">
      <w:lvlJc w:val="left"/>
      <w:lvlText w:val="(%1)"/>
      <w:numFmt w:val="lowerRoman"/>
      <w:start w:val="10"/>
    </w:lvl>
  </w:abstractNum>
  <w:abstractNum w:abstractNumId="69">
    <w:nsid w:val="2C6E4AFD"/>
    <w:multiLevelType w:val="hybridMultilevel"/>
    <w:lvl w:ilvl="0">
      <w:lvlJc w:val="left"/>
      <w:lvlText w:val="(%1)"/>
      <w:numFmt w:val="lowerLetter"/>
      <w:start w:val="1"/>
    </w:lvl>
  </w:abstractNum>
  <w:abstractNum w:abstractNumId="70">
    <w:nsid w:val="17A1B582"/>
    <w:multiLevelType w:val="hybridMultilevel"/>
    <w:lvl w:ilvl="0">
      <w:lvlJc w:val="left"/>
      <w:lvlText w:val="(%1)"/>
      <w:numFmt w:val="lowerLetter"/>
      <w:start w:val="2"/>
    </w:lvl>
  </w:abstractNum>
  <w:abstractNum w:abstractNumId="71">
    <w:nsid w:val="4DF72E4E"/>
    <w:multiLevelType w:val="hybridMultilevel"/>
    <w:lvl w:ilvl="0">
      <w:lvlJc w:val="left"/>
      <w:lvlText w:val="(%1)"/>
      <w:numFmt w:val="lowerRoman"/>
      <w:start w:val="1"/>
    </w:lvl>
  </w:abstractNum>
  <w:abstractNum w:abstractNumId="72">
    <w:nsid w:val="5046B5A9"/>
    <w:multiLevelType w:val="hybridMultilevel"/>
    <w:lvl w:ilvl="0">
      <w:lvlJc w:val="left"/>
      <w:lvlText w:val="(%1)"/>
      <w:numFmt w:val="lowerRoman"/>
      <w:start w:val="2"/>
    </w:lvl>
  </w:abstractNum>
  <w:abstractNum w:abstractNumId="73">
    <w:nsid w:val="5D888A08"/>
    <w:multiLevelType w:val="hybridMultilevel"/>
    <w:lvl w:ilvl="0">
      <w:lvlJc w:val="left"/>
      <w:lvlText w:val="[***]"/>
      <w:numFmt w:val="bullet"/>
      <w:start w:val="1"/>
    </w:lvl>
  </w:abstractNum>
  <w:abstractNum w:abstractNumId="74">
    <w:nsid w:val="2A082C70"/>
    <w:multiLevelType w:val="hybridMultilevel"/>
    <w:lvl w:ilvl="0">
      <w:lvlJc w:val="left"/>
      <w:lvlText w:val="(%1)"/>
      <w:numFmt w:val="lowerLetter"/>
      <w:start w:val="1"/>
    </w:lvl>
    <w:lvl w:ilvl="1">
      <w:lvlJc w:val="left"/>
      <w:lvlText w:val="(%2)"/>
      <w:numFmt w:val="lowerRoman"/>
      <w:start w:val="1"/>
    </w:lvl>
  </w:abstractNum>
  <w:abstractNum w:abstractNumId="75">
    <w:nsid w:val="5EC6AFD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76">
    <w:nsid w:val="19E21BB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7">
    <w:nsid w:val="75E0858A"/>
    <w:multiLevelType w:val="hybridMultilevel"/>
    <w:lvl w:ilvl="0">
      <w:lvlJc w:val="left"/>
      <w:lvlText w:val="(%1)"/>
      <w:numFmt w:val="lowerLetter"/>
      <w:start w:val="5"/>
    </w:lvl>
  </w:abstractNum>
  <w:abstractNum w:abstractNumId="78">
    <w:nsid w:val="57A61A2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79">
    <w:nsid w:val="5399C65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80">
    <w:nsid w:val="20EE1348"/>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81">
    <w:nsid w:val="4427069A"/>
    <w:multiLevelType w:val="hybridMultilevel"/>
    <w:lvl w:ilvl="0">
      <w:lvlJc w:val="left"/>
      <w:lvlText w:val="(%1)"/>
      <w:numFmt w:val="decimal"/>
      <w:start w:val="1"/>
    </w:lvl>
  </w:abstractNum>
  <w:abstractNum w:abstractNumId="82">
    <w:nsid w:val="B37E80A"/>
    <w:multiLevelType w:val="hybridMultilevel"/>
    <w:lvl w:ilvl="0">
      <w:lvlJc w:val="left"/>
      <w:lvlText w:val="(%1)"/>
      <w:numFmt w:val="lowerRoman"/>
      <w:start w:val="10"/>
    </w:lvl>
  </w:abstractNum>
  <w:abstractNum w:abstractNumId="83">
    <w:nsid w:val="2157F6BC"/>
    <w:multiLevelType w:val="hybridMultilevel"/>
    <w:lvl w:ilvl="0">
      <w:lvlJc w:val="left"/>
      <w:lvlText w:val="(%1)"/>
      <w:numFmt w:val="lowerLetter"/>
      <w:start w:val="1"/>
    </w:lvl>
  </w:abstractNum>
  <w:abstractNum w:abstractNumId="84">
    <w:nsid w:val="704E1DD5"/>
    <w:multiLevelType w:val="hybridMultilevel"/>
    <w:lvl w:ilvl="0">
      <w:lvlJc w:val="left"/>
      <w:lvlText w:val="(%1)"/>
      <w:numFmt w:val="lowerLetter"/>
      <w:start w:val="7"/>
    </w:lvl>
  </w:abstractNum>
  <w:abstractNum w:abstractNumId="85">
    <w:nsid w:val="57D2F10E"/>
    <w:multiLevelType w:val="hybridMultilevel"/>
    <w:lvl w:ilvl="0">
      <w:lvlJc w:val="left"/>
      <w:lvlText w:val="(%1)"/>
      <w:numFmt w:val="lowerRoman"/>
      <w:start w:val="1"/>
    </w:lvl>
  </w:abstractNum>
  <w:abstractNum w:abstractNumId="86">
    <w:nsid w:val="BFFAE18"/>
    <w:multiLevelType w:val="hybridMultilevel"/>
    <w:lvl w:ilvl="0">
      <w:lvlJc w:val="left"/>
      <w:lvlText w:val="(%1)"/>
      <w:numFmt w:val="lowerRoman"/>
      <w:start w:val="2"/>
    </w:lvl>
    <w:lvl w:ilvl="1">
      <w:lvlJc w:val="left"/>
      <w:lvlText w:val="%2."/>
      <w:numFmt w:val="lowerLetter"/>
      <w:start w:val="1"/>
    </w:lvl>
  </w:abstractNum>
  <w:abstractNum w:abstractNumId="87">
    <w:nsid w:val="E3E47A8"/>
    <w:multiLevelType w:val="hybridMultilevel"/>
    <w:lvl w:ilvl="0">
      <w:lvlJc w:val="left"/>
      <w:lvlText w:val="(%1)"/>
      <w:numFmt w:val="lowerLetter"/>
      <w:start w:val="3"/>
    </w:lvl>
  </w:abstractNum>
  <w:abstractNum w:abstractNumId="88">
    <w:nsid w:val="2E48F044"/>
    <w:multiLevelType w:val="hybridMultilevel"/>
    <w:lvl w:ilvl="0">
      <w:lvlJc w:val="left"/>
      <w:lvlText w:val="(%1)"/>
      <w:numFmt w:val="lowerRoman"/>
      <w:start w:val="10"/>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6"/>
    </w:lvl>
  </w:abstractNum>
  <w:abstractNum w:abstractNumId="92">
    <w:nsid w:val="24F6AB8E"/>
    <w:multiLevelType w:val="hybridMultilevel"/>
    <w:lvl w:ilvl="0">
      <w:lvlJc w:val="left"/>
      <w:lvlText w:val="%1"/>
      <w:numFmt w:val="lowerRoman"/>
      <w:start w:val="1"/>
    </w:lvl>
    <w:lvl w:ilvl="1">
      <w:lvlJc w:val="left"/>
      <w:lvlText w:val="(%2)"/>
      <w:numFmt w:val="lowerLetter"/>
      <w:start w:val="1"/>
    </w:lvl>
  </w:abstractNum>
  <w:abstractNum w:abstractNumId="93">
    <w:nsid w:val="634C574C"/>
    <w:multiLevelType w:val="hybridMultilevel"/>
    <w:lvl w:ilvl="0">
      <w:lvlJc w:val="left"/>
      <w:lvlText w:val="(%1)"/>
      <w:numFmt w:val="lowerRoman"/>
      <w:start w:val="4"/>
    </w:lvl>
    <w:lvl w:ilvl="1">
      <w:lvlJc w:val="left"/>
      <w:lvlText w:val="(%2)"/>
      <w:numFmt w:val="lowerLetter"/>
      <w:start w:val="2"/>
    </w:lvl>
  </w:abstractNum>
  <w:abstractNum w:abstractNumId="94">
    <w:nsid w:val="24E99DD7"/>
    <w:multiLevelType w:val="hybridMultilevel"/>
    <w:lvl w:ilvl="0">
      <w:lvlJc w:val="left"/>
      <w:lvlText w:val="(%1)"/>
      <w:numFmt w:val="lowerLetter"/>
      <w:start w:val="3"/>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1"/>
    </w:lvl>
    <w:lvl w:ilvl="1">
      <w:lvlJc w:val="left"/>
      <w:lvlText w:val="(%2)"/>
      <w:numFmt w:val="lowerRoman"/>
      <w:start w:val="1"/>
    </w:lvl>
  </w:abstractNum>
  <w:abstractNum w:abstractNumId="97">
    <w:nsid w:val="7DFF9D09"/>
    <w:multiLevelType w:val="hybridMultilevel"/>
    <w:lvl w:ilvl="0">
      <w:lvlJc w:val="left"/>
      <w:lvlText w:val="(%1)"/>
      <w:numFmt w:val="lowerLetter"/>
      <w:start w:val="4"/>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lowerLetter"/>
      <w:start w:val="3"/>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lowerLetter"/>
      <w:start w:val="1"/>
    </w:lvl>
    <w:lvl w:ilvl="1">
      <w:lvlJc w:val="left"/>
      <w:lvlText w:val="(%2)"/>
      <w:numFmt w:val="lowerRoman"/>
      <w:start w:val="1"/>
    </w:lvl>
  </w:abstractNum>
  <w:abstractNum w:abstractNumId="102">
    <w:nsid w:val="37DF2233"/>
    <w:multiLevelType w:val="hybridMultilevel"/>
    <w:lvl w:ilvl="0">
      <w:lvlJc w:val="left"/>
      <w:lvlText w:val="(%1)"/>
      <w:numFmt w:val="lowerLetter"/>
      <w:start w:val="2"/>
    </w:lvl>
  </w:abstractNum>
  <w:abstractNum w:abstractNumId="103">
    <w:nsid w:val="7AB49DAF"/>
    <w:multiLevelType w:val="hybridMultilevel"/>
    <w:lvl w:ilvl="0">
      <w:lvlJc w:val="left"/>
      <w:lvlText w:val="(%1)"/>
      <w:numFmt w:val="lowerLetter"/>
      <w:start w:val="3"/>
    </w:lvl>
    <w:lvl w:ilvl="1">
      <w:lvlJc w:val="left"/>
      <w:lvlText w:val="(%2)"/>
      <w:numFmt w:val="lowerRoman"/>
      <w:start w:val="1"/>
    </w:lvl>
  </w:abstractNum>
  <w:abstractNum w:abstractNumId="104">
    <w:nsid w:val="759F82CD"/>
    <w:multiLevelType w:val="hybridMultilevel"/>
    <w:lvl w:ilvl="0">
      <w:lvlJc w:val="left"/>
      <w:lvlText w:val="(%1)"/>
      <w:numFmt w:val="lowerLetter"/>
      <w:start w:val="1"/>
    </w:lvl>
    <w:lvl w:ilvl="1">
      <w:lvlJc w:val="left"/>
      <w:lvlText w:val="(%2)"/>
      <w:numFmt w:val="lowerLetter"/>
      <w:start w:val="9"/>
    </w:lvl>
  </w:abstractNum>
  <w:abstractNum w:abstractNumId="105">
    <w:nsid w:val="61E74EA3"/>
    <w:multiLevelType w:val="hybridMultilevel"/>
    <w:lvl w:ilvl="0">
      <w:lvlJc w:val="left"/>
      <w:lvlText w:val="(%1)"/>
      <w:numFmt w:val="lowerRoman"/>
      <w:start w:val="2"/>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3"/>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1"/>
    </w:lvl>
    <w:lvl w:ilvl="1">
      <w:lvlJc w:val="left"/>
      <w:lvlText w:val="(%2)"/>
      <w:numFmt w:val="lowerLetter"/>
      <w:start w:val="1"/>
    </w:lvl>
  </w:abstractNum>
  <w:abstractNum w:abstractNumId="110">
    <w:nsid w:val="631B64D4"/>
    <w:multiLevelType w:val="hybridMultilevel"/>
    <w:lvl w:ilvl="0">
      <w:lvlJc w:val="left"/>
      <w:lvlText w:val="(%1)"/>
      <w:numFmt w:val="lowerLetter"/>
      <w:start w:val="24"/>
    </w:lvl>
    <w:lvl w:ilvl="1">
      <w:lvlJc w:val="left"/>
      <w:lvlText w:val="(%2)"/>
      <w:numFmt w:val="lowerLetter"/>
      <w:start w:val="2"/>
    </w:lvl>
  </w:abstractNum>
  <w:abstractNum w:abstractNumId="111">
    <w:nsid w:val="78B5E776"/>
    <w:multiLevelType w:val="hybridMultilevel"/>
    <w:lvl w:ilvl="0">
      <w:lvlJc w:val="left"/>
      <w:lvlText w:val="(%1)"/>
      <w:numFmt w:val="lowerLetter"/>
      <w:start w:val="1"/>
    </w:lvl>
  </w:abstractNum>
  <w:abstractNum w:abstractNumId="112">
    <w:nsid w:val="75486E47"/>
    <w:multiLevelType w:val="hybridMultilevel"/>
    <w:lvl w:ilvl="0">
      <w:lvlJc w:val="left"/>
      <w:lvlText w:val="(%1)"/>
      <w:numFmt w:val="lowerLetter"/>
      <w:start w:val="2"/>
    </w:lvl>
  </w:abstractNum>
  <w:abstractNum w:abstractNumId="113">
    <w:nsid w:val="6E534CDE"/>
    <w:multiLevelType w:val="hybridMultilevel"/>
    <w:lvl w:ilvl="0">
      <w:lvlJc w:val="left"/>
      <w:lvlText w:val="(%1)"/>
      <w:numFmt w:val="lowerLetter"/>
      <w:start w:val="1"/>
    </w:lvl>
  </w:abstractNum>
  <w:abstractNum w:abstractNumId="114">
    <w:nsid w:val="1A0DDE32"/>
    <w:multiLevelType w:val="hybridMultilevel"/>
    <w:lvl w:ilvl="0">
      <w:lvlJc w:val="left"/>
      <w:lvlText w:val="(%1)"/>
      <w:numFmt w:val="lowerLetter"/>
      <w:start w:val="1"/>
    </w:lvl>
  </w:abstractNum>
  <w:abstractNum w:abstractNumId="115">
    <w:nsid w:val="65968C1C"/>
    <w:multiLevelType w:val="hybridMultilevel"/>
    <w:lvl w:ilvl="0">
      <w:lvlJc w:val="left"/>
      <w:lvlText w:val="(%1)"/>
      <w:numFmt w:val="lowerLetter"/>
      <w:start w:val="2"/>
    </w:lvl>
  </w:abstractNum>
  <w:abstractNum w:abstractNumId="116">
    <w:nsid w:val="46263DEC"/>
    <w:multiLevelType w:val="hybridMultilevel"/>
    <w:lvl w:ilvl="0">
      <w:lvlJc w:val="left"/>
      <w:lvlText w:val="(%1)"/>
      <w:numFmt w:val="lowerLetter"/>
      <w:start w:val="1"/>
    </w:lvl>
  </w:abstractNum>
  <w:abstractNum w:abstractNumId="117">
    <w:nsid w:val="260D8C4A"/>
    <w:multiLevelType w:val="hybridMultilevel"/>
    <w:lvl w:ilvl="0">
      <w:lvlJc w:val="left"/>
      <w:lvlText w:val="(%1)"/>
      <w:numFmt w:val="lowerLetter"/>
      <w:start w:val="4"/>
    </w:lvl>
    <w:lvl w:ilvl="1">
      <w:lvlJc w:val="left"/>
      <w:lvlText w:val="(%2)"/>
      <w:numFmt w:val="lowerLetter"/>
      <w:start w:val="9"/>
    </w:lvl>
  </w:abstractNum>
  <w:abstractNum w:abstractNumId="118">
    <w:nsid w:val="73D4D3C4"/>
    <w:multiLevelType w:val="hybridMultilevel"/>
    <w:lvl w:ilvl="0">
      <w:lvlJc w:val="left"/>
      <w:lvlText w:val="%1"/>
      <w:numFmt w:val="lowerLetter"/>
      <w:start w:val="1"/>
    </w:lvl>
    <w:lvl w:ilvl="1">
      <w:lvlJc w:val="left"/>
      <w:lvlText w:val="(%2)"/>
      <w:numFmt w:val="lowerRoman"/>
      <w:start w:val="2"/>
    </w:lvl>
  </w:abstractNum>
  <w:abstractNum w:abstractNumId="119">
    <w:nsid w:val="746F2E30"/>
    <w:multiLevelType w:val="hybridMultilevel"/>
    <w:lvl w:ilvl="0">
      <w:lvlJc w:val="left"/>
      <w:lvlText w:val="(%1)"/>
      <w:numFmt w:val="lowerLetter"/>
      <w:start w:val="7"/>
    </w:lvl>
    <w:lvl w:ilvl="1">
      <w:lvlJc w:val="left"/>
      <w:lvlText w:val="%2"/>
      <w:numFmt w:val="lowerRoman"/>
      <w:start w:val="1"/>
    </w:lvl>
  </w:abstractNum>
  <w:abstractNum w:abstractNumId="120">
    <w:nsid w:val="6FDE8AF6"/>
    <w:multiLevelType w:val="hybridMultilevel"/>
    <w:lvl w:ilvl="0">
      <w:lvlJc w:val="left"/>
      <w:lvlText w:val="(%1)"/>
      <w:numFmt w:val="lowerLetter"/>
      <w:start w:val="9"/>
    </w:lvl>
  </w:abstractNum>
  <w:abstractNum w:abstractNumId="121">
    <w:nsid w:val="3FC32E20"/>
    <w:multiLevelType w:val="hybridMultilevel"/>
    <w:lvl w:ilvl="0">
      <w:lvlJc w:val="left"/>
      <w:lvlText w:val="(%1)"/>
      <w:numFmt w:val="lowerLetter"/>
      <w:start w:val="15"/>
    </w:lvl>
  </w:abstractNum>
  <w:abstractNum w:abstractNumId="122">
    <w:nsid w:val="49C0E823"/>
    <w:multiLevelType w:val="hybridMultilevel"/>
    <w:lvl w:ilvl="0">
      <w:lvlJc w:val="left"/>
      <w:lvlText w:val="(%1)"/>
      <w:numFmt w:val="lowerLetter"/>
      <w:start w:val="1"/>
    </w:lvl>
  </w:abstractNum>
  <w:abstractNum w:abstractNumId="123">
    <w:nsid w:val="14D53685"/>
    <w:multiLevelType w:val="hybridMultilevel"/>
    <w:lvl w:ilvl="0">
      <w:lvlJc w:val="left"/>
      <w:lvlText w:val="(%1)"/>
      <w:numFmt w:val="lowerLetter"/>
      <w:start w:val="5"/>
    </w:lvl>
  </w:abstractNum>
  <w:abstractNum w:abstractNumId="124">
    <w:nsid w:val="230F856C"/>
    <w:multiLevelType w:val="hybridMultilevel"/>
    <w:lvl w:ilvl="0">
      <w:lvlJc w:val="left"/>
      <w:lvlText w:val="(%1)"/>
      <w:numFmt w:val="lowerLetter"/>
      <w:start w:val="9"/>
    </w:lvl>
  </w:abstractNum>
  <w:abstractNum w:abstractNumId="125">
    <w:nsid w:val="6EAA85FB"/>
    <w:multiLevelType w:val="hybridMultilevel"/>
    <w:lvl w:ilvl="0">
      <w:lvlJc w:val="left"/>
      <w:lvlText w:val="(%1)"/>
      <w:numFmt w:val="lowerLetter"/>
      <w:start w:val="16"/>
    </w:lvl>
  </w:abstractNum>
  <w:abstractNum w:abstractNumId="126">
    <w:nsid w:val="3F06ECB2"/>
    <w:multiLevelType w:val="hybridMultilevel"/>
    <w:lvl w:ilvl="0">
      <w:lvlJc w:val="left"/>
      <w:lvlText w:val="(%1)"/>
      <w:numFmt w:val="lowerLetter"/>
      <w:start w:val="1"/>
    </w:lvl>
  </w:abstractNum>
  <w:abstractNum w:abstractNumId="127">
    <w:nsid w:val="3B59480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28">
    <w:nsid w:val="6CAA230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29">
    <w:nsid w:val="3F7C2FF4"/>
    <w:multiLevelType w:val="hybridMultilevel"/>
    <w:lvl w:ilvl="0">
      <w:lvlJc w:val="left"/>
      <w:lvlText w:val="%1"/>
      <w:numFmt w:val="lowerLetter"/>
      <w:start w:val="1"/>
    </w:lvl>
    <w:lvl w:ilvl="1">
      <w:lvlJc w:val="left"/>
      <w:lvlText w:val="(%2)"/>
      <w:numFmt w:val="lowerRoman"/>
      <w:start w:val="6"/>
    </w:lvl>
  </w:abstractNum>
  <w:abstractNum w:abstractNumId="130">
    <w:nsid w:val="25413BEC"/>
    <w:multiLevelType w:val="hybridMultilevel"/>
    <w:lvl w:ilvl="0">
      <w:lvlJc w:val="left"/>
      <w:lvlText w:val="(%1)"/>
      <w:numFmt w:val="lowerLetter"/>
      <w:start w:val="8"/>
    </w:lvl>
    <w:lvl w:ilvl="1">
      <w:lvlJc w:val="left"/>
      <w:lvlText w:val="%2"/>
      <w:numFmt w:val="lowerRoman"/>
      <w:start w:val="1"/>
    </w:lvl>
  </w:abstractNum>
  <w:abstractNum w:abstractNumId="131">
    <w:nsid w:val="17180B0B"/>
    <w:multiLevelType w:val="hybridMultilevel"/>
    <w:lvl w:ilvl="0">
      <w:lvlJc w:val="left"/>
      <w:lvlText w:val="(%1)"/>
      <w:numFmt w:val="lowerLetter"/>
      <w:start w:val="1"/>
    </w:lvl>
  </w:abstractNum>
  <w:abstractNum w:abstractNumId="132">
    <w:nsid w:val="579328B9"/>
    <w:multiLevelType w:val="hybridMultilevel"/>
    <w:lvl w:ilvl="0">
      <w:lvlJc w:val="left"/>
      <w:lvlText w:val="(%1)"/>
      <w:numFmt w:val="lowerLetter"/>
      <w:start w:val="2"/>
    </w:lvl>
  </w:abstractNum>
  <w:abstractNum w:abstractNumId="133">
    <w:nsid w:val="5D205E20"/>
    <w:multiLevelType w:val="hybridMultilevel"/>
    <w:lvl w:ilvl="0">
      <w:lvlJc w:val="left"/>
      <w:lvlText w:val="(%1)"/>
      <w:numFmt w:val="lowerLetter"/>
      <w:start w:val="3"/>
    </w:lvl>
  </w:abstractNum>
  <w:abstractNum w:abstractNumId="134">
    <w:nsid w:val="11CCA8BA"/>
    <w:multiLevelType w:val="hybridMultilevel"/>
    <w:lvl w:ilvl="0">
      <w:lvlJc w:val="left"/>
      <w:lvlText w:val="(%1)"/>
      <w:numFmt w:val="lowerLetter"/>
      <w:start w:val="12"/>
    </w:lvl>
  </w:abstractNum>
  <w:abstractNum w:abstractNumId="135">
    <w:nsid w:val="4D32AB86"/>
    <w:multiLevelType w:val="hybridMultilevel"/>
    <w:lvl w:ilvl="0">
      <w:lvlJc w:val="left"/>
      <w:lvlText w:val="%1"/>
      <w:numFmt w:val="lowerLetter"/>
      <w:start w:val="1"/>
    </w:lvl>
    <w:lvl w:ilvl="1">
      <w:lvlJc w:val="left"/>
      <w:lvlText w:val="(%2)"/>
      <w:numFmt w:val="lowerLetter"/>
      <w:start w:val="1"/>
    </w:lvl>
  </w:abstractNum>
  <w:abstractNum w:abstractNumId="136">
    <w:nsid w:val="3F07ACC3"/>
    <w:multiLevelType w:val="hybridMultilevel"/>
    <w:lvl w:ilvl="0">
      <w:lvlJc w:val="left"/>
      <w:lvlText w:val="(%1)"/>
      <w:numFmt w:val="lowerLetter"/>
      <w:start w:val="24"/>
    </w:lvl>
    <w:lvl w:ilvl="1">
      <w:lvlJc w:val="left"/>
      <w:lvlText w:val="%2"/>
      <w:numFmt w:val="lowerLetter"/>
      <w:start w:val="1"/>
    </w:lvl>
  </w:abstractNum>
  <w:abstractNum w:abstractNumId="137">
    <w:nsid w:val="6B47F63E"/>
    <w:multiLevelType w:val="hybridMultilevel"/>
    <w:lvl w:ilvl="0">
      <w:lvlJc w:val="left"/>
      <w:lvlText w:val="(%1)"/>
      <w:numFmt w:val="lowerLetter"/>
      <w:start w:val="1"/>
    </w:lvl>
    <w:lvl w:ilvl="1">
      <w:lvlJc w:val="left"/>
      <w:lvlText w:val="(%2)"/>
      <w:numFmt w:val="lowerLetter"/>
      <w:start w:val="9"/>
    </w:lvl>
  </w:abstractNum>
  <w:abstractNum w:abstractNumId="138">
    <w:nsid w:val="5CB44A05"/>
    <w:multiLevelType w:val="hybridMultilevel"/>
    <w:lvl w:ilvl="0">
      <w:lvlJc w:val="left"/>
      <w:lvlText w:val="(%1)"/>
      <w:numFmt w:val="lowerRoman"/>
      <w:start w:val="2"/>
    </w:lvl>
  </w:abstractNum>
  <w:abstractNum w:abstractNumId="139">
    <w:nsid w:val="16CF80F1"/>
    <w:multiLevelType w:val="hybridMultilevel"/>
    <w:lvl w:ilvl="0">
      <w:lvlJc w:val="left"/>
      <w:lvlText w:val="(%1)"/>
      <w:numFmt w:val="lowerLetter"/>
      <w:start w:val="2"/>
    </w:lvl>
    <w:lvl w:ilvl="1">
      <w:lvlJc w:val="left"/>
      <w:lvlText w:val="(%2)"/>
      <w:numFmt w:val="lowerLetter"/>
      <w:start w:val="9"/>
    </w:lvl>
  </w:abstractNum>
  <w:abstractNum w:abstractNumId="140">
    <w:nsid w:val="1C695DEC"/>
    <w:multiLevelType w:val="hybridMultilevel"/>
    <w:lvl w:ilvl="0">
      <w:lvlJc w:val="left"/>
      <w:lvlText w:val="%1"/>
      <w:numFmt w:val="lowerLetter"/>
      <w:start w:val="1"/>
    </w:lvl>
    <w:lvl w:ilvl="1">
      <w:lvlJc w:val="left"/>
      <w:lvlText w:val="(%2)"/>
      <w:numFmt w:val="lowerRoman"/>
      <w:start w:val="2"/>
    </w:lvl>
  </w:abstractNum>
  <w:abstractNum w:abstractNumId="141">
    <w:nsid w:val="3FCFAED9"/>
    <w:multiLevelType w:val="hybridMultilevel"/>
    <w:lvl w:ilvl="0">
      <w:lvlJc w:val="left"/>
      <w:lvlText w:val="(%1)"/>
      <w:numFmt w:val="lowerLetter"/>
      <w:start w:val="4"/>
    </w:lvl>
    <w:lvl w:ilvl="1">
      <w:lvlJc w:val="left"/>
      <w:lvlText w:val="%2"/>
      <w:numFmt w:val="lowerRoman"/>
      <w:start w:val="1"/>
    </w:lvl>
  </w:abstractNum>
  <w:abstractNum w:abstractNumId="142">
    <w:nsid w:val="F856867"/>
    <w:multiLevelType w:val="hybridMultilevel"/>
    <w:lvl w:ilvl="0">
      <w:lvlJc w:val="left"/>
      <w:lvlText w:val="(%1)"/>
      <w:numFmt w:val="lowerLetter"/>
      <w:start w:val="9"/>
    </w:lvl>
    <w:lvl w:ilvl="1">
      <w:lvlJc w:val="left"/>
      <w:lvlText w:val="(%2)"/>
      <w:numFmt w:val="lowerLetter"/>
      <w:start w:val="9"/>
    </w:lvl>
  </w:abstractNum>
  <w:abstractNum w:abstractNumId="143">
    <w:nsid w:val="11B1CC33"/>
    <w:multiLevelType w:val="hybridMultilevel"/>
    <w:lvl w:ilvl="0">
      <w:lvlJc w:val="left"/>
      <w:lvlText w:val="%1"/>
      <w:numFmt w:val="lowerLetter"/>
      <w:start w:val="1"/>
    </w:lvl>
    <w:lvl w:ilvl="1">
      <w:lvlJc w:val="left"/>
      <w:lvlText w:val="(%2)"/>
      <w:numFmt w:val="lowerRoman"/>
      <w:start w:val="2"/>
    </w:lvl>
  </w:abstractNum>
  <w:abstractNum w:abstractNumId="144">
    <w:nsid w:val="2E22FBB7"/>
    <w:multiLevelType w:val="hybridMultilevel"/>
    <w:lvl w:ilvl="0">
      <w:lvlJc w:val="left"/>
      <w:lvlText w:val="(%1)"/>
      <w:numFmt w:val="lowerLetter"/>
      <w:start w:val="13"/>
    </w:lvl>
    <w:lvl w:ilvl="1">
      <w:lvlJc w:val="left"/>
      <w:lvlText w:val="%2"/>
      <w:numFmt w:val="lowerRoman"/>
      <w:start w:val="1"/>
    </w:lvl>
  </w:abstractNum>
  <w:abstractNum w:abstractNumId="145">
    <w:nsid w:val="29934699"/>
    <w:multiLevelType w:val="hybridMultilevel"/>
    <w:lvl w:ilvl="0">
      <w:lvlJc w:val="left"/>
      <w:lvlText w:val="(%1)"/>
      <w:numFmt w:val="lowerLetter"/>
      <w:start w:val="14"/>
    </w:lvl>
  </w:abstractNum>
  <w:abstractNum w:abstractNumId="146">
    <w:nsid w:val="77485850"/>
    <w:multiLevelType w:val="hybridMultilevel"/>
    <w:lvl w:ilvl="0">
      <w:lvlJc w:val="left"/>
      <w:lvlText w:val="&amp;"/>
      <w:numFmt w:val="bullet"/>
      <w:start w:val="1"/>
    </w:lvl>
    <w:lvl w:ilvl="1">
      <w:lvlJc w:val="left"/>
      <w:lvlText w:val="(%2)"/>
      <w:numFmt w:val="lowerLetter"/>
      <w:start w:val="20"/>
    </w:lvl>
    <w:lvl w:ilvl="2">
      <w:lvlJc w:val="left"/>
      <w:lvlText w:val="%3"/>
      <w:numFmt w:val="lowerLetter"/>
      <w:start w:val="1"/>
    </w:lvl>
  </w:abstractNum>
  <w:abstractNum w:abstractNumId="147">
    <w:nsid w:val="744939A3"/>
    <w:multiLevelType w:val="hybridMultilevel"/>
    <w:lvl w:ilvl="0">
      <w:lvlJc w:val="left"/>
      <w:lvlText w:val="&amp;"/>
      <w:numFmt w:val="bullet"/>
      <w:start w:val="1"/>
    </w:lvl>
    <w:lvl w:ilvl="1">
      <w:lvlJc w:val="left"/>
      <w:lvlText w:val="(%2)"/>
      <w:numFmt w:val="lowerLetter"/>
      <w:start w:val="21"/>
    </w:lvl>
    <w:lvl w:ilvl="2">
      <w:lvlJc w:val="left"/>
      <w:lvlText w:val="%3"/>
      <w:numFmt w:val="lowerLetter"/>
      <w:start w:val="1"/>
    </w:lvl>
  </w:abstractNum>
  <w:abstractNum w:abstractNumId="148">
    <w:nsid w:val="4FA0D2E3"/>
    <w:multiLevelType w:val="hybridMultilevel"/>
    <w:lvl w:ilvl="0">
      <w:lvlJc w:val="left"/>
      <w:lvlText w:val="(%1)"/>
      <w:numFmt w:val="lowerLetter"/>
      <w:start w:val="29"/>
    </w:lvl>
  </w:abstractNum>
  <w:abstractNum w:abstractNumId="149">
    <w:nsid w:val="6B1D2C14"/>
    <w:multiLevelType w:val="hybridMultilevel"/>
    <w:lvl w:ilvl="0">
      <w:lvlJc w:val="left"/>
      <w:lvlText w:val="(%1)"/>
      <w:numFmt w:val="lowerLetter"/>
      <w:start w:val="1"/>
    </w:lvl>
  </w:abstractNum>
  <w:abstractNum w:abstractNumId="150">
    <w:nsid w:val="68B867D3"/>
    <w:multiLevelType w:val="hybridMultilevel"/>
    <w:lvl w:ilvl="0">
      <w:lvlJc w:val="left"/>
      <w:lvlText w:val="(%1)"/>
      <w:numFmt w:val="lowerLetter"/>
      <w:start w:val="7"/>
    </w:lvl>
  </w:abstractNum>
  <w:abstractNum w:abstractNumId="151">
    <w:nsid w:val="3F7F5DD9"/>
    <w:multiLevelType w:val="hybridMultilevel"/>
    <w:lvl w:ilvl="0">
      <w:lvlJc w:val="left"/>
      <w:lvlText w:val="(%1)"/>
      <w:numFmt w:val="lowerLetter"/>
      <w:start w:val="14"/>
    </w:lvl>
  </w:abstractNum>
  <w:abstractNum w:abstractNumId="152">
    <w:nsid w:val="2AE05A34"/>
    <w:multiLevelType w:val="hybridMultilevel"/>
    <w:lvl w:ilvl="0">
      <w:lvlJc w:val="left"/>
      <w:lvlText w:val="(%1)"/>
      <w:numFmt w:val="lowerLetter"/>
      <w:start w:val="1"/>
    </w:lvl>
    <w:lvl w:ilvl="1">
      <w:lvlJc w:val="left"/>
      <w:lvlText w:val="(%2)"/>
      <w:numFmt w:val="lowerLetter"/>
      <w:start w:val="9"/>
    </w:lvl>
  </w:abstractNum>
  <w:abstractNum w:abstractNumId="153">
    <w:nsid w:val="32794FF7"/>
    <w:multiLevelType w:val="hybridMultilevel"/>
    <w:lvl w:ilvl="0">
      <w:lvlJc w:val="left"/>
      <w:lvlText w:val="(%1)"/>
      <w:numFmt w:val="lowerRoman"/>
      <w:start w:val="2"/>
    </w:lvl>
  </w:abstractNum>
  <w:abstractNum w:abstractNumId="154">
    <w:nsid w:val="5454945E"/>
    <w:multiLevelType w:val="hybridMultilevel"/>
    <w:lvl w:ilvl="0">
      <w:lvlJc w:val="left"/>
      <w:lvlText w:val="(%1)"/>
      <w:numFmt w:val="lowerRoman"/>
      <w:start w:val="8"/>
    </w:lvl>
  </w:abstractNum>
  <w:abstractNum w:abstractNumId="155">
    <w:nsid w:val="4DEFDFA0"/>
    <w:multiLevelType w:val="hybridMultilevel"/>
    <w:lvl w:ilvl="0">
      <w:lvlJc w:val="left"/>
      <w:lvlText w:val="(%1)"/>
      <w:numFmt w:val="lowerRoman"/>
      <w:start w:val="15"/>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lowerLetter"/>
      <w:start w:val="6"/>
    </w:lvl>
  </w:abstractNum>
  <w:abstractNum w:abstractNumId="158">
    <w:nsid w:val="94927A8"/>
    <w:multiLevelType w:val="hybridMultilevel"/>
    <w:lvl w:ilvl="0">
      <w:lvlJc w:val="left"/>
      <w:lvlText w:val="%1"/>
      <w:numFmt w:val="upperLetter"/>
      <w:start w:val="1"/>
    </w:lvl>
    <w:lvl w:ilvl="1">
      <w:lvlJc w:val="left"/>
      <w:lvlText w:val="(%2)"/>
      <w:numFmt w:val="lowerLetter"/>
      <w:start w:val="11"/>
    </w:lvl>
  </w:abstractNum>
  <w:abstractNum w:abstractNumId="159">
    <w:nsid w:val="DCDF8F6"/>
    <w:multiLevelType w:val="hybridMultilevel"/>
    <w:lvl w:ilvl="0">
      <w:lvlJc w:val="left"/>
      <w:lvlText w:val="(%1)"/>
      <w:numFmt w:val="upperLetter"/>
      <w:start w:val="2"/>
    </w:lvl>
    <w:lvl w:ilvl="1">
      <w:lvlJc w:val="left"/>
      <w:lvlText w:val="%2"/>
      <w:numFmt w:val="lowerLetter"/>
      <w:start w:val="1"/>
    </w:lvl>
  </w:abstractNum>
  <w:abstractNum w:abstractNumId="160">
    <w:nsid w:val="52D7B105"/>
    <w:multiLevelType w:val="hybridMultilevel"/>
    <w:lvl w:ilvl="0">
      <w:lvlJc w:val="left"/>
      <w:lvlText w:val="(%1)"/>
      <w:numFmt w:val="lowerLetter"/>
      <w:start w:val="1"/>
    </w:lvl>
  </w:abstractNum>
  <w:abstractNum w:abstractNumId="161">
    <w:nsid w:val="2E8A6394"/>
    <w:multiLevelType w:val="hybridMultilevel"/>
    <w:lvl w:ilvl="0">
      <w:lvlJc w:val="left"/>
      <w:lvlText w:val="(%1)"/>
      <w:numFmt w:val="lowerLetter"/>
      <w:start w:val="4"/>
    </w:lvl>
  </w:abstractNum>
  <w:abstractNum w:abstractNumId="162">
    <w:nsid w:val="24E60401"/>
    <w:multiLevelType w:val="hybridMultilevel"/>
    <w:lvl w:ilvl="0">
      <w:lvlJc w:val="left"/>
      <w:lvlText w:val="(%1)"/>
      <w:numFmt w:val="lowerLetter"/>
      <w:start w:val="1"/>
    </w:lvl>
  </w:abstractNum>
  <w:abstractNum w:abstractNumId="163">
    <w:nsid w:val="2A6AD9BE"/>
    <w:multiLevelType w:val="hybridMultilevel"/>
    <w:lvl w:ilvl="0">
      <w:lvlJc w:val="left"/>
      <w:lvlText w:val="(%1)"/>
      <w:numFmt w:val="lowerLetter"/>
      <w:start w:val="3"/>
    </w:lvl>
  </w:abstractNum>
  <w:abstractNum w:abstractNumId="164">
    <w:nsid w:val="BAAC1B4"/>
    <w:multiLevelType w:val="hybridMultilevel"/>
    <w:lvl w:ilvl="0">
      <w:lvlJc w:val="left"/>
      <w:lvlText w:val="(%1)"/>
      <w:numFmt w:val="lowerLetter"/>
      <w:start w:val="1"/>
    </w:lvl>
  </w:abstractNum>
  <w:abstractNum w:abstractNumId="165">
    <w:nsid w:val="36B2ACBC"/>
    <w:multiLevelType w:val="hybridMultilevel"/>
    <w:lvl w:ilvl="0">
      <w:lvlJc w:val="left"/>
      <w:lvlText w:val="(%1)"/>
      <w:numFmt w:val="lowerLetter"/>
      <w:start w:val="2"/>
    </w:lvl>
  </w:abstractNum>
  <w:abstractNum w:abstractNumId="166">
    <w:nsid w:val="779D8544"/>
    <w:multiLevelType w:val="hybridMultilevel"/>
    <w:lvl w:ilvl="0">
      <w:lvlJc w:val="left"/>
      <w:lvlText w:val="(%1)"/>
      <w:numFmt w:val="lowerRoman"/>
      <w:start w:val="1"/>
    </w:lvl>
  </w:abstractNum>
  <w:abstractNum w:abstractNumId="167">
    <w:nsid w:val="4AB26E78"/>
    <w:multiLevelType w:val="hybridMultilevel"/>
    <w:lvl w:ilvl="0">
      <w:lvlJc w:val="left"/>
      <w:lvlText w:val="(%1)"/>
      <w:numFmt w:val="lowerRoman"/>
      <w:start w:val="3"/>
    </w:lvl>
  </w:abstractNum>
  <w:abstractNum w:abstractNumId="168">
    <w:nsid w:val="21FAA2FA"/>
    <w:multiLevelType w:val="hybridMultilevel"/>
    <w:lvl w:ilvl="0">
      <w:lvlJc w:val="left"/>
      <w:lvlText w:val="(%1)"/>
      <w:numFmt w:val="lowerRoman"/>
      <w:start w:val="12"/>
    </w:lvl>
  </w:abstractNum>
  <w:abstractNum w:abstractNumId="169">
    <w:nsid w:val="5451CF49"/>
    <w:multiLevelType w:val="hybridMultilevel"/>
    <w:lvl w:ilvl="0">
      <w:lvlJc w:val="left"/>
      <w:lvlText w:val="(%1)"/>
      <w:numFmt w:val="lowerRoman"/>
      <w:start w:val="1"/>
    </w:lvl>
  </w:abstractNum>
  <w:abstractNum w:abstractNumId="170">
    <w:nsid w:val="6181EF69"/>
    <w:multiLevelType w:val="hybridMultilevel"/>
    <w:lvl w:ilvl="0">
      <w:lvlJc w:val="left"/>
      <w:lvlText w:val="(%1)"/>
      <w:numFmt w:val="lowerLetter"/>
      <w:start w:val="1"/>
    </w:lvl>
  </w:abstractNum>
  <w:abstractNum w:abstractNumId="171">
    <w:nsid w:val="3E6400E6"/>
    <w:multiLevelType w:val="hybridMultilevel"/>
    <w:lvl w:ilvl="0">
      <w:lvlJc w:val="left"/>
      <w:lvlText w:val="(%1)"/>
      <w:numFmt w:val="lowerLetter"/>
      <w:start w:val="2"/>
    </w:lvl>
  </w:abstractNum>
  <w:abstractNum w:abstractNumId="172">
    <w:nsid w:val="14217E23"/>
    <w:multiLevelType w:val="hybridMultilevel"/>
    <w:lvl w:ilvl="0">
      <w:lvlJc w:val="left"/>
      <w:lvlText w:val="(%1)"/>
      <w:numFmt w:val="lowerLetter"/>
      <w:start w:val="4"/>
    </w:lvl>
  </w:abstractNum>
  <w:abstractNum w:abstractNumId="173">
    <w:nsid w:val="710757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5015CD1A"/>
    <w:multiLevelType w:val="hybridMultilevel"/>
    <w:lvl w:ilvl="0">
      <w:lvlJc w:val="left"/>
      <w:lvlText w:val="(%1)"/>
      <w:numFmt w:val="lowerLetter"/>
      <w:start w:val="2"/>
    </w:lvl>
    <w:lvl w:ilvl="1">
      <w:lvlJc w:val="left"/>
      <w:lvlText w:val="(%2)"/>
      <w:numFmt w:val="lowerRoman"/>
      <w:start w:val="1"/>
    </w:lvl>
  </w:abstractNum>
  <w:abstractNum w:abstractNumId="175">
    <w:nsid w:val="424479DA"/>
    <w:multiLevelType w:val="hybridMultilevel"/>
    <w:lvl w:ilvl="0">
      <w:lvlJc w:val="left"/>
      <w:lvlText w:val="(%1)"/>
      <w:numFmt w:val="lowerLetter"/>
      <w:start w:val="1"/>
    </w:lvl>
  </w:abstractNum>
  <w:abstractNum w:abstractNumId="176">
    <w:nsid w:val="1A9A9E69"/>
    <w:multiLevelType w:val="hybridMultilevel"/>
    <w:lvl w:ilvl="0">
      <w:lvlJc w:val="left"/>
      <w:lvlText w:val="(%1)"/>
      <w:numFmt w:val="lowerLetter"/>
      <w:start w:val="2"/>
    </w:lvl>
  </w:abstractNum>
  <w:abstractNum w:abstractNumId="177">
    <w:nsid w:val="475E256A"/>
    <w:multiLevelType w:val="hybridMultilevel"/>
    <w:lvl w:ilvl="0">
      <w:lvlJc w:val="left"/>
      <w:lvlText w:val="(%1)"/>
      <w:numFmt w:val="lowerLetter"/>
      <w:start w:val="1"/>
    </w:lvl>
    <w:lvl w:ilvl="1">
      <w:lvlJc w:val="left"/>
      <w:lvlText w:val="(%2)"/>
      <w:numFmt w:val="lowerRoman"/>
      <w:start w:val="1"/>
    </w:lvl>
  </w:abstractNum>
  <w:abstractNum w:abstractNumId="178">
    <w:nsid w:val="368DB37E"/>
    <w:multiLevelType w:val="hybridMultilevel"/>
    <w:lvl w:ilvl="0">
      <w:lvlJc w:val="left"/>
      <w:lvlText w:val="(%1)"/>
      <w:numFmt w:val="lowerLetter"/>
      <w:start w:val="1"/>
    </w:lvl>
    <w:lvl w:ilvl="1">
      <w:lvlJc w:val="left"/>
      <w:lvlText w:val="(%2)"/>
      <w:numFmt w:val="lowerRoman"/>
      <w:start w:val="1"/>
    </w:lvl>
  </w:abstractNum>
  <w:abstractNum w:abstractNumId="179">
    <w:nsid w:val="6A3B714C"/>
    <w:multiLevelType w:val="hybridMultilevel"/>
    <w:lvl w:ilvl="0">
      <w:lvlJc w:val="left"/>
      <w:lvlText w:val="%1."/>
      <w:numFmt w:val="decimal"/>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lvl w:ilvl="1">
      <w:lvlJc w:val="left"/>
      <w:lvlText w:val="(%2)"/>
      <w:numFmt w:val="lowerLetter"/>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2026-10-30T15:00:14Z</dcterms:created>
  <dcterms:modified xsi:type="dcterms:W3CDTF">2026-10-30T15:00:14Z</dcterms:modified>
</cp:coreProperties>
</file>