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320"/>
        <w:spacing w:after="0"/>
        <w:rPr>
          <w:sz w:val="20"/>
          <w:szCs w:val="20"/>
          <w:color w:val="auto"/>
        </w:rPr>
      </w:pPr>
      <w:r>
        <w:rPr>
          <w:rFonts w:ascii="Times New Roman" w:cs="Times New Roman" w:eastAsia="Times New Roman" w:hAnsi="Times New Roman"/>
          <w:sz w:val="18"/>
          <w:szCs w:val="18"/>
          <w:color w:val="auto"/>
        </w:rPr>
        <w:t>This filing is made pursuant to Rule 424(b)(2) under</w:t>
      </w:r>
    </w:p>
    <w:p>
      <w:pPr>
        <w:spacing w:after="0" w:line="27" w:lineRule="exact"/>
        <w:rPr>
          <w:sz w:val="24"/>
          <w:szCs w:val="24"/>
          <w:color w:val="auto"/>
        </w:rPr>
      </w:pPr>
    </w:p>
    <w:p>
      <w:pPr>
        <w:ind w:left="7320"/>
        <w:spacing w:after="0"/>
        <w:rPr>
          <w:sz w:val="20"/>
          <w:szCs w:val="20"/>
          <w:color w:val="auto"/>
        </w:rPr>
      </w:pPr>
      <w:r>
        <w:rPr>
          <w:rFonts w:ascii="Times New Roman" w:cs="Times New Roman" w:eastAsia="Times New Roman" w:hAnsi="Times New Roman"/>
          <w:sz w:val="18"/>
          <w:szCs w:val="18"/>
          <w:color w:val="auto"/>
        </w:rPr>
        <w:t>the Securities Act of 1933 in connection with</w:t>
      </w:r>
    </w:p>
    <w:p>
      <w:pPr>
        <w:spacing w:after="0" w:line="9" w:lineRule="exact"/>
        <w:rPr>
          <w:sz w:val="24"/>
          <w:szCs w:val="24"/>
          <w:color w:val="auto"/>
        </w:rPr>
      </w:pPr>
    </w:p>
    <w:p>
      <w:pPr>
        <w:ind w:left="7320"/>
        <w:spacing w:after="0"/>
        <w:rPr>
          <w:sz w:val="20"/>
          <w:szCs w:val="20"/>
          <w:color w:val="auto"/>
        </w:rPr>
      </w:pPr>
      <w:r>
        <w:rPr>
          <w:rFonts w:ascii="Times New Roman" w:cs="Times New Roman" w:eastAsia="Times New Roman" w:hAnsi="Times New Roman"/>
          <w:sz w:val="18"/>
          <w:szCs w:val="18"/>
          <w:color w:val="auto"/>
        </w:rPr>
        <w:t>Registration No. 333-272653</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Interest Rates</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This is an interest rate supplement dated April 13, 2026</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to the prospectus supplement dated April 13, 2026</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Annual Interest Rates for Renewable Unsecured Subordinated Notes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Offered by Consumer Portfolio Services, Inc.</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 Rates Effective April 13, 2026</w:t>
      </w:r>
    </w:p>
    <w:p>
      <w:pPr>
        <w:spacing w:after="0" w:line="227"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2840" w:type="dxa"/>
            <w:vAlign w:val="bottom"/>
            <w:tcBorders>
              <w:top w:val="single" w:sz="8" w:color="auto"/>
              <w:left w:val="single" w:sz="8" w:color="auto"/>
              <w:right w:val="single" w:sz="8" w:color="auto"/>
            </w:tcBorders>
          </w:tcPr>
          <w:p>
            <w:pPr>
              <w:spacing w:after="0"/>
              <w:rPr>
                <w:sz w:val="19"/>
                <w:szCs w:val="19"/>
                <w:color w:val="auto"/>
              </w:rPr>
            </w:pPr>
          </w:p>
        </w:tc>
        <w:tc>
          <w:tcPr>
            <w:tcW w:w="1680" w:type="dxa"/>
            <w:vAlign w:val="bottom"/>
            <w:tcBorders>
              <w:top w:val="single" w:sz="8" w:color="auto"/>
              <w:right w:val="single" w:sz="8" w:color="D9D9D9"/>
            </w:tcBorders>
            <w:shd w:val="clear" w:color="auto" w:fill="D9D9D9"/>
          </w:tcPr>
          <w:p>
            <w:pPr>
              <w:spacing w:after="0"/>
              <w:rPr>
                <w:sz w:val="19"/>
                <w:szCs w:val="19"/>
                <w:color w:val="auto"/>
              </w:rPr>
            </w:pPr>
          </w:p>
        </w:tc>
        <w:tc>
          <w:tcPr>
            <w:tcW w:w="1260" w:type="dxa"/>
            <w:vAlign w:val="bottom"/>
            <w:tcBorders>
              <w:top w:val="single" w:sz="8" w:color="auto"/>
            </w:tcBorders>
            <w:shd w:val="clear" w:color="auto" w:fill="D9D9D9"/>
          </w:tcPr>
          <w:p>
            <w:pPr>
              <w:spacing w:after="0"/>
              <w:rPr>
                <w:sz w:val="19"/>
                <w:szCs w:val="19"/>
                <w:color w:val="auto"/>
              </w:rPr>
            </w:pPr>
          </w:p>
        </w:tc>
        <w:tc>
          <w:tcPr>
            <w:tcW w:w="2480" w:type="dxa"/>
            <w:vAlign w:val="bottom"/>
            <w:tcBorders>
              <w:top w:val="single" w:sz="8" w:color="auto"/>
            </w:tcBorders>
            <w:gridSpan w:val="3"/>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PORTFOLIO AMOUNT (1)</w:t>
            </w:r>
          </w:p>
        </w:tc>
        <w:tc>
          <w:tcPr>
            <w:tcW w:w="1320" w:type="dxa"/>
            <w:vAlign w:val="bottom"/>
            <w:tcBorders>
              <w:top w:val="single" w:sz="8" w:color="auto"/>
              <w:right w:val="single" w:sz="8" w:color="D9D9D9"/>
            </w:tcBorders>
            <w:shd w:val="clear" w:color="auto" w:fill="D9D9D9"/>
          </w:tcPr>
          <w:p>
            <w:pPr>
              <w:spacing w:after="0"/>
              <w:rPr>
                <w:sz w:val="19"/>
                <w:szCs w:val="19"/>
                <w:color w:val="auto"/>
              </w:rPr>
            </w:pPr>
          </w:p>
        </w:tc>
        <w:tc>
          <w:tcPr>
            <w:tcW w:w="1660" w:type="dxa"/>
            <w:vAlign w:val="bottom"/>
            <w:tcBorders>
              <w:top w:val="single" w:sz="8" w:color="auto"/>
              <w:right w:val="single" w:sz="8" w:color="auto"/>
            </w:tcBorders>
            <w:shd w:val="clear" w:color="auto" w:fill="D9D9D9"/>
          </w:tcPr>
          <w:p>
            <w:pPr>
              <w:spacing w:after="0"/>
              <w:rPr>
                <w:sz w:val="19"/>
                <w:szCs w:val="19"/>
                <w:color w:val="auto"/>
              </w:rPr>
            </w:pPr>
          </w:p>
        </w:tc>
      </w:tr>
      <w:tr>
        <w:trPr>
          <w:trHeight w:val="194"/>
        </w:trPr>
        <w:tc>
          <w:tcPr>
            <w:tcW w:w="284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shd w:val="clear" w:color="auto" w:fill="000000"/>
          </w:tcPr>
          <w:p>
            <w:pPr>
              <w:jc w:val="right"/>
              <w:ind w:right="530"/>
              <w:spacing w:after="0" w:line="194" w:lineRule="exact"/>
              <w:rPr>
                <w:sz w:val="20"/>
                <w:szCs w:val="20"/>
                <w:color w:val="auto"/>
              </w:rPr>
            </w:pPr>
            <w:r>
              <w:rPr>
                <w:rFonts w:ascii="Times New Roman" w:cs="Times New Roman" w:eastAsia="Times New Roman" w:hAnsi="Times New Roman"/>
                <w:sz w:val="18"/>
                <w:szCs w:val="18"/>
                <w:b w:val="1"/>
                <w:bCs w:val="1"/>
                <w:color w:val="FFFFFF"/>
              </w:rPr>
              <w:t>$1,000</w:t>
            </w:r>
          </w:p>
        </w:tc>
        <w:tc>
          <w:tcPr>
            <w:tcW w:w="1260" w:type="dxa"/>
            <w:vAlign w:val="bottom"/>
            <w:shd w:val="clear" w:color="auto" w:fill="000000"/>
          </w:tcPr>
          <w:p>
            <w:pPr>
              <w:jc w:val="center"/>
              <w:ind w:left="270"/>
              <w:spacing w:after="0" w:line="194" w:lineRule="exact"/>
              <w:rPr>
                <w:sz w:val="20"/>
                <w:szCs w:val="20"/>
                <w:color w:val="auto"/>
              </w:rPr>
            </w:pPr>
            <w:r>
              <w:rPr>
                <w:rFonts w:ascii="Times New Roman" w:cs="Times New Roman" w:eastAsia="Times New Roman" w:hAnsi="Times New Roman"/>
                <w:sz w:val="18"/>
                <w:szCs w:val="18"/>
                <w:b w:val="1"/>
                <w:bCs w:val="1"/>
                <w:color w:val="FFFFFF"/>
                <w:w w:val="99"/>
              </w:rPr>
              <w:t>$25,000</w:t>
            </w:r>
          </w:p>
        </w:tc>
        <w:tc>
          <w:tcPr>
            <w:tcW w:w="2120" w:type="dxa"/>
            <w:vAlign w:val="bottom"/>
            <w:tcBorders>
              <w:right w:val="single" w:sz="8" w:color="auto"/>
            </w:tcBorders>
            <w:gridSpan w:val="2"/>
            <w:shd w:val="clear" w:color="auto" w:fill="000000"/>
          </w:tcPr>
          <w:p>
            <w:pPr>
              <w:jc w:val="center"/>
              <w:ind w:left="270"/>
              <w:spacing w:after="0" w:line="194" w:lineRule="exact"/>
              <w:rPr>
                <w:sz w:val="20"/>
                <w:szCs w:val="20"/>
                <w:color w:val="auto"/>
              </w:rPr>
            </w:pPr>
            <w:r>
              <w:rPr>
                <w:rFonts w:ascii="Times New Roman" w:cs="Times New Roman" w:eastAsia="Times New Roman" w:hAnsi="Times New Roman"/>
                <w:sz w:val="18"/>
                <w:szCs w:val="18"/>
                <w:b w:val="1"/>
                <w:bCs w:val="1"/>
                <w:color w:val="FFFFFF"/>
              </w:rPr>
              <w:t>$50,000</w:t>
            </w:r>
          </w:p>
        </w:tc>
        <w:tc>
          <w:tcPr>
            <w:tcW w:w="360" w:type="dxa"/>
            <w:vAlign w:val="bottom"/>
            <w:shd w:val="clear" w:color="auto" w:fill="000000"/>
          </w:tcPr>
          <w:p>
            <w:pPr>
              <w:spacing w:after="0"/>
              <w:rPr>
                <w:sz w:val="16"/>
                <w:szCs w:val="16"/>
                <w:color w:val="auto"/>
              </w:rPr>
            </w:pPr>
          </w:p>
        </w:tc>
        <w:tc>
          <w:tcPr>
            <w:tcW w:w="1320" w:type="dxa"/>
            <w:vAlign w:val="bottom"/>
            <w:tcBorders>
              <w:right w:val="single" w:sz="8" w:color="auto"/>
            </w:tcBorders>
            <w:shd w:val="clear" w:color="auto" w:fill="000000"/>
          </w:tcPr>
          <w:p>
            <w:pPr>
              <w:jc w:val="center"/>
              <w:ind w:right="350"/>
              <w:spacing w:after="0" w:line="194" w:lineRule="exact"/>
              <w:rPr>
                <w:sz w:val="20"/>
                <w:szCs w:val="20"/>
                <w:color w:val="auto"/>
              </w:rPr>
            </w:pPr>
            <w:r>
              <w:rPr>
                <w:rFonts w:ascii="Times New Roman" w:cs="Times New Roman" w:eastAsia="Times New Roman" w:hAnsi="Times New Roman"/>
                <w:sz w:val="18"/>
                <w:szCs w:val="18"/>
                <w:b w:val="1"/>
                <w:bCs w:val="1"/>
                <w:color w:val="FFFFFF"/>
              </w:rPr>
              <w:t>$75,000</w:t>
            </w:r>
          </w:p>
        </w:tc>
        <w:tc>
          <w:tcPr>
            <w:tcW w:w="1660" w:type="dxa"/>
            <w:vAlign w:val="bottom"/>
            <w:tcBorders>
              <w:right w:val="single" w:sz="8" w:color="auto"/>
            </w:tcBorders>
            <w:shd w:val="clear" w:color="auto" w:fill="000000"/>
          </w:tcPr>
          <w:p>
            <w:pPr>
              <w:jc w:val="right"/>
              <w:ind w:right="430"/>
              <w:spacing w:after="0" w:line="194" w:lineRule="exact"/>
              <w:rPr>
                <w:sz w:val="20"/>
                <w:szCs w:val="20"/>
                <w:color w:val="auto"/>
              </w:rPr>
            </w:pPr>
            <w:r>
              <w:rPr>
                <w:rFonts w:ascii="Times New Roman" w:cs="Times New Roman" w:eastAsia="Times New Roman" w:hAnsi="Times New Roman"/>
                <w:sz w:val="18"/>
                <w:szCs w:val="18"/>
                <w:b w:val="1"/>
                <w:bCs w:val="1"/>
                <w:color w:val="FFFFFF"/>
              </w:rPr>
              <w:t>$100,000</w:t>
            </w: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shd w:val="clear" w:color="auto" w:fill="000000"/>
          </w:tcPr>
          <w:p>
            <w:pPr>
              <w:jc w:val="right"/>
              <w:ind w:right="670"/>
              <w:spacing w:after="0"/>
              <w:rPr>
                <w:sz w:val="20"/>
                <w:szCs w:val="20"/>
                <w:color w:val="auto"/>
              </w:rPr>
            </w:pPr>
            <w:r>
              <w:rPr>
                <w:rFonts w:ascii="Times New Roman" w:cs="Times New Roman" w:eastAsia="Times New Roman" w:hAnsi="Times New Roman"/>
                <w:sz w:val="18"/>
                <w:szCs w:val="18"/>
                <w:b w:val="1"/>
                <w:bCs w:val="1"/>
                <w:color w:val="FFFFFF"/>
              </w:rPr>
              <w:t>to</w:t>
            </w:r>
          </w:p>
        </w:tc>
        <w:tc>
          <w:tcPr>
            <w:tcW w:w="1260" w:type="dxa"/>
            <w:vAlign w:val="bottom"/>
            <w:shd w:val="clear" w:color="auto" w:fill="000000"/>
          </w:tcPr>
          <w:p>
            <w:pPr>
              <w:ind w:left="780"/>
              <w:spacing w:after="0"/>
              <w:rPr>
                <w:sz w:val="20"/>
                <w:szCs w:val="20"/>
                <w:color w:val="auto"/>
              </w:rPr>
            </w:pPr>
            <w:r>
              <w:rPr>
                <w:rFonts w:ascii="Times New Roman" w:cs="Times New Roman" w:eastAsia="Times New Roman" w:hAnsi="Times New Roman"/>
                <w:sz w:val="18"/>
                <w:szCs w:val="18"/>
                <w:b w:val="1"/>
                <w:bCs w:val="1"/>
                <w:color w:val="FFFFFF"/>
              </w:rPr>
              <w:t>to</w:t>
            </w:r>
          </w:p>
        </w:tc>
        <w:tc>
          <w:tcPr>
            <w:tcW w:w="440" w:type="dxa"/>
            <w:vAlign w:val="bottom"/>
            <w:tcBorders>
              <w:right w:val="single" w:sz="8" w:color="auto"/>
            </w:tcBorders>
            <w:shd w:val="clear" w:color="auto" w:fill="000000"/>
          </w:tcPr>
          <w:p>
            <w:pPr>
              <w:spacing w:after="0"/>
              <w:rPr>
                <w:sz w:val="18"/>
                <w:szCs w:val="18"/>
                <w:color w:val="auto"/>
              </w:rPr>
            </w:pPr>
          </w:p>
        </w:tc>
        <w:tc>
          <w:tcPr>
            <w:tcW w:w="2040" w:type="dxa"/>
            <w:vAlign w:val="bottom"/>
            <w:gridSpan w:val="2"/>
            <w:shd w:val="clear" w:color="auto" w:fill="000000"/>
          </w:tcPr>
          <w:p>
            <w:pPr>
              <w:ind w:left="760"/>
              <w:spacing w:after="0"/>
              <w:rPr>
                <w:sz w:val="20"/>
                <w:szCs w:val="20"/>
                <w:color w:val="auto"/>
              </w:rPr>
            </w:pPr>
            <w:r>
              <w:rPr>
                <w:rFonts w:ascii="Times New Roman" w:cs="Times New Roman" w:eastAsia="Times New Roman" w:hAnsi="Times New Roman"/>
                <w:sz w:val="18"/>
                <w:szCs w:val="18"/>
                <w:b w:val="1"/>
                <w:bCs w:val="1"/>
                <w:color w:val="FFFFFF"/>
              </w:rPr>
              <w:t>to</w:t>
            </w:r>
          </w:p>
        </w:tc>
        <w:tc>
          <w:tcPr>
            <w:tcW w:w="1320" w:type="dxa"/>
            <w:vAlign w:val="bottom"/>
            <w:tcBorders>
              <w:right w:val="single" w:sz="8" w:color="auto"/>
            </w:tcBorders>
            <w:shd w:val="clear" w:color="auto" w:fill="000000"/>
          </w:tcPr>
          <w:p>
            <w:pPr>
              <w:ind w:left="400"/>
              <w:spacing w:after="0"/>
              <w:rPr>
                <w:sz w:val="20"/>
                <w:szCs w:val="20"/>
                <w:color w:val="auto"/>
              </w:rPr>
            </w:pPr>
            <w:r>
              <w:rPr>
                <w:rFonts w:ascii="Times New Roman" w:cs="Times New Roman" w:eastAsia="Times New Roman" w:hAnsi="Times New Roman"/>
                <w:sz w:val="18"/>
                <w:szCs w:val="18"/>
                <w:b w:val="1"/>
                <w:bCs w:val="1"/>
                <w:color w:val="FFFFFF"/>
              </w:rPr>
              <w:t>to</w:t>
            </w:r>
          </w:p>
        </w:tc>
        <w:tc>
          <w:tcPr>
            <w:tcW w:w="1660" w:type="dxa"/>
            <w:vAlign w:val="bottom"/>
            <w:tcBorders>
              <w:right w:val="single" w:sz="8" w:color="auto"/>
            </w:tcBorders>
            <w:shd w:val="clear" w:color="auto" w:fill="000000"/>
          </w:tcPr>
          <w:p>
            <w:pPr>
              <w:jc w:val="center"/>
              <w:spacing w:after="0"/>
              <w:rPr>
                <w:sz w:val="20"/>
                <w:szCs w:val="20"/>
                <w:color w:val="auto"/>
              </w:rPr>
            </w:pPr>
            <w:r>
              <w:rPr>
                <w:rFonts w:ascii="Times New Roman" w:cs="Times New Roman" w:eastAsia="Times New Roman" w:hAnsi="Times New Roman"/>
                <w:sz w:val="18"/>
                <w:szCs w:val="18"/>
                <w:b w:val="1"/>
                <w:bCs w:val="1"/>
                <w:color w:val="FFFFFF"/>
              </w:rPr>
              <w:t>or</w:t>
            </w:r>
          </w:p>
        </w:tc>
      </w:tr>
      <w:tr>
        <w:trPr>
          <w:trHeight w:val="238"/>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NOTE TERM</w:t>
            </w:r>
          </w:p>
        </w:tc>
        <w:tc>
          <w:tcPr>
            <w:tcW w:w="1680" w:type="dxa"/>
            <w:vAlign w:val="bottom"/>
            <w:tcBorders>
              <w:bottom w:val="single" w:sz="8" w:color="auto"/>
              <w:right w:val="single" w:sz="8" w:color="auto"/>
            </w:tcBorders>
            <w:shd w:val="clear" w:color="auto" w:fill="000000"/>
          </w:tcPr>
          <w:p>
            <w:pPr>
              <w:jc w:val="right"/>
              <w:ind w:right="490"/>
              <w:spacing w:after="0"/>
              <w:rPr>
                <w:sz w:val="20"/>
                <w:szCs w:val="20"/>
                <w:color w:val="auto"/>
              </w:rPr>
            </w:pPr>
            <w:r>
              <w:rPr>
                <w:rFonts w:ascii="Times New Roman" w:cs="Times New Roman" w:eastAsia="Times New Roman" w:hAnsi="Times New Roman"/>
                <w:sz w:val="18"/>
                <w:szCs w:val="18"/>
                <w:b w:val="1"/>
                <w:bCs w:val="1"/>
                <w:color w:val="FFFFFF"/>
              </w:rPr>
              <w:t>$24,999</w:t>
            </w:r>
          </w:p>
        </w:tc>
        <w:tc>
          <w:tcPr>
            <w:tcW w:w="1260" w:type="dxa"/>
            <w:vAlign w:val="bottom"/>
            <w:tcBorders>
              <w:bottom w:val="single" w:sz="8" w:color="auto"/>
            </w:tcBorders>
            <w:shd w:val="clear" w:color="auto" w:fill="000000"/>
          </w:tcPr>
          <w:p>
            <w:pPr>
              <w:jc w:val="center"/>
              <w:ind w:left="270"/>
              <w:spacing w:after="0"/>
              <w:rPr>
                <w:sz w:val="20"/>
                <w:szCs w:val="20"/>
                <w:color w:val="auto"/>
              </w:rPr>
            </w:pPr>
            <w:r>
              <w:rPr>
                <w:rFonts w:ascii="Times New Roman" w:cs="Times New Roman" w:eastAsia="Times New Roman" w:hAnsi="Times New Roman"/>
                <w:sz w:val="18"/>
                <w:szCs w:val="18"/>
                <w:b w:val="1"/>
                <w:bCs w:val="1"/>
                <w:color w:val="FFFFFF"/>
                <w:w w:val="99"/>
              </w:rPr>
              <w:t>$49,999</w:t>
            </w:r>
          </w:p>
        </w:tc>
        <w:tc>
          <w:tcPr>
            <w:tcW w:w="2120" w:type="dxa"/>
            <w:vAlign w:val="bottom"/>
            <w:tcBorders>
              <w:bottom w:val="single" w:sz="8" w:color="auto"/>
              <w:right w:val="single" w:sz="8" w:color="auto"/>
            </w:tcBorders>
            <w:gridSpan w:val="2"/>
            <w:shd w:val="clear" w:color="auto" w:fill="000000"/>
          </w:tcPr>
          <w:p>
            <w:pPr>
              <w:jc w:val="center"/>
              <w:ind w:left="290"/>
              <w:spacing w:after="0"/>
              <w:rPr>
                <w:sz w:val="20"/>
                <w:szCs w:val="20"/>
                <w:color w:val="auto"/>
              </w:rPr>
            </w:pPr>
            <w:r>
              <w:rPr>
                <w:rFonts w:ascii="Times New Roman" w:cs="Times New Roman" w:eastAsia="Times New Roman" w:hAnsi="Times New Roman"/>
                <w:sz w:val="18"/>
                <w:szCs w:val="18"/>
                <w:b w:val="1"/>
                <w:bCs w:val="1"/>
                <w:color w:val="FFFFFF"/>
                <w:w w:val="99"/>
              </w:rPr>
              <w:t>$74,999</w:t>
            </w:r>
          </w:p>
        </w:tc>
        <w:tc>
          <w:tcPr>
            <w:tcW w:w="360" w:type="dxa"/>
            <w:vAlign w:val="bottom"/>
            <w:tcBorders>
              <w:bottom w:val="single" w:sz="8" w:color="auto"/>
            </w:tcBorders>
            <w:shd w:val="clear" w:color="auto" w:fill="000000"/>
          </w:tcPr>
          <w:p>
            <w:pPr>
              <w:spacing w:after="0"/>
              <w:rPr>
                <w:sz w:val="20"/>
                <w:szCs w:val="20"/>
                <w:color w:val="auto"/>
              </w:rPr>
            </w:pPr>
          </w:p>
        </w:tc>
        <w:tc>
          <w:tcPr>
            <w:tcW w:w="1320" w:type="dxa"/>
            <w:vAlign w:val="bottom"/>
            <w:tcBorders>
              <w:bottom w:val="single" w:sz="8" w:color="auto"/>
              <w:right w:val="single" w:sz="8" w:color="auto"/>
            </w:tcBorders>
            <w:shd w:val="clear" w:color="auto" w:fill="000000"/>
          </w:tcPr>
          <w:p>
            <w:pPr>
              <w:jc w:val="center"/>
              <w:ind w:right="330"/>
              <w:spacing w:after="0"/>
              <w:rPr>
                <w:sz w:val="20"/>
                <w:szCs w:val="20"/>
                <w:color w:val="auto"/>
              </w:rPr>
            </w:pPr>
            <w:r>
              <w:rPr>
                <w:rFonts w:ascii="Times New Roman" w:cs="Times New Roman" w:eastAsia="Times New Roman" w:hAnsi="Times New Roman"/>
                <w:sz w:val="18"/>
                <w:szCs w:val="18"/>
                <w:b w:val="1"/>
                <w:bCs w:val="1"/>
                <w:color w:val="FFFFFF"/>
                <w:w w:val="99"/>
              </w:rPr>
              <w:t>$99,999</w:t>
            </w:r>
          </w:p>
        </w:tc>
        <w:tc>
          <w:tcPr>
            <w:tcW w:w="166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More</w:t>
            </w:r>
          </w:p>
        </w:tc>
      </w:tr>
      <w:tr>
        <w:trPr>
          <w:trHeight w:val="210"/>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 Month</w:t>
            </w:r>
          </w:p>
        </w:tc>
        <w:tc>
          <w:tcPr>
            <w:tcW w:w="168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4.50%</w:t>
            </w:r>
          </w:p>
        </w:tc>
        <w:tc>
          <w:tcPr>
            <w:tcW w:w="12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8"/>
              </w:rPr>
              <w:t>4.85%</w:t>
            </w:r>
          </w:p>
        </w:tc>
        <w:tc>
          <w:tcPr>
            <w:tcW w:w="4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5.20%</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rPr>
              <w:t>5.55%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5.90%</w:t>
            </w:r>
          </w:p>
        </w:tc>
      </w:tr>
      <w:tr>
        <w:trPr>
          <w:trHeight w:val="209"/>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6 Month</w:t>
            </w:r>
          </w:p>
        </w:tc>
        <w:tc>
          <w:tcPr>
            <w:tcW w:w="168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4.75%</w:t>
            </w:r>
          </w:p>
        </w:tc>
        <w:tc>
          <w:tcPr>
            <w:tcW w:w="12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8"/>
              </w:rPr>
              <w:t>5.10%</w:t>
            </w:r>
          </w:p>
        </w:tc>
        <w:tc>
          <w:tcPr>
            <w:tcW w:w="4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5.45%</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rPr>
              <w:t>5.80%</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6.15%</w:t>
            </w:r>
          </w:p>
        </w:tc>
      </w:tr>
      <w:tr>
        <w:trPr>
          <w:trHeight w:val="210"/>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1 Year</w:t>
            </w:r>
          </w:p>
        </w:tc>
        <w:tc>
          <w:tcPr>
            <w:tcW w:w="168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5.50%</w:t>
            </w:r>
          </w:p>
        </w:tc>
        <w:tc>
          <w:tcPr>
            <w:tcW w:w="12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8"/>
              </w:rPr>
              <w:t>5.85%</w:t>
            </w:r>
          </w:p>
        </w:tc>
        <w:tc>
          <w:tcPr>
            <w:tcW w:w="4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6.20%</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rPr>
              <w:t>6.55%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6.90%</w:t>
            </w:r>
          </w:p>
        </w:tc>
      </w:tr>
      <w:tr>
        <w:trPr>
          <w:trHeight w:val="209"/>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2 Year</w:t>
            </w:r>
          </w:p>
        </w:tc>
        <w:tc>
          <w:tcPr>
            <w:tcW w:w="168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6.00%</w:t>
            </w:r>
          </w:p>
        </w:tc>
        <w:tc>
          <w:tcPr>
            <w:tcW w:w="12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8"/>
              </w:rPr>
              <w:t>6.35%</w:t>
            </w:r>
          </w:p>
        </w:tc>
        <w:tc>
          <w:tcPr>
            <w:tcW w:w="4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6.70%</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rPr>
              <w:t>7.05%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7.40%</w:t>
            </w:r>
          </w:p>
        </w:tc>
      </w:tr>
      <w:tr>
        <w:trPr>
          <w:trHeight w:val="210"/>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3 Year</w:t>
            </w:r>
          </w:p>
        </w:tc>
        <w:tc>
          <w:tcPr>
            <w:tcW w:w="168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6.50%</w:t>
            </w:r>
          </w:p>
        </w:tc>
        <w:tc>
          <w:tcPr>
            <w:tcW w:w="12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8"/>
              </w:rPr>
              <w:t>6.85%</w:t>
            </w:r>
          </w:p>
        </w:tc>
        <w:tc>
          <w:tcPr>
            <w:tcW w:w="4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7.20%</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rPr>
              <w:t>7.55%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7.90%</w:t>
            </w:r>
          </w:p>
        </w:tc>
      </w:tr>
      <w:tr>
        <w:trPr>
          <w:trHeight w:val="209"/>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4 Year</w:t>
            </w:r>
          </w:p>
        </w:tc>
        <w:tc>
          <w:tcPr>
            <w:tcW w:w="168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7.00%</w:t>
            </w:r>
          </w:p>
        </w:tc>
        <w:tc>
          <w:tcPr>
            <w:tcW w:w="12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8"/>
              </w:rPr>
              <w:t>7.35%</w:t>
            </w:r>
          </w:p>
        </w:tc>
        <w:tc>
          <w:tcPr>
            <w:tcW w:w="4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7.70%</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rPr>
              <w:t>8.05%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8.40%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6065520</wp:posOffset>
            </wp:positionH>
            <wp:positionV relativeFrom="paragraph">
              <wp:posOffset>-1293495</wp:posOffset>
            </wp:positionV>
            <wp:extent cx="8890"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890" cy="42037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-1293495</wp:posOffset>
            </wp:positionV>
            <wp:extent cx="8255" cy="420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42037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-1293495</wp:posOffset>
            </wp:positionV>
            <wp:extent cx="8890"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42037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-1293495</wp:posOffset>
            </wp:positionV>
            <wp:extent cx="8890" cy="420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420370"/>
                    </a:xfrm>
                    <a:prstGeom prst="rect">
                      <a:avLst/>
                    </a:prstGeom>
                    <a:noFill/>
                  </pic:spPr>
                </pic:pic>
              </a:graphicData>
            </a:graphic>
          </wp:anchor>
        </w:drawing>
      </w:r>
    </w:p>
    <w:p>
      <w:pPr>
        <w:spacing w:after="0" w:line="178" w:lineRule="exact"/>
        <w:rPr>
          <w:sz w:val="24"/>
          <w:szCs w:val="24"/>
          <w:color w:val="auto"/>
        </w:rPr>
      </w:pPr>
    </w:p>
    <w:p>
      <w:pPr>
        <w:jc w:val="both"/>
        <w:ind w:left="66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the applicable portfolio amount at the time you purchase or renew a note by aggregating the principal amount of all notes issued by Consumer Portfolio Services, Inc. that are currently owned by you and your immediate family members. Immediate family members include your parents, children, siblings, grandparents and grandchildren. Members of a sibling’s family are also considered immediate family members if the sibling is also a note holder.</w:t>
      </w:r>
    </w:p>
    <w:p>
      <w:pPr>
        <w:spacing w:after="0" w:line="18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offering these notes to investors in the following states of the United States of America: Arkansas, California, Colorado, Connecticut, Florida, Georgia, Hawaii, Idaho, Illinois, Indiana, Iowa, Kansas, Louisiana, Maine, Michigan, Minnesota, Mississippi, Missouri, New Mexico, New York, North Carolina, Ohio, Oklahoma, Pennsylvania, South Carolina, South Dakota, Tennessee, Texas, Vermont, and Wisconsin.</w:t>
      </w:r>
    </w:p>
    <w:p>
      <w:pPr>
        <w:spacing w:after="0" w:line="176"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description in this interest rate supplement of the terms of these notes adds to the description of the general terms and provisions of the notes in the base prospectus included in the registration statement we filed with the SEC (dated November 20, 2023) file number 333-272653, and the prospectus supplement (dated April 13, 2026). Investors should rely on the description of the notes in this interest rate supplement if it is inconsistent with the description in the prospectus.</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CPSnotes.com / InvestorServices@CPSnotes.com / 888-776-1887</w:t>
      </w:r>
    </w:p>
    <w:sectPr>
      <w:pgSz w:w="11900" w:h="16838" w:orient="portrait"/>
      <w:cols w:equalWidth="0" w:num="1">
        <w:col w:w="11240"/>
      </w:cols>
      <w:pgMar w:left="320" w:top="4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2026-04-13T14:12:14Z</dcterms:created>
  <dcterms:modified xsi:type="dcterms:W3CDTF">2026-04-13T14:12:14Z</dcterms:modified>
</cp:coreProperties>
</file>