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2120" w:right="2360" w:hanging="881"/>
        <w:spacing w:after="0" w:line="282" w:lineRule="auto"/>
        <w:tabs>
          <w:tab w:leader="none" w:pos="2120" w:val="left"/>
        </w:tabs>
        <w:numPr>
          <w:ilvl w:val="0"/>
          <w:numId w:val="1"/>
        </w:numPr>
        <w:rPr>
          <w:rFonts w:ascii="Arial" w:cs="Arial" w:eastAsia="Arial" w:hAnsi="Arial"/>
          <w:sz w:val="16"/>
          <w:szCs w:val="16"/>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120" w:right="2340" w:hanging="863"/>
        <w:spacing w:after="0" w:line="282" w:lineRule="auto"/>
        <w:tabs>
          <w:tab w:leader="none" w:pos="2100" w:val="left"/>
        </w:tabs>
        <w:rPr>
          <w:sz w:val="20"/>
          <w:szCs w:val="20"/>
          <w:color w:val="auto"/>
        </w:rPr>
      </w:pPr>
      <w:r>
        <w:rPr>
          <w:rFonts w:ascii="Arial" w:cs="Arial" w:eastAsia="Arial" w:hAnsi="Arial"/>
          <w:sz w:val="16"/>
          <w:szCs w:val="16"/>
          <w:b w:val="1"/>
          <w:bCs w:val="1"/>
          <w:color w:val="auto"/>
        </w:rPr>
        <w:t>[_]</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1-14116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CONSUMER PORTFOLIO SERVICES,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6"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24"/>
        </w:trPr>
        <w:tc>
          <w:tcPr>
            <w:tcW w:w="460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3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600" w:type="dxa"/>
            <w:vAlign w:val="bottom"/>
          </w:tcPr>
          <w:p>
            <w:pPr>
              <w:jc w:val="center"/>
              <w:ind w:right="730"/>
              <w:spacing w:after="0"/>
              <w:rPr>
                <w:sz w:val="20"/>
                <w:szCs w:val="20"/>
                <w:color w:val="auto"/>
              </w:rPr>
            </w:pPr>
            <w:r>
              <w:rPr>
                <w:rFonts w:ascii="Arial" w:cs="Arial" w:eastAsia="Arial" w:hAnsi="Arial"/>
                <w:sz w:val="18"/>
                <w:szCs w:val="18"/>
                <w:color w:val="auto"/>
                <w:w w:val="90"/>
              </w:rPr>
              <w:t>Common Stock, no par value</w:t>
            </w:r>
          </w:p>
        </w:tc>
        <w:tc>
          <w:tcPr>
            <w:tcW w:w="2500" w:type="dxa"/>
            <w:vAlign w:val="bottom"/>
          </w:tcPr>
          <w:p>
            <w:pPr>
              <w:jc w:val="center"/>
              <w:ind w:right="150"/>
              <w:spacing w:after="0"/>
              <w:rPr>
                <w:sz w:val="20"/>
                <w:szCs w:val="20"/>
                <w:color w:val="auto"/>
              </w:rPr>
            </w:pPr>
            <w:r>
              <w:rPr>
                <w:rFonts w:ascii="Arial" w:cs="Arial" w:eastAsia="Arial" w:hAnsi="Arial"/>
                <w:sz w:val="18"/>
                <w:szCs w:val="18"/>
                <w:color w:val="auto"/>
                <w:w w:val="85"/>
              </w:rPr>
              <w:t>CPSS</w:t>
            </w:r>
          </w:p>
        </w:tc>
        <w:tc>
          <w:tcPr>
            <w:tcW w:w="432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 (Global Market)</w:t>
            </w:r>
          </w:p>
        </w:tc>
      </w:tr>
    </w:tbl>
    <w:p>
      <w:pPr>
        <w:spacing w:after="0" w:line="29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[_]</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38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[_]</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102"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11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Emerging growth company [_]</w:t>
      </w:r>
    </w:p>
    <w:p>
      <w:pPr>
        <w:sectPr>
          <w:pgSz w:w="11900" w:h="16838" w:orient="portrait"/>
          <w:cols w:equalWidth="0" w:num="1">
            <w:col w:w="11420"/>
          </w:cols>
          <w:pgMar w:left="240" w:top="233" w:right="239" w:bottom="1440" w:gutter="0" w:footer="0" w:header="0"/>
          <w:type w:val="continuous"/>
        </w:sectPr>
      </w:pPr>
    </w:p>
    <w:p>
      <w:pPr>
        <w:spacing w:after="0" w:line="35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2019 the registrant had 22,525,718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60" w:type="dxa"/>
            <w:vAlign w:val="bottom"/>
            <w:gridSpan w:val="8"/>
            <w:vMerge w:val="restart"/>
          </w:tcPr>
          <w:p>
            <w:pPr>
              <w:ind w:left="114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gridSpan w:val="2"/>
          </w:tcPr>
          <w:p>
            <w:pPr>
              <w:ind w:left="1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8"/>
            <w:vMerge w:val="continue"/>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3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2019 and December 31, 2018</w:t>
              </w:r>
            </w:hyperlink>
          </w:p>
        </w:tc>
        <w:tc>
          <w:tcPr>
            <w:tcW w:w="2400" w:type="dxa"/>
            <w:vAlign w:val="bottom"/>
            <w:gridSpan w:val="5"/>
          </w:tcPr>
          <w:p>
            <w:pPr>
              <w:spacing w:after="0"/>
              <w:rPr>
                <w:sz w:val="24"/>
                <w:szCs w:val="24"/>
                <w:color w:val="auto"/>
              </w:rPr>
            </w:pP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04"/>
        </w:trPr>
        <w:tc>
          <w:tcPr>
            <w:tcW w:w="9340" w:type="dxa"/>
            <w:vAlign w:val="bottom"/>
            <w:gridSpan w:val="1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three-month and six-month periods ended June 30, 2019</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260" w:type="dxa"/>
            <w:vAlign w:val="bottom"/>
            <w:gridSpan w:val="2"/>
          </w:tcPr>
          <w:p>
            <w:pPr>
              <w:spacing w:after="0"/>
              <w:rPr>
                <w:sz w:val="17"/>
                <w:szCs w:val="17"/>
                <w:color w:val="auto"/>
              </w:rPr>
            </w:pPr>
          </w:p>
        </w:tc>
        <w:tc>
          <w:tcPr>
            <w:tcW w:w="5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9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2019 and 2018</w:t>
              </w:r>
            </w:hyperlink>
          </w:p>
        </w:tc>
        <w:tc>
          <w:tcPr>
            <w:tcW w:w="7620" w:type="dxa"/>
            <w:vAlign w:val="bottom"/>
            <w:gridSpan w:val="9"/>
          </w:tcPr>
          <w:p>
            <w:pPr>
              <w:spacing w:after="0"/>
              <w:rPr>
                <w:sz w:val="17"/>
                <w:szCs w:val="17"/>
                <w:color w:val="auto"/>
              </w:rPr>
            </w:pPr>
          </w:p>
        </w:tc>
        <w:tc>
          <w:tcPr>
            <w:tcW w:w="5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04"/>
        </w:trPr>
        <w:tc>
          <w:tcPr>
            <w:tcW w:w="86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six-month periods ended June 30, 2019 and 2018</w:t>
              </w:r>
            </w:hyperlink>
          </w:p>
        </w:tc>
        <w:tc>
          <w:tcPr>
            <w:tcW w:w="720" w:type="dxa"/>
            <w:vAlign w:val="bottom"/>
            <w:gridSpan w:val="4"/>
          </w:tcPr>
          <w:p>
            <w:pPr>
              <w:spacing w:after="0"/>
              <w:rPr>
                <w:sz w:val="24"/>
                <w:szCs w:val="24"/>
                <w:color w:val="auto"/>
              </w:rPr>
            </w:pP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304"/>
        </w:trPr>
        <w:tc>
          <w:tcPr>
            <w:tcW w:w="9340" w:type="dxa"/>
            <w:vAlign w:val="bottom"/>
            <w:gridSpan w:val="1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Shareholders’ Equity for the three-month and six-month periods ended June</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30, 2019 and 2018</w:t>
              </w:r>
            </w:hyperlink>
          </w:p>
        </w:tc>
        <w:tc>
          <w:tcPr>
            <w:tcW w:w="200" w:type="dxa"/>
            <w:vAlign w:val="bottom"/>
          </w:tcPr>
          <w:p>
            <w:pPr>
              <w:spacing w:after="0"/>
              <w:rPr>
                <w:sz w:val="17"/>
                <w:szCs w:val="17"/>
                <w:color w:val="auto"/>
              </w:rPr>
            </w:pPr>
          </w:p>
        </w:tc>
        <w:tc>
          <w:tcPr>
            <w:tcW w:w="5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40" w:type="dxa"/>
            <w:vAlign w:val="bottom"/>
            <w:gridSpan w:val="7"/>
          </w:tcPr>
          <w:p>
            <w:pPr>
              <w:spacing w:after="0"/>
              <w:rPr>
                <w:sz w:val="24"/>
                <w:szCs w:val="24"/>
                <w:color w:val="auto"/>
              </w:rPr>
            </w:pP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304"/>
        </w:trPr>
        <w:tc>
          <w:tcPr>
            <w:tcW w:w="934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304"/>
        </w:trPr>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4680" w:type="dxa"/>
            <w:vAlign w:val="bottom"/>
            <w:tcBorders>
              <w:top w:val="single" w:sz="8" w:color="0000EE"/>
              <w:bottom w:val="single" w:sz="8" w:color="0000EE"/>
            </w:tcBorders>
            <w:gridSpan w:val="2"/>
            <w:vMerge w:val="restart"/>
          </w:tcPr>
          <w:p>
            <w:pPr>
              <w:spacing w:after="0"/>
              <w:rPr>
                <w:sz w:val="24"/>
                <w:szCs w:val="24"/>
                <w:color w:val="auto"/>
              </w:rPr>
            </w:pPr>
          </w:p>
        </w:tc>
        <w:tc>
          <w:tcPr>
            <w:tcW w:w="2880" w:type="dxa"/>
            <w:vAlign w:val="bottom"/>
            <w:gridSpan w:val="6"/>
            <w:vMerge w:val="restart"/>
          </w:tcPr>
          <w:p>
            <w:pPr>
              <w:spacing w:after="0"/>
              <w:rPr>
                <w:sz w:val="24"/>
                <w:szCs w:val="24"/>
                <w:color w:val="auto"/>
              </w:rPr>
            </w:pPr>
          </w:p>
        </w:tc>
        <w:tc>
          <w:tcPr>
            <w:tcW w:w="5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75"/>
        </w:trPr>
        <w:tc>
          <w:tcPr>
            <w:tcW w:w="1780" w:type="dxa"/>
            <w:vAlign w:val="bottom"/>
            <w:gridSpan w:val="5"/>
          </w:tcPr>
          <w:p>
            <w:pPr>
              <w:spacing w:after="0"/>
              <w:rPr>
                <w:sz w:val="6"/>
                <w:szCs w:val="6"/>
                <w:color w:val="auto"/>
              </w:rPr>
            </w:pPr>
          </w:p>
        </w:tc>
        <w:tc>
          <w:tcPr>
            <w:tcW w:w="4680" w:type="dxa"/>
            <w:vAlign w:val="bottom"/>
            <w:gridSpan w:val="2"/>
            <w:vMerge w:val="continue"/>
          </w:tcPr>
          <w:p>
            <w:pPr>
              <w:spacing w:after="0"/>
              <w:rPr>
                <w:sz w:val="6"/>
                <w:szCs w:val="6"/>
                <w:color w:val="auto"/>
              </w:rPr>
            </w:pPr>
          </w:p>
        </w:tc>
        <w:tc>
          <w:tcPr>
            <w:tcW w:w="2880" w:type="dxa"/>
            <w:vAlign w:val="bottom"/>
            <w:gridSpan w:val="6"/>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ectPr>
          <w:pgSz w:w="11900" w:h="16838" w:orient="portrait"/>
          <w:cols w:equalWidth="0" w:num="2">
            <w:col w:w="540" w:space="720"/>
            <w:col w:w="9900"/>
          </w:cols>
          <w:pgMar w:left="240" w:top="796" w:right="49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5640" w:type="dxa"/>
            <w:vAlign w:val="bottom"/>
            <w:gridSpan w:val="2"/>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698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Unregistered Sales of Equity Securities and Use of Proceeds</w:t>
              </w:r>
            </w:hyperlink>
          </w:p>
        </w:tc>
        <w:tc>
          <w:tcPr>
            <w:tcW w:w="262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698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04"/>
        </w:trPr>
        <w:tc>
          <w:tcPr>
            <w:tcW w:w="1260" w:type="dxa"/>
            <w:vAlign w:val="bottom"/>
          </w:tcPr>
          <w:p>
            <w:pPr>
              <w:spacing w:after="0"/>
              <w:rPr>
                <w:sz w:val="24"/>
                <w:szCs w:val="24"/>
                <w:color w:val="auto"/>
              </w:rPr>
            </w:pPr>
          </w:p>
        </w:tc>
        <w:tc>
          <w:tcPr>
            <w:tcW w:w="698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3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9,745</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Restricted cash and equivalents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125,486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Finance receivables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1,180,253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1,522,085</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(32,664)</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(67,376)</w:t>
            </w:r>
          </w:p>
        </w:tc>
        <w:tc>
          <w:tcPr>
            <w:tcW w:w="0" w:type="dxa"/>
            <w:vAlign w:val="bottom"/>
          </w:tcPr>
          <w:p>
            <w:pPr>
              <w:spacing w:after="0"/>
              <w:rPr>
                <w:sz w:val="1"/>
                <w:szCs w:val="1"/>
                <w:color w:val="auto"/>
              </w:rPr>
            </w:pPr>
          </w:p>
        </w:tc>
      </w:tr>
      <w:tr>
        <w:trPr>
          <w:trHeight w:val="210"/>
        </w:trPr>
        <w:tc>
          <w:tcPr>
            <w:tcW w:w="7780" w:type="dxa"/>
            <w:vAlign w:val="bottom"/>
          </w:tcPr>
          <w:p>
            <w:pPr>
              <w:ind w:left="100"/>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1,147,589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1,158,365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821,066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19,188</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16,394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48,387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2,524,813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2,485,680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53,960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31,692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Warehouse lines of credit</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139,224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Residual interest financing</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39,292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39,106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Securitization trust debt</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2,077,286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2,063,627</w:t>
            </w:r>
          </w:p>
        </w:tc>
        <w:tc>
          <w:tcPr>
            <w:tcW w:w="0" w:type="dxa"/>
            <w:vAlign w:val="bottom"/>
          </w:tcPr>
          <w:p>
            <w:pPr>
              <w:spacing w:after="0"/>
              <w:rPr>
                <w:sz w:val="1"/>
                <w:szCs w:val="1"/>
                <w:color w:val="auto"/>
              </w:rPr>
            </w:pPr>
          </w:p>
        </w:tc>
      </w:tr>
      <w:tr>
        <w:trPr>
          <w:trHeight w:val="230"/>
        </w:trPr>
        <w:tc>
          <w:tcPr>
            <w:tcW w:w="7780" w:type="dxa"/>
            <w:vAlign w:val="bottom"/>
          </w:tcPr>
          <w:p>
            <w:pPr>
              <w:ind w:left="100"/>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14,368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2,324,130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2,288,562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w w:val="93"/>
              </w:rPr>
              <w:t>Common stock, no par value; authorized 75,000,000 shares; 22,525,718 and 22,421,688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June 30, 2019 and December 31, 2018, respectively</w:t>
            </w:r>
          </w:p>
        </w:tc>
        <w:tc>
          <w:tcPr>
            <w:tcW w:w="28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70,299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70,273</w:t>
            </w:r>
          </w:p>
        </w:tc>
        <w:tc>
          <w:tcPr>
            <w:tcW w:w="0" w:type="dxa"/>
            <w:vAlign w:val="bottom"/>
          </w:tcPr>
          <w:p>
            <w:pPr>
              <w:spacing w:after="0"/>
              <w:rPr>
                <w:sz w:val="1"/>
                <w:szCs w:val="1"/>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137,938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134,399</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(7,554)</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200,683</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197,118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2,524,813</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2,485,680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84,449</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97,012</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170,294</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1,876</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4,261</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86,325</w:t>
            </w:r>
          </w:p>
        </w:tc>
        <w:tc>
          <w:tcPr>
            <w:tcW w:w="3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99,362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174,555</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202,926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Employee costs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19,706</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19,842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38,779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8,750</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7,450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16,924</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27,703</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25,187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54,993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20,489</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35,531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44,445</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4,634</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9,470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3,985</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83,555</w:t>
            </w:r>
          </w:p>
        </w:tc>
        <w:tc>
          <w:tcPr>
            <w:tcW w:w="3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94,708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169,109</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193,713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970</w:t>
            </w:r>
          </w:p>
        </w:tc>
        <w:tc>
          <w:tcPr>
            <w:tcW w:w="3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1,489</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1,907</w:t>
            </w:r>
          </w:p>
        </w:tc>
        <w:tc>
          <w:tcPr>
            <w:tcW w:w="3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22,362</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21,178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22,302</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23,978</w:t>
            </w: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25,123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25,393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7"/>
              </w:rPr>
              <w:t>1,800</w:t>
            </w:r>
          </w:p>
        </w:tc>
        <w:tc>
          <w:tcPr>
            <w:tcW w:w="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3,165</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3,539</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418"/>
        </w:trPr>
        <w:tc>
          <w:tcPr>
            <w:tcW w:w="4820" w:type="dxa"/>
            <w:vAlign w:val="bottom"/>
            <w:gridSpan w:val="2"/>
          </w:tcPr>
          <w:p>
            <w:pPr>
              <w:spacing w:after="0"/>
              <w:rPr>
                <w:sz w:val="20"/>
                <w:szCs w:val="20"/>
                <w:color w:val="auto"/>
              </w:rPr>
            </w:pPr>
            <w:r>
              <w:rPr>
                <w:rFonts w:ascii="Arial" w:cs="Arial" w:eastAsia="Arial" w:hAnsi="Arial"/>
                <w:sz w:val="18"/>
                <w:szCs w:val="18"/>
                <w:color w:val="auto"/>
                <w:w w:val="94"/>
              </w:rPr>
              <w:t>Other comprehensive income/(loss); change in funded status of</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80"/>
              <w:spacing w:after="0"/>
              <w:rPr>
                <w:sz w:val="20"/>
                <w:szCs w:val="20"/>
                <w:color w:val="auto"/>
              </w:rPr>
            </w:pPr>
            <w:r>
              <w:rPr>
                <w:rFonts w:ascii="Arial" w:cs="Arial" w:eastAsia="Arial" w:hAnsi="Arial"/>
                <w:sz w:val="18"/>
                <w:szCs w:val="18"/>
                <w:color w:val="auto"/>
              </w:rPr>
              <w:t>pension plan</w:t>
            </w:r>
          </w:p>
        </w:tc>
        <w:tc>
          <w:tcPr>
            <w:tcW w:w="9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1,800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3,165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5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3,539</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interest income accretion on fair value receivables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39,822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4,127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44,445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15,575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2,069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112,418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101,295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261,723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Purchases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(494,626)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Payments received on finance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117,505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(115,377</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(93,069</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482,675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(4,535)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2,677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Net advances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(468,874)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(4,383)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130,110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135,231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137,375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Cash paid received during the period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50,417</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(3,227)</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Non-cash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Right-of-use asset, net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(21,869)</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Lease liability</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23,327</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Deferred office rent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(1,458)</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ind w:left="3920"/>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Common Stock (Shares Outstanding)</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22,134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21,442</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22,422</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Common stock issued upon exercise of options and warrants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EEEEE"/>
            </w:tcBorders>
          </w:tcPr>
          <w:p>
            <w:pPr>
              <w:ind w:left="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22,526</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20,963</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22,526</w:t>
            </w: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69,544</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71,824</w:t>
            </w:r>
          </w:p>
        </w:tc>
        <w:tc>
          <w:tcPr>
            <w:tcW w:w="4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70,273</w:t>
            </w:r>
          </w:p>
        </w:tc>
        <w:tc>
          <w:tcPr>
            <w:tcW w:w="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Common stock issued upon exercise of options and warrants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EEEEE"/>
            </w:tcBorders>
            <w:shd w:val="clear" w:color="auto" w:fill="EEEEEE"/>
          </w:tcPr>
          <w:p>
            <w:pPr>
              <w:ind w:left="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70,299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70,955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70,299</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70,955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136,138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122,684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134,399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3,165</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EEEEE"/>
            </w:tcBorders>
          </w:tcPr>
          <w:p>
            <w:pPr>
              <w:ind w:left="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137,938</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125,849</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137,938</w:t>
            </w: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(7,554)</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(7,182)</w:t>
            </w:r>
          </w:p>
        </w:tc>
        <w:tc>
          <w:tcPr>
            <w:tcW w:w="4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(7,554)</w:t>
            </w:r>
          </w:p>
        </w:tc>
        <w:tc>
          <w:tcPr>
            <w:tcW w:w="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Pension benefit obligation</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EEEEE"/>
            </w:tcBorders>
            <w:shd w:val="clear" w:color="auto" w:fill="EEEEEE"/>
          </w:tcPr>
          <w:p>
            <w:pPr>
              <w:ind w:left="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EEEE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Borders>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200,683</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189,622</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200,683</w:t>
            </w:r>
          </w:p>
        </w:tc>
        <w:tc>
          <w:tcPr>
            <w:tcW w:w="2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189,622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 month period ended June 30, 2019 are not necessarily indicative of the operating results to be expected for the full year.</w:t>
      </w:r>
    </w:p>
    <w:p>
      <w:pPr>
        <w:spacing w:after="0" w:line="148"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0"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130"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2019 and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6"/>
              </w:rPr>
              <w:t>(In thousands)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40" w:type="dxa"/>
            <w:vAlign w:val="bottom"/>
            <w:shd w:val="clear" w:color="auto" w:fill="EEEEEE"/>
          </w:tcPr>
          <w:p>
            <w:pPr>
              <w:jc w:val="right"/>
              <w:ind w:right="77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3"/>
              </w:rPr>
              <w:t>1,051</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1,708</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2,387</w:t>
            </w:r>
          </w:p>
        </w:tc>
        <w:tc>
          <w:tcPr>
            <w:tcW w:w="54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3,504</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570</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1,270</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tax refunds</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431</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9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Effective January 1, 2019, the Company adopted guidance Accounting Standards Update (“ASU 2016-02”) Topic 842, “Leases” using the modified retrospective transition method. Prior comparable periods are presented accordance with previous guidance under Accounting Standards Codification (“ASC”) Topic 840, “Leases.” The Company also elected the package of practical expedients, ASU 2018-11. This election allowed the Company to not reassess if expired or existing contracts contain leases, to not reassess lease classifications for any expired or existing leases and to not reassess existing leases initial direct costs.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0"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Unaudited Condensed Consolidated Balance Sheet at June 30, 2019.</w:t>
      </w:r>
    </w:p>
    <w:p>
      <w:pPr>
        <w:spacing w:after="0" w:line="146"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Six Months Ended,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30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Operating lease right-of-use assets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23,555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EEEEEE"/>
          </w:tcPr>
          <w:p>
            <w:pPr>
              <w:ind w:left="80"/>
              <w:spacing w:after="0"/>
              <w:rPr>
                <w:sz w:val="20"/>
                <w:szCs w:val="20"/>
                <w:color w:val="auto"/>
              </w:rPr>
            </w:pPr>
            <w:r>
              <w:rPr>
                <w:rFonts w:ascii="Arial" w:cs="Arial" w:eastAsia="Arial" w:hAnsi="Arial"/>
                <w:sz w:val="18"/>
                <w:szCs w:val="18"/>
                <w:color w:val="auto"/>
              </w:rPr>
              <w:t>Less: Accumulated amortization right-of-use assets</w:t>
            </w:r>
          </w:p>
        </w:tc>
        <w:tc>
          <w:tcPr>
            <w:tcW w:w="30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(3,348)</w:t>
            </w: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EEEEEE"/>
            </w:tcBorders>
          </w:tcPr>
          <w:p>
            <w:pPr>
              <w:ind w:left="80"/>
              <w:spacing w:after="0"/>
              <w:rPr>
                <w:sz w:val="20"/>
                <w:szCs w:val="20"/>
                <w:color w:val="auto"/>
              </w:rPr>
            </w:pPr>
            <w:r>
              <w:rPr>
                <w:rFonts w:ascii="Arial" w:cs="Arial" w:eastAsia="Arial" w:hAnsi="Arial"/>
                <w:sz w:val="18"/>
                <w:szCs w:val="18"/>
                <w:color w:val="auto"/>
              </w:rPr>
              <w:t>Operating lease right-of-use assets, net</w:t>
            </w:r>
          </w:p>
        </w:tc>
        <w:tc>
          <w:tcPr>
            <w:tcW w:w="30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20,207</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EEEEEE"/>
          </w:tcPr>
          <w:p>
            <w:pPr>
              <w:spacing w:after="0"/>
              <w:rPr>
                <w:sz w:val="17"/>
                <w:szCs w:val="17"/>
                <w:color w:val="auto"/>
              </w:rPr>
            </w:pPr>
          </w:p>
        </w:tc>
        <w:tc>
          <w:tcPr>
            <w:tcW w:w="3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Operating lease liabilities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(21,660)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EEEEEE"/>
          </w:tcPr>
          <w:p>
            <w:pPr>
              <w:spacing w:after="0"/>
              <w:rPr>
                <w:sz w:val="18"/>
                <w:szCs w:val="18"/>
                <w:color w:val="auto"/>
              </w:rPr>
            </w:pP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80"/>
              <w:spacing w:after="0"/>
              <w:rPr>
                <w:sz w:val="20"/>
                <w:szCs w:val="20"/>
                <w:color w:val="auto"/>
              </w:rPr>
            </w:pPr>
            <w:r>
              <w:rPr>
                <w:rFonts w:ascii="Arial" w:cs="Arial" w:eastAsia="Arial" w:hAnsi="Arial"/>
                <w:sz w:val="18"/>
                <w:szCs w:val="18"/>
                <w:color w:val="auto"/>
              </w:rPr>
              <w:t>Property and equipment, at cost</w:t>
            </w:r>
          </w:p>
        </w:tc>
        <w:tc>
          <w:tcPr>
            <w:tcW w:w="3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Less: Accumulated depreciation</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EEEEEE"/>
              <w:bottom w:val="single" w:sz="8" w:color="EEEEEE"/>
            </w:tcBorders>
            <w:shd w:val="clear" w:color="auto" w:fill="EEEEEE"/>
          </w:tcPr>
          <w:p>
            <w:pPr>
              <w:ind w:left="80"/>
              <w:spacing w:after="0"/>
              <w:rPr>
                <w:sz w:val="20"/>
                <w:szCs w:val="20"/>
                <w:color w:val="auto"/>
              </w:rPr>
            </w:pPr>
            <w:r>
              <w:rPr>
                <w:rFonts w:ascii="Arial" w:cs="Arial" w:eastAsia="Arial" w:hAnsi="Arial"/>
                <w:sz w:val="18"/>
                <w:szCs w:val="18"/>
                <w:color w:val="auto"/>
              </w:rPr>
              <w:t>Property and equipment, net</w:t>
            </w:r>
          </w:p>
        </w:tc>
        <w:tc>
          <w:tcPr>
            <w:tcW w:w="30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80"/>
              <w:spacing w:after="0"/>
              <w:rPr>
                <w:sz w:val="20"/>
                <w:szCs w:val="20"/>
                <w:color w:val="auto"/>
              </w:rPr>
            </w:pPr>
            <w:r>
              <w:rPr>
                <w:rFonts w:ascii="Arial" w:cs="Arial" w:eastAsia="Arial" w:hAnsi="Arial"/>
                <w:sz w:val="18"/>
                <w:szCs w:val="18"/>
                <w:color w:val="auto"/>
              </w:rPr>
              <w:t>Finance lease liabilities</w:t>
            </w:r>
          </w:p>
        </w:tc>
        <w:tc>
          <w:tcPr>
            <w:tcW w:w="3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8"/>
                <w:szCs w:val="18"/>
                <w:color w:val="auto"/>
              </w:rPr>
              <w:t>Operating lease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80"/>
              <w:spacing w:after="0"/>
              <w:rPr>
                <w:sz w:val="20"/>
                <w:szCs w:val="20"/>
                <w:color w:val="auto"/>
              </w:rPr>
            </w:pPr>
            <w:r>
              <w:rPr>
                <w:rFonts w:ascii="Arial" w:cs="Arial" w:eastAsia="Arial" w:hAnsi="Arial"/>
                <w:sz w:val="18"/>
                <w:szCs w:val="18"/>
                <w:color w:val="auto"/>
              </w:rPr>
              <w:t>Finance lease</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 thousands)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Operating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5"/>
              </w:rPr>
              <w:t>Lease</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2019 (excluding the six months ended June 30, 2019)</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3,809</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2021</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7,391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3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6,125</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30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3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Less amounts representing interest</w:t>
            </w:r>
          </w:p>
        </w:tc>
        <w:tc>
          <w:tcPr>
            <w:tcW w:w="30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(5,243)</w:t>
            </w: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Lease Liability</w:t>
            </w:r>
          </w:p>
        </w:tc>
        <w:tc>
          <w:tcPr>
            <w:tcW w:w="3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40" w:type="dxa"/>
            <w:vAlign w:val="bottom"/>
            <w:vMerge w:val="restart"/>
          </w:tcPr>
          <w:p>
            <w:pPr>
              <w:jc w:val="right"/>
              <w:ind w:right="18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The following table presents the leases expense included in Occupancy, General and administrative on our Unaudited Condensed Consolidated Statement of Operations: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19"/>
                <w:szCs w:val="19"/>
                <w:color w:val="auto"/>
              </w:rPr>
            </w:pPr>
          </w:p>
        </w:tc>
      </w:tr>
      <w:tr>
        <w:trPr>
          <w:trHeight w:val="234"/>
        </w:trPr>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2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r>
      <w:tr>
        <w:trPr>
          <w:trHeight w:val="195"/>
        </w:trPr>
        <w:tc>
          <w:tcPr>
            <w:tcW w:w="940" w:type="dxa"/>
            <w:vAlign w:val="bottom"/>
          </w:tcPr>
          <w:p>
            <w:pPr>
              <w:spacing w:after="0"/>
              <w:rPr>
                <w:sz w:val="16"/>
                <w:szCs w:val="16"/>
                <w:color w:val="auto"/>
              </w:rPr>
            </w:pPr>
          </w:p>
        </w:tc>
        <w:tc>
          <w:tcPr>
            <w:tcW w:w="1740" w:type="dxa"/>
            <w:vAlign w:val="bottom"/>
            <w:gridSpan w:val="3"/>
          </w:tcPr>
          <w:p>
            <w:pPr>
              <w:jc w:val="right"/>
              <w:ind w:right="430"/>
              <w:spacing w:after="0" w:line="195" w:lineRule="exact"/>
              <w:rPr>
                <w:sz w:val="20"/>
                <w:szCs w:val="20"/>
                <w:color w:val="auto"/>
              </w:rPr>
            </w:pPr>
            <w:r>
              <w:rPr>
                <w:rFonts w:ascii="Arial" w:cs="Arial" w:eastAsia="Arial" w:hAnsi="Arial"/>
                <w:sz w:val="18"/>
                <w:szCs w:val="18"/>
                <w:b w:val="1"/>
                <w:bCs w:val="1"/>
                <w:color w:val="auto"/>
                <w:w w:val="96"/>
              </w:rPr>
              <w:t>(In thousands)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6"/>
                <w:szCs w:val="16"/>
                <w:color w:val="auto"/>
              </w:rPr>
            </w:pPr>
          </w:p>
        </w:tc>
      </w:tr>
      <w:tr>
        <w:trPr>
          <w:trHeight w:val="230"/>
        </w:trPr>
        <w:tc>
          <w:tcPr>
            <w:tcW w:w="940" w:type="dxa"/>
            <w:vAlign w:val="bottom"/>
          </w:tcPr>
          <w:p>
            <w:pPr>
              <w:jc w:val="right"/>
              <w:ind w:right="77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1,886</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1,795</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3,775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1,930</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00"/>
          </w:cols>
          <w:pgMar w:left="240" w:top="796"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18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Three Months</w:t>
            </w:r>
          </w:p>
        </w:tc>
        <w:tc>
          <w:tcPr>
            <w:tcW w:w="30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Ended</w:t>
            </w:r>
          </w:p>
        </w:tc>
        <w:tc>
          <w:tcPr>
            <w:tcW w:w="30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2019</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FFFFFF"/>
              </w:rPr>
              <w:t>$</w:t>
            </w:r>
          </w:p>
        </w:tc>
        <w:tc>
          <w:tcPr>
            <w:tcW w:w="326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1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1,890</w:t>
            </w:r>
          </w:p>
        </w:tc>
        <w:tc>
          <w:tcPr>
            <w:tcW w:w="3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14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30"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For the three and six months ended June 30, 2019, we recorded stock-based compensation costs in the amount of $481,000 and $1.1 million, respectively. These stock-based compensation costs were $1.0 million and $2.2 million for the three and six months ended June 30, 2018. As of June 30, 2019, unrecognized stock-based compensation costs to be recognized over future periods equaled $2.5 million. This amount will be recognized as expense over a weighted-average period of 2.0 years.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represents stock option activity for the six months ended June 30,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center"/>
              <w:ind w:left="30"/>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8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0.86</w:t>
            </w:r>
          </w:p>
        </w:tc>
        <w:tc>
          <w:tcPr>
            <w:tcW w:w="15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13,938</w:t>
            </w:r>
          </w:p>
        </w:tc>
        <w:tc>
          <w:tcPr>
            <w:tcW w:w="200" w:type="dxa"/>
            <w:vAlign w:val="bottom"/>
            <w:tcBorders>
              <w:top w:val="single" w:sz="8" w:color="EEEEEE"/>
            </w:tcBorders>
            <w:shd w:val="clear" w:color="auto" w:fill="EEEEEE"/>
          </w:tcPr>
          <w:p>
            <w:pPr>
              <w:spacing w:after="0"/>
              <w:rPr>
                <w:sz w:val="19"/>
                <w:szCs w:val="19"/>
                <w:color w:val="auto"/>
              </w:rPr>
            </w:pPr>
          </w:p>
        </w:tc>
        <w:tc>
          <w:tcPr>
            <w:tcW w:w="340" w:type="dxa"/>
            <w:vAlign w:val="bottom"/>
            <w:tcBorders>
              <w:top w:val="single" w:sz="8" w:color="EEEEEE"/>
            </w:tcBorders>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4.69</w:t>
            </w:r>
          </w:p>
        </w:tc>
        <w:tc>
          <w:tcPr>
            <w:tcW w:w="1500" w:type="dxa"/>
            <w:vAlign w:val="bottom"/>
            <w:tcBorders>
              <w:top w:val="single" w:sz="8" w:color="EEEEEE"/>
            </w:tcBorders>
            <w:gridSpan w:val="2"/>
            <w:shd w:val="clear" w:color="auto" w:fill="EEEEEE"/>
          </w:tcPr>
          <w:p>
            <w:pPr>
              <w:jc w:val="center"/>
              <w:spacing w:after="0"/>
              <w:rPr>
                <w:sz w:val="20"/>
                <w:szCs w:val="20"/>
                <w:color w:val="auto"/>
              </w:rPr>
            </w:pPr>
            <w:r>
              <w:rPr>
                <w:rFonts w:ascii="Arial" w:cs="Arial" w:eastAsia="Arial" w:hAnsi="Arial"/>
                <w:sz w:val="18"/>
                <w:szCs w:val="18"/>
                <w:color w:val="auto"/>
                <w:w w:val="87"/>
              </w:rPr>
              <w:t>3.52 years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11,742</w:t>
            </w:r>
          </w:p>
        </w:tc>
        <w:tc>
          <w:tcPr>
            <w:tcW w:w="34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4.87</w:t>
            </w:r>
          </w:p>
        </w:tc>
        <w:tc>
          <w:tcPr>
            <w:tcW w:w="15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7"/>
              </w:rPr>
              <w:t>3.22 years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97"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At June 30, 2019, the aggregate intrinsic value of options outstanding and exercisable was $7.0 million and $6.5 million, respectively. There were 482,500 options exercised for the six months ended June 30, 2019 compared to 312,500 for the comparable period in 2018. The total intrinsic value of options exercised was $1.4 million and $860,000 for the six-month periods ended June 30, 2019 and 2018. There were 2,873,000 shares available for future stock option grants under existing plans as of June 30,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describes the purchase of our common stock for the six-month ended June 30,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4"/>
          </w:tcPr>
          <w:p>
            <w:pPr>
              <w:ind w:left="46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2019</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6"/>
          </w:tcPr>
          <w:p>
            <w:pPr>
              <w:ind w:left="1000"/>
              <w:spacing w:after="0"/>
              <w:rPr>
                <w:sz w:val="20"/>
                <w:szCs w:val="20"/>
                <w:color w:val="auto"/>
              </w:rPr>
            </w:pPr>
            <w:r>
              <w:rPr>
                <w:rFonts w:ascii="Arial" w:cs="Arial" w:eastAsia="Arial" w:hAnsi="Arial"/>
                <w:sz w:val="18"/>
                <w:szCs w:val="18"/>
                <w:b w:val="1"/>
                <w:bCs w:val="1"/>
                <w:color w:val="auto"/>
              </w:rPr>
              <w:t>June 30, 2018</w:t>
            </w:r>
          </w:p>
        </w:tc>
      </w:tr>
      <w:tr>
        <w:trPr>
          <w:trHeight w:val="223"/>
        </w:trPr>
        <w:tc>
          <w:tcPr>
            <w:tcW w:w="4820" w:type="dxa"/>
            <w:vAlign w:val="bottom"/>
          </w:tcPr>
          <w:p>
            <w:pPr>
              <w:spacing w:after="0"/>
              <w:rPr>
                <w:sz w:val="19"/>
                <w:szCs w:val="19"/>
                <w:color w:val="auto"/>
              </w:rPr>
            </w:pPr>
          </w:p>
        </w:tc>
        <w:tc>
          <w:tcPr>
            <w:tcW w:w="172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Avg. Price</w:t>
            </w:r>
          </w:p>
        </w:tc>
        <w:tc>
          <w:tcPr>
            <w:tcW w:w="360" w:type="dxa"/>
            <w:vAlign w:val="bottom"/>
          </w:tcPr>
          <w:p>
            <w:pPr>
              <w:spacing w:after="0"/>
              <w:rPr>
                <w:sz w:val="19"/>
                <w:szCs w:val="19"/>
                <w:color w:val="auto"/>
              </w:rPr>
            </w:pPr>
          </w:p>
        </w:tc>
        <w:tc>
          <w:tcPr>
            <w:tcW w:w="168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Avg. Price</w:t>
            </w:r>
          </w:p>
        </w:tc>
        <w:tc>
          <w:tcPr>
            <w:tcW w:w="100" w:type="dxa"/>
            <w:vAlign w:val="bottom"/>
            <w:gridSpan w:val="2"/>
          </w:tcPr>
          <w:p>
            <w:pPr>
              <w:spacing w:after="0"/>
              <w:rPr>
                <w:sz w:val="19"/>
                <w:szCs w:val="19"/>
                <w:color w:val="auto"/>
              </w:rPr>
            </w:pPr>
          </w:p>
        </w:tc>
      </w:tr>
      <w:tr>
        <w:trPr>
          <w:trHeight w:val="210"/>
        </w:trPr>
        <w:tc>
          <w:tcPr>
            <w:tcW w:w="4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335,546</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714,898</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18,424</w:t>
            </w:r>
          </w:p>
        </w:tc>
        <w:tc>
          <w:tcPr>
            <w:tcW w:w="3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3.76</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33,599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 purchases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24,500</w:t>
            </w:r>
          </w:p>
        </w:tc>
        <w:tc>
          <w:tcPr>
            <w:tcW w:w="3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4.20</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ind w:left="100"/>
              <w:spacing w:after="0"/>
              <w:rPr>
                <w:sz w:val="20"/>
                <w:szCs w:val="20"/>
                <w:color w:val="auto"/>
              </w:rPr>
            </w:pPr>
            <w:r>
              <w:rPr>
                <w:rFonts w:ascii="Arial" w:cs="Arial" w:eastAsia="Arial" w:hAnsi="Arial"/>
                <w:sz w:val="18"/>
                <w:szCs w:val="18"/>
                <w:color w:val="auto"/>
              </w:rPr>
              <w:t>Total stock purchases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378,470</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838,497</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80"/>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2019,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97"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record at each measurement date, most recently as of June 30, 2019, our best estimate of probable incurred losses for legal contingencies. The amount of losses that may ultimately be incurred cannot be estimated with certainty.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17"/>
          <w:szCs w:val="17"/>
          <w:color w:val="auto"/>
        </w:rPr>
        <w:t>In June 2016, the FASB issued Accounting Standards Update ("ASU") 2016-13 - Financial Instruments - Credit Losses (Topic 326): Measurement of Credit Losses on Financial Instruments. The revised accounting guidance changes the criteria under which credit losses are measured. The amendment introduces a new credit reserving model known as the Current Expected Credit Loss (CECL) model, which replaces the incurred loss impairment methodology in current U.S. GAAP with a methodology that reflects expected credit losses and requires consideration of a broader range of reasonable and supportable information to establish credit loss estimates. ASU 2016-13 was initially scheduled to become effective for interim and annual reporting periods beginning after December 15, 2019, however on July 17, 2019, the FASB proposed a tentative effective date for smaller reporting companies. If the FASB approves the tentative decision, ASU 2016-13 would become effective for interim and annual reporting periods beginning after December 15, 2022. Early adoption would still be permitted for interim and annual reporting periods beginning after December 15, 2019. The Company is currently evaluating the provisions of ASU 2016-13, however, it is expected that the new CECL model will alter the assumptions used in calculating the Company's credit losses, given the change to estimated losses for the estimated life of the financial asset, and will likely result in a material effect on the Company’s financial position and results of operations.</w:t>
      </w:r>
    </w:p>
    <w:p>
      <w:pPr>
        <w:spacing w:after="0" w:line="156" w:lineRule="exact"/>
        <w:rPr>
          <w:sz w:val="20"/>
          <w:szCs w:val="20"/>
          <w:color w:val="auto"/>
        </w:rPr>
      </w:pPr>
    </w:p>
    <w:p>
      <w:pPr>
        <w:ind w:left="440" w:hanging="25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185"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38"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00" w:type="dxa"/>
            <w:vAlign w:val="bottom"/>
          </w:tcPr>
          <w:p>
            <w:pPr>
              <w:spacing w:after="0"/>
              <w:rPr>
                <w:sz w:val="19"/>
                <w:szCs w:val="19"/>
                <w:color w:val="auto"/>
              </w:rPr>
            </w:pPr>
          </w:p>
        </w:tc>
        <w:tc>
          <w:tcPr>
            <w:tcW w:w="342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Automobile finance receivables, net of unearned interest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1,177,484</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1,518,395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00"/>
              <w:spacing w:after="0"/>
              <w:rPr>
                <w:sz w:val="20"/>
                <w:szCs w:val="20"/>
                <w:color w:val="auto"/>
              </w:rPr>
            </w:pPr>
            <w:r>
              <w:rPr>
                <w:rFonts w:ascii="Arial" w:cs="Arial" w:eastAsia="Arial" w:hAnsi="Arial"/>
                <w:sz w:val="18"/>
                <w:szCs w:val="18"/>
                <w:color w:val="auto"/>
              </w:rPr>
              <w:t>Unearned acquisition fees and originations costs</w:t>
            </w:r>
          </w:p>
        </w:tc>
        <w:tc>
          <w:tcPr>
            <w:tcW w:w="1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2,769</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3,690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Finance receivables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1,180,253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1,522,085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13</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0"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delinquency status of finance receivables as of June 30, 2019 and December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8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174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948,130</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1,262,730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2660" w:type="dxa"/>
            <w:vAlign w:val="bottom"/>
          </w:tcPr>
          <w:p>
            <w:pPr>
              <w:ind w:left="20"/>
              <w:spacing w:after="0"/>
              <w:rPr>
                <w:sz w:val="20"/>
                <w:szCs w:val="20"/>
                <w:color w:val="auto"/>
              </w:rPr>
            </w:pPr>
            <w:r>
              <w:rPr>
                <w:rFonts w:ascii="Arial" w:cs="Arial" w:eastAsia="Arial" w:hAnsi="Arial"/>
                <w:sz w:val="18"/>
                <w:szCs w:val="18"/>
                <w:color w:val="auto"/>
              </w:rPr>
              <w:t>- 60 days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135,066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157,688</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26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65,294</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66,134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2660" w:type="dxa"/>
            <w:vAlign w:val="bottom"/>
          </w:tcPr>
          <w:p>
            <w:pPr>
              <w:ind w:left="20"/>
              <w:spacing w:after="0"/>
              <w:rPr>
                <w:sz w:val="20"/>
                <w:szCs w:val="20"/>
                <w:color w:val="auto"/>
              </w:rPr>
            </w:pPr>
            <w:r>
              <w:rPr>
                <w:rFonts w:ascii="Arial" w:cs="Arial" w:eastAsia="Arial" w:hAnsi="Arial"/>
                <w:sz w:val="18"/>
                <w:szCs w:val="18"/>
                <w:color w:val="auto"/>
              </w:rPr>
              <w:t>+ days</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28,994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31,843</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66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1,177,484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1,518,395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Finance receivables totaling $29.0 million and $31.8 million at June 30, 2019 and December 31, 2018, respectively, including all receivables greater than 90 days delinquent, have been placed on non-accrual status as a result of their delinquency status.</w:t>
      </w:r>
    </w:p>
    <w:p>
      <w:pPr>
        <w:spacing w:after="0" w:line="143" w:lineRule="exact"/>
        <w:rPr>
          <w:sz w:val="20"/>
          <w:szCs w:val="20"/>
          <w:color w:val="auto"/>
        </w:rPr>
      </w:pPr>
    </w:p>
    <w:p>
      <w:pPr>
        <w:jc w:val="both"/>
        <w:ind w:firstLine="180"/>
        <w:spacing w:after="0" w:line="276" w:lineRule="auto"/>
        <w:rPr>
          <w:sz w:val="20"/>
          <w:szCs w:val="20"/>
          <w:color w:val="auto"/>
        </w:rPr>
      </w:pPr>
      <w:r>
        <w:rPr>
          <w:rFonts w:ascii="Arial" w:cs="Arial" w:eastAsia="Arial" w:hAnsi="Arial"/>
          <w:sz w:val="17"/>
          <w:szCs w:val="17"/>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w:t>
      </w:r>
    </w:p>
    <w:p>
      <w:pPr>
        <w:spacing w:after="0" w:line="132"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and six-month periods ended June 30, 2019 and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820" w:type="dxa"/>
            <w:vAlign w:val="bottom"/>
            <w:tcBorders>
              <w:bottom w:val="single" w:sz="8" w:color="EEEEE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r>
      <w:tr>
        <w:trPr>
          <w:trHeight w:val="223"/>
        </w:trPr>
        <w:tc>
          <w:tcPr>
            <w:tcW w:w="482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spacing w:after="0"/>
              <w:rPr>
                <w:sz w:val="19"/>
                <w:szCs w:val="19"/>
                <w:color w:val="auto"/>
              </w:rPr>
            </w:pPr>
          </w:p>
        </w:tc>
        <w:tc>
          <w:tcPr>
            <w:tcW w:w="860" w:type="dxa"/>
            <w:vAlign w:val="bottom"/>
            <w:tcBorders>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shd w:val="clear" w:color="auto" w:fill="EEEEEE"/>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48,196</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100,844</w:t>
            </w:r>
          </w:p>
        </w:tc>
        <w:tc>
          <w:tcPr>
            <w:tcW w:w="48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67,376</w:t>
            </w:r>
          </w:p>
        </w:tc>
        <w:tc>
          <w:tcPr>
            <w:tcW w:w="54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109,187</w:t>
            </w: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Provision for credit losses on finance receivables</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20,489</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35,531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44,445</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76,038</w:t>
            </w: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(50,409)</w:t>
            </w: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(53,493)</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(102,919)</w:t>
            </w:r>
          </w:p>
        </w:tc>
        <w:tc>
          <w:tcPr>
            <w:tcW w:w="5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(109,595)</w:t>
            </w: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14,388</w:t>
            </w:r>
          </w:p>
        </w:tc>
        <w:tc>
          <w:tcPr>
            <w:tcW w:w="5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11,494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23,762</w:t>
            </w:r>
          </w:p>
        </w:tc>
        <w:tc>
          <w:tcPr>
            <w:tcW w:w="5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18,746</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32,664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94,376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94,376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5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32,359</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33,462</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(23,886)</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8,473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25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185"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5"/>
              </w:rPr>
              <w:t>Final</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Receivables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5"/>
              </w:rPr>
              <w:t>Scheduled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Pledged at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Principal at</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0"/>
              </w:rPr>
              <w:t>Payment</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at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560"/>
              <w:spacing w:after="0"/>
              <w:rPr>
                <w:sz w:val="20"/>
                <w:szCs w:val="20"/>
                <w:color w:val="auto"/>
              </w:rPr>
            </w:pPr>
            <w:r>
              <w:rPr>
                <w:rFonts w:ascii="Arial" w:cs="Arial" w:eastAsia="Arial" w:hAnsi="Arial"/>
                <w:sz w:val="18"/>
                <w:szCs w:val="18"/>
                <w:b w:val="1"/>
                <w:bCs w:val="1"/>
                <w:color w:val="auto"/>
              </w:rPr>
              <w:t>Series</w:t>
            </w:r>
          </w:p>
        </w:tc>
        <w:tc>
          <w:tcPr>
            <w:tcW w:w="19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3"/>
              </w:rPr>
              <w:t>Date (1)</w:t>
            </w: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2019 (2)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(Dollars in thousands)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2021</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15,328</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2014-B</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September 2021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17,621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24,051</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December 2021</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30,305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273,000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29,187</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40,896</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March 2022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34,885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34,054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46,489</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2022</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40,029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245,000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38,299</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52,448</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September 2022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49,220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49,129</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64,591</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December 2022</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70,902</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70,694</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90,639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March 2023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93,772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329,460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93,582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119,444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2023</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109,505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332,690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106,586</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135,688</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September 2023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109,169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318,500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107,065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136,114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April 2024</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86,057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206,325</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83,989</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104,645</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April 2024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93,378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206,320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91,757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113,527</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December 2023</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113,890</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225,170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101,091</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127,726</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September 2024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115,032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224,825</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104,137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131,845</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2024</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116,795</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196,300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106,895</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132,919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2018-A</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March 2025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124,648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115,610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142,643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2018-B</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December 2024</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145,953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201,823</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139,191</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167,809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2018-C</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September 2025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176,932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230,275</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167,341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204,418</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2018-D</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2025</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203,821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233,730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188,878</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224,189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CPS 2019-A</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color w:val="auto"/>
              </w:rPr>
              <w:t>March 2026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242,554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254,400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225,776</w:t>
            </w:r>
          </w:p>
        </w:tc>
        <w:tc>
          <w:tcPr>
            <w:tcW w:w="10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2019-B</w:t>
            </w:r>
          </w:p>
        </w:tc>
        <w:tc>
          <w:tcPr>
            <w:tcW w:w="19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June 2026</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223,152</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228,275</w:t>
            </w:r>
          </w:p>
        </w:tc>
        <w:tc>
          <w:tcPr>
            <w:tcW w:w="1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219,826</w:t>
            </w:r>
          </w:p>
        </w:tc>
        <w:tc>
          <w:tcPr>
            <w:tcW w:w="10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2,197,620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5,096,093</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2,089,210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jc w:val="both"/>
        <w:ind w:left="340" w:hanging="332"/>
        <w:spacing w:after="0" w:line="254"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$421.4 million in 2019, $693.2 million in 2020, $473.3 million in 2021, $272.5 million in 2022, $181.7 million in 2023, $31.7 million in 2024, $3.4 million in 2025.</w:t>
      </w:r>
    </w:p>
    <w:p>
      <w:pPr>
        <w:spacing w:after="0" w:line="189"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Debt issuance costs of $11.9 million and $11.8 million as of June 30, 2019 and December 31, 2018, respectively, have been excluded from the table above. These debt issuance costs are presented as a direct deduction to the carrying amount of the securitization trust debt on our Unaudited Condensed Consolidated Balance Sheets.</w:t>
      </w:r>
    </w:p>
    <w:p>
      <w:pPr>
        <w:spacing w:after="0" w:line="154"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30"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2019, we were in compliance with all such covenants.</w:t>
      </w:r>
    </w:p>
    <w:p>
      <w:pPr>
        <w:spacing w:after="0" w:line="125"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2019, restricted cash under the various agreements totaled approximately $125.5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51" w:lineRule="exact"/>
        <w:rPr>
          <w:sz w:val="20"/>
          <w:szCs w:val="20"/>
          <w:color w:val="auto"/>
        </w:rPr>
      </w:pPr>
    </w:p>
    <w:p>
      <w:pPr>
        <w:jc w:val="both"/>
        <w:ind w:firstLine="180"/>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32"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On July 24, 2019 we completed our third securitization transaction of 2019. In the transaction, qualified institutional buyers purchased $243.5 million of asset-backed notes secured by $244.1 million in automobile receivables purchased by us. The sold notes, issued by CPS Auto Receivables Trust 2019-C, consist of six classes. Ratings of the notes were provided by Standard &amp; Poor’s and DBRS, and were based on the structure of the transaction, the historical performance of similar receivables and CPS’s experience as a servicer. The weighted average yield on the notes is approximately 3.36%.</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440" w:hanging="25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terms and amounts of our other debt outstanding at June 30, 2019 and December 31, 2018 are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6"/>
          </w:tcPr>
          <w:p>
            <w:pPr>
              <w:ind w:left="3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gridSpan w:val="2"/>
            <w:vMerge w:val="restart"/>
          </w:tcPr>
          <w:p>
            <w:pPr>
              <w:ind w:left="780"/>
              <w:spacing w:after="0"/>
              <w:rPr>
                <w:sz w:val="20"/>
                <w:szCs w:val="20"/>
                <w:color w:val="auto"/>
              </w:rPr>
            </w:pPr>
            <w:r>
              <w:rPr>
                <w:rFonts w:ascii="Arial" w:cs="Arial" w:eastAsia="Arial" w:hAnsi="Arial"/>
                <w:sz w:val="18"/>
                <w:szCs w:val="18"/>
                <w:color w:val="auto"/>
              </w:rPr>
              <w:t>Description</w:t>
            </w:r>
          </w:p>
        </w:tc>
        <w:tc>
          <w:tcPr>
            <w:tcW w:w="3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420" w:type="dxa"/>
            <w:vAlign w:val="bottom"/>
            <w:vMerge w:val="restart"/>
          </w:tcPr>
          <w:p>
            <w:pPr>
              <w:ind w:left="880"/>
              <w:spacing w:after="0"/>
              <w:rPr>
                <w:sz w:val="20"/>
                <w:szCs w:val="20"/>
                <w:color w:val="auto"/>
              </w:rPr>
            </w:pPr>
            <w:r>
              <w:rPr>
                <w:rFonts w:ascii="Arial" w:cs="Arial" w:eastAsia="Arial" w:hAnsi="Arial"/>
                <w:sz w:val="18"/>
                <w:szCs w:val="18"/>
                <w:color w:val="auto"/>
              </w:rPr>
              <w:t>Maturity</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1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5.50% over one month</w:t>
            </w:r>
          </w:p>
        </w:tc>
        <w:tc>
          <w:tcPr>
            <w:tcW w:w="2420" w:type="dxa"/>
            <w:vAlign w:val="bottom"/>
            <w:vMerge w:val="restart"/>
            <w:shd w:val="clear" w:color="auto" w:fill="EEEEEE"/>
          </w:tcPr>
          <w:p>
            <w:pPr>
              <w:jc w:val="center"/>
              <w:ind w:left="30"/>
              <w:spacing w:after="0"/>
              <w:rPr>
                <w:sz w:val="20"/>
                <w:szCs w:val="20"/>
                <w:color w:val="auto"/>
              </w:rPr>
            </w:pPr>
            <w:r>
              <w:rPr>
                <w:rFonts w:ascii="Arial" w:cs="Arial" w:eastAsia="Arial" w:hAnsi="Arial"/>
                <w:sz w:val="18"/>
                <w:szCs w:val="18"/>
                <w:color w:val="auto"/>
                <w:w w:val="90"/>
              </w:rPr>
              <w:t>February 2021</w:t>
            </w:r>
          </w:p>
        </w:tc>
        <w:tc>
          <w:tcPr>
            <w:tcW w:w="540" w:type="dxa"/>
            <w:vAlign w:val="bottom"/>
            <w:gridSpan w:val="2"/>
            <w:vMerge w:val="restart"/>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41,509</w:t>
            </w:r>
          </w:p>
        </w:tc>
        <w:tc>
          <w:tcPr>
            <w:tcW w:w="580" w:type="dxa"/>
            <w:vAlign w:val="bottom"/>
            <w:gridSpan w:val="2"/>
            <w:vMerge w:val="restart"/>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2"/>
            <w:vMerge w:val="continue"/>
            <w:shd w:val="clear" w:color="auto" w:fill="EEEEEE"/>
          </w:tcPr>
          <w:p>
            <w:pPr>
              <w:spacing w:after="0"/>
              <w:rPr>
                <w:sz w:val="10"/>
                <w:szCs w:val="10"/>
                <w:color w:val="auto"/>
              </w:rPr>
            </w:pPr>
          </w:p>
        </w:tc>
        <w:tc>
          <w:tcPr>
            <w:tcW w:w="310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6"/>
              </w:rPr>
              <w:t>Libor (Minimum 6.50%)</w:t>
            </w:r>
          </w:p>
        </w:tc>
        <w:tc>
          <w:tcPr>
            <w:tcW w:w="2420" w:type="dxa"/>
            <w:vAlign w:val="bottom"/>
            <w:vMerge w:val="continue"/>
            <w:shd w:val="clear" w:color="auto" w:fill="EEEEEE"/>
          </w:tcPr>
          <w:p>
            <w:pPr>
              <w:spacing w:after="0"/>
              <w:rPr>
                <w:sz w:val="10"/>
                <w:szCs w:val="10"/>
                <w:color w:val="auto"/>
              </w:rPr>
            </w:pPr>
          </w:p>
        </w:tc>
        <w:tc>
          <w:tcPr>
            <w:tcW w:w="540" w:type="dxa"/>
            <w:vAlign w:val="bottom"/>
            <w:gridSpan w:val="2"/>
            <w:vMerge w:val="continue"/>
            <w:shd w:val="clear" w:color="auto" w:fill="EEEEEE"/>
          </w:tcPr>
          <w:p>
            <w:pPr>
              <w:spacing w:after="0"/>
              <w:rPr>
                <w:sz w:val="10"/>
                <w:szCs w:val="10"/>
                <w:color w:val="auto"/>
              </w:rPr>
            </w:pPr>
          </w:p>
        </w:tc>
        <w:tc>
          <w:tcPr>
            <w:tcW w:w="1200" w:type="dxa"/>
            <w:vAlign w:val="bottom"/>
            <w:gridSpan w:val="2"/>
            <w:vMerge w:val="continue"/>
            <w:shd w:val="clear" w:color="auto" w:fill="EEEEEE"/>
          </w:tcPr>
          <w:p>
            <w:pPr>
              <w:spacing w:after="0"/>
              <w:rPr>
                <w:sz w:val="10"/>
                <w:szCs w:val="10"/>
                <w:color w:val="auto"/>
              </w:rPr>
            </w:pPr>
          </w:p>
        </w:tc>
        <w:tc>
          <w:tcPr>
            <w:tcW w:w="580" w:type="dxa"/>
            <w:vAlign w:val="bottom"/>
            <w:gridSpan w:val="2"/>
            <w:vMerge w:val="continue"/>
            <w:shd w:val="clear" w:color="auto" w:fill="EEEEEE"/>
          </w:tcPr>
          <w:p>
            <w:pPr>
              <w:spacing w:after="0"/>
              <w:rPr>
                <w:sz w:val="10"/>
                <w:szCs w:val="10"/>
                <w:color w:val="auto"/>
              </w:rPr>
            </w:pPr>
          </w:p>
        </w:tc>
        <w:tc>
          <w:tcPr>
            <w:tcW w:w="94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100" w:type="dxa"/>
            <w:vAlign w:val="bottom"/>
            <w:gridSpan w:val="2"/>
            <w:vMerge w:val="continue"/>
            <w:shd w:val="clear" w:color="auto" w:fill="EEEEEE"/>
          </w:tcPr>
          <w:p>
            <w:pPr>
              <w:spacing w:after="0"/>
              <w:rPr>
                <w:sz w:val="9"/>
                <w:szCs w:val="9"/>
                <w:color w:val="auto"/>
              </w:rPr>
            </w:pPr>
          </w:p>
        </w:tc>
        <w:tc>
          <w:tcPr>
            <w:tcW w:w="2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0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1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3.00% over one month</w:t>
            </w:r>
          </w:p>
        </w:tc>
        <w:tc>
          <w:tcPr>
            <w:tcW w:w="2420" w:type="dxa"/>
            <w:vAlign w:val="bottom"/>
            <w:vMerge w:val="restart"/>
            <w:shd w:val="clear" w:color="auto" w:fill="EEEEEE"/>
          </w:tcPr>
          <w:p>
            <w:pPr>
              <w:jc w:val="center"/>
              <w:ind w:left="30"/>
              <w:spacing w:after="0"/>
              <w:rPr>
                <w:sz w:val="20"/>
                <w:szCs w:val="20"/>
                <w:color w:val="auto"/>
              </w:rPr>
            </w:pPr>
            <w:r>
              <w:rPr>
                <w:rFonts w:ascii="Arial" w:cs="Arial" w:eastAsia="Arial" w:hAnsi="Arial"/>
                <w:sz w:val="18"/>
                <w:szCs w:val="18"/>
                <w:color w:val="auto"/>
                <w:w w:val="88"/>
              </w:rPr>
              <w:t>September 2020</w:t>
            </w: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74,851</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99,885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10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96"/>
              </w:rPr>
              <w:t>Libor (Minimum 3.75%)</w:t>
            </w:r>
          </w:p>
        </w:tc>
        <w:tc>
          <w:tcPr>
            <w:tcW w:w="2420" w:type="dxa"/>
            <w:vAlign w:val="bottom"/>
            <w:vMerge w:val="continue"/>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94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100" w:type="dxa"/>
            <w:vAlign w:val="bottom"/>
            <w:gridSpan w:val="2"/>
            <w:vMerge w:val="continue"/>
            <w:shd w:val="clear" w:color="auto" w:fill="EEEEEE"/>
          </w:tcPr>
          <w:p>
            <w:pPr>
              <w:spacing w:after="0"/>
              <w:rPr>
                <w:sz w:val="9"/>
                <w:szCs w:val="9"/>
                <w:color w:val="auto"/>
              </w:rPr>
            </w:pPr>
          </w:p>
        </w:tc>
        <w:tc>
          <w:tcPr>
            <w:tcW w:w="2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0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1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6.75% over a commercial paper rate</w:t>
            </w:r>
          </w:p>
        </w:tc>
        <w:tc>
          <w:tcPr>
            <w:tcW w:w="2420" w:type="dxa"/>
            <w:vAlign w:val="bottom"/>
            <w:vMerge w:val="restart"/>
            <w:shd w:val="clear" w:color="auto" w:fill="EEEEEE"/>
          </w:tcPr>
          <w:p>
            <w:pPr>
              <w:jc w:val="center"/>
              <w:ind w:left="10"/>
              <w:spacing w:after="0"/>
              <w:rPr>
                <w:sz w:val="20"/>
                <w:szCs w:val="20"/>
                <w:color w:val="auto"/>
              </w:rPr>
            </w:pPr>
            <w:r>
              <w:rPr>
                <w:rFonts w:ascii="Arial" w:cs="Arial" w:eastAsia="Arial" w:hAnsi="Arial"/>
                <w:sz w:val="18"/>
                <w:szCs w:val="18"/>
                <w:color w:val="auto"/>
                <w:w w:val="90"/>
              </w:rPr>
              <w:t>November 2019</w:t>
            </w: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24,400</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1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4"/>
              </w:rPr>
              <w:t>(Minimum 7.75%)</w:t>
            </w:r>
          </w:p>
        </w:tc>
        <w:tc>
          <w:tcPr>
            <w:tcW w:w="2420" w:type="dxa"/>
            <w:vAlign w:val="bottom"/>
            <w:vMerge w:val="continue"/>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94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100" w:type="dxa"/>
            <w:vAlign w:val="bottom"/>
            <w:gridSpan w:val="2"/>
            <w:vMerge w:val="continue"/>
            <w:shd w:val="clear" w:color="auto" w:fill="EEEEEE"/>
          </w:tcPr>
          <w:p>
            <w:pPr>
              <w:spacing w:after="0"/>
              <w:rPr>
                <w:sz w:val="9"/>
                <w:szCs w:val="9"/>
                <w:color w:val="auto"/>
              </w:rPr>
            </w:pPr>
          </w:p>
        </w:tc>
        <w:tc>
          <w:tcPr>
            <w:tcW w:w="2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0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240" w:type="dxa"/>
            <w:vAlign w:val="bottom"/>
            <w:shd w:val="clear" w:color="auto" w:fill="EEEEEE"/>
          </w:tcPr>
          <w:p>
            <w:pPr>
              <w:spacing w:after="0"/>
              <w:rPr>
                <w:sz w:val="18"/>
                <w:szCs w:val="18"/>
                <w:color w:val="auto"/>
              </w:rPr>
            </w:pPr>
          </w:p>
        </w:tc>
        <w:tc>
          <w:tcPr>
            <w:tcW w:w="2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January 2026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Weighted average maturity of</w:t>
            </w: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1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Weighted average rate of 8.71% and</w:t>
            </w:r>
          </w:p>
        </w:tc>
        <w:tc>
          <w:tcPr>
            <w:tcW w:w="2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September 2021 and January</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31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8.53% at June 30, 2019 and</w:t>
            </w:r>
          </w:p>
        </w:tc>
        <w:tc>
          <w:tcPr>
            <w:tcW w:w="2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2021 at June 30, 2019 and</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14,368</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1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December 31, 2018 , respectively</w:t>
            </w:r>
          </w:p>
        </w:tc>
        <w:tc>
          <w:tcPr>
            <w:tcW w:w="24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December 31, 2018,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2"/>
              </w:rPr>
              <w:t>respectively</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420" w:type="dxa"/>
            <w:vAlign w:val="bottom"/>
            <w:tcBorders>
              <w:bottom w:val="single" w:sz="8" w:color="EEEEEE"/>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4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195,128</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195,373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On February 22, 2019 we renewed our $100 million warehouse credit line that was first established in May 2012. There was $41.5 million outstanding under this facility at June 30, 2019. The revolving period for this facility was extended to February 2021 followed by an amortization period through February 2023 for any receivables pledged at the end of the revolving period.</w:t>
      </w:r>
    </w:p>
    <w:p>
      <w:pPr>
        <w:spacing w:after="0" w:line="154"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Unamortized debt issuance costs of $708,000 and $894,000 as of June 30, 2019 and December 31, 2018, respectively, have been excluded from the amount reported above for residual interest financing. Similarly, unamortized debt issuance costs of $1.5 million and $1.2 million as of June 30, 2019 and December 31, 2018,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6" w:lineRule="exact"/>
        <w:rPr>
          <w:sz w:val="20"/>
          <w:szCs w:val="20"/>
          <w:color w:val="auto"/>
        </w:rPr>
      </w:pPr>
    </w:p>
    <w:p>
      <w:pPr>
        <w:ind w:left="440" w:hanging="25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ind w:left="4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78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55,660</w:t>
            </w:r>
          </w:p>
        </w:tc>
        <w:tc>
          <w:tcPr>
            <w:tcW w:w="64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87,784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117,950</w:t>
            </w:r>
          </w:p>
        </w:tc>
        <w:tc>
          <w:tcPr>
            <w:tcW w:w="480" w:type="dxa"/>
            <w:vAlign w:val="bottom"/>
            <w:gridSpan w:val="2"/>
            <w:shd w:val="clear" w:color="auto" w:fill="EEEEEE"/>
          </w:tcPr>
          <w:p>
            <w:pPr>
              <w:jc w:val="right"/>
              <w:ind w:right="35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184,972</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27,978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8,832</w:t>
            </w:r>
          </w:p>
        </w:tc>
        <w:tc>
          <w:tcPr>
            <w:tcW w:w="3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50,793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12,340</w:t>
            </w:r>
          </w:p>
        </w:tc>
      </w:tr>
      <w:tr>
        <w:trPr>
          <w:trHeight w:val="230"/>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5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1,551</w:t>
            </w: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EEEEEE"/>
          </w:tcPr>
          <w:p>
            <w:pPr>
              <w:spacing w:after="0"/>
              <w:rPr>
                <w:sz w:val="19"/>
                <w:szCs w:val="19"/>
                <w:color w:val="auto"/>
              </w:rPr>
            </w:pPr>
          </w:p>
        </w:tc>
      </w:tr>
      <w:tr>
        <w:trPr>
          <w:trHeight w:val="223"/>
        </w:trPr>
        <w:tc>
          <w:tcPr>
            <w:tcW w:w="36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97,012</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170,294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7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4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24,466</w:t>
            </w:r>
          </w:p>
        </w:tc>
        <w:tc>
          <w:tcPr>
            <w:tcW w:w="60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22,255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48,454</w:t>
            </w:r>
          </w:p>
        </w:tc>
        <w:tc>
          <w:tcPr>
            <w:tcW w:w="600" w:type="dxa"/>
            <w:vAlign w:val="bottom"/>
            <w:gridSpan w:val="2"/>
            <w:shd w:val="clear" w:color="auto" w:fill="EEEEEE"/>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44,084</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1,960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2,135</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3,980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4,023</w:t>
            </w:r>
          </w:p>
        </w:tc>
      </w:tr>
      <w:tr>
        <w:trPr>
          <w:trHeight w:val="216"/>
        </w:trPr>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1,911</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452</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r>
      <w:tr>
        <w:trPr>
          <w:trHeight w:val="223"/>
        </w:trPr>
        <w:tc>
          <w:tcPr>
            <w:tcW w:w="314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Interest expense</w:t>
            </w:r>
          </w:p>
        </w:tc>
        <w:tc>
          <w:tcPr>
            <w:tcW w:w="98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27,703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54,993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49,249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25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185"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2019 and 2018 were calculated using the weighted average number of shares outstanding for the related period. The following table reconciles the number of shares used in the computations of basic and diluted earnings per share for the three-month and six-month periods ended June 30, 2019 and 2018: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3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9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r>
              <w:rPr>
                <w:rFonts w:ascii="Arial" w:cs="Arial" w:eastAsia="Arial" w:hAnsi="Arial"/>
                <w:sz w:val="18"/>
                <w:szCs w:val="18"/>
                <w:color w:val="auto"/>
                <w:w w:val="88"/>
              </w:rPr>
              <w:t>,</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0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Weighted average number of common shares outstanding during the</w:t>
            </w: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period used to compute basic earnings per share</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22,362</w:t>
            </w:r>
          </w:p>
        </w:tc>
        <w:tc>
          <w:tcPr>
            <w:tcW w:w="4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21,178</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22,302</w:t>
            </w:r>
          </w:p>
        </w:tc>
        <w:tc>
          <w:tcPr>
            <w:tcW w:w="42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Incremental common shares attributable to exercise of outstanding</w:t>
            </w: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options and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1,616</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3,945</w:t>
            </w:r>
          </w:p>
        </w:tc>
        <w:tc>
          <w:tcPr>
            <w:tcW w:w="34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1,817</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EEEEEE"/>
          </w:tcPr>
          <w:p>
            <w:pPr>
              <w:spacing w:after="0" w:line="201" w:lineRule="exact"/>
              <w:rPr>
                <w:sz w:val="20"/>
                <w:szCs w:val="20"/>
                <w:color w:val="auto"/>
              </w:rPr>
            </w:pPr>
            <w:r>
              <w:rPr>
                <w:rFonts w:ascii="Arial" w:cs="Arial" w:eastAsia="Arial" w:hAnsi="Arial"/>
                <w:sz w:val="18"/>
                <w:szCs w:val="18"/>
                <w:color w:val="auto"/>
                <w:w w:val="93"/>
              </w:rPr>
              <w:t>Weighted average number of common shares used to compute diluted</w:t>
            </w: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shd w:val="clear" w:color="auto" w:fill="EEEEEE"/>
          </w:tcPr>
          <w:p>
            <w:pPr>
              <w:spacing w:after="0"/>
              <w:rPr>
                <w:sz w:val="15"/>
                <w:szCs w:val="15"/>
                <w:color w:val="auto"/>
              </w:rPr>
            </w:pPr>
          </w:p>
        </w:tc>
        <w:tc>
          <w:tcPr>
            <w:tcW w:w="12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23,978</w:t>
            </w:r>
          </w:p>
        </w:tc>
        <w:tc>
          <w:tcPr>
            <w:tcW w:w="340" w:type="dxa"/>
            <w:vAlign w:val="bottom"/>
            <w:vMerge w:val="restart"/>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86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25,123</w:t>
            </w:r>
          </w:p>
        </w:tc>
        <w:tc>
          <w:tcPr>
            <w:tcW w:w="340" w:type="dxa"/>
            <w:vAlign w:val="bottom"/>
            <w:vMerge w:val="restart"/>
            <w:shd w:val="clear" w:color="auto" w:fill="EEEEEE"/>
          </w:tcPr>
          <w:p>
            <w:pPr>
              <w:spacing w:after="0"/>
              <w:rPr>
                <w:sz w:val="15"/>
                <w:szCs w:val="15"/>
                <w:color w:val="auto"/>
              </w:rPr>
            </w:pPr>
          </w:p>
        </w:tc>
        <w:tc>
          <w:tcPr>
            <w:tcW w:w="156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24,119</w:t>
            </w:r>
          </w:p>
        </w:tc>
        <w:tc>
          <w:tcPr>
            <w:tcW w:w="420" w:type="dxa"/>
            <w:vAlign w:val="bottom"/>
            <w:shd w:val="clear" w:color="auto" w:fill="EEEEEE"/>
          </w:tcPr>
          <w:p>
            <w:pPr>
              <w:spacing w:after="0"/>
              <w:rPr>
                <w:sz w:val="15"/>
                <w:szCs w:val="15"/>
                <w:color w:val="auto"/>
              </w:rPr>
            </w:pPr>
          </w:p>
        </w:tc>
        <w:tc>
          <w:tcPr>
            <w:tcW w:w="9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25,393</w:t>
            </w:r>
          </w:p>
        </w:tc>
        <w:tc>
          <w:tcPr>
            <w:tcW w:w="0" w:type="dxa"/>
            <w:vAlign w:val="bottom"/>
          </w:tcPr>
          <w:p>
            <w:pPr>
              <w:spacing w:after="0"/>
              <w:rPr>
                <w:sz w:val="1"/>
                <w:szCs w:val="1"/>
                <w:color w:val="auto"/>
              </w:rPr>
            </w:pPr>
          </w:p>
        </w:tc>
      </w:tr>
      <w:tr>
        <w:trPr>
          <w:trHeight w:val="217"/>
        </w:trPr>
        <w:tc>
          <w:tcPr>
            <w:tcW w:w="52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earnings per share</w:t>
            </w:r>
          </w:p>
        </w:tc>
        <w:tc>
          <w:tcPr>
            <w:tcW w:w="1280" w:type="dxa"/>
            <w:vAlign w:val="bottom"/>
            <w:vMerge w:val="continue"/>
            <w:shd w:val="clear" w:color="auto" w:fill="EEEEEE"/>
          </w:tcPr>
          <w:p>
            <w:pPr>
              <w:spacing w:after="0"/>
              <w:rPr>
                <w:sz w:val="18"/>
                <w:szCs w:val="18"/>
                <w:color w:val="auto"/>
              </w:rPr>
            </w:pPr>
          </w:p>
        </w:tc>
        <w:tc>
          <w:tcPr>
            <w:tcW w:w="340" w:type="dxa"/>
            <w:vAlign w:val="bottom"/>
            <w:vMerge w:val="continue"/>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vMerge w:val="continue"/>
            <w:shd w:val="clear" w:color="auto" w:fill="EEEEEE"/>
          </w:tcPr>
          <w:p>
            <w:pPr>
              <w:spacing w:after="0"/>
              <w:rPr>
                <w:sz w:val="18"/>
                <w:szCs w:val="18"/>
                <w:color w:val="auto"/>
              </w:rPr>
            </w:pPr>
          </w:p>
        </w:tc>
        <w:tc>
          <w:tcPr>
            <w:tcW w:w="340" w:type="dxa"/>
            <w:vAlign w:val="bottom"/>
            <w:vMerge w:val="continue"/>
            <w:shd w:val="clear" w:color="auto" w:fill="EEEEEE"/>
          </w:tcPr>
          <w:p>
            <w:pPr>
              <w:spacing w:after="0"/>
              <w:rPr>
                <w:sz w:val="18"/>
                <w:szCs w:val="18"/>
                <w:color w:val="auto"/>
              </w:rPr>
            </w:pPr>
          </w:p>
        </w:tc>
        <w:tc>
          <w:tcPr>
            <w:tcW w:w="1560" w:type="dxa"/>
            <w:vAlign w:val="bottom"/>
            <w:gridSpan w:val="2"/>
            <w:vMerge w:val="continue"/>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0"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2019 would have included an additional 10.7 million and 10.5 million shares, respectively, attributable to the exercise of outstanding options and warrants. For the three-month and six-month periods ended June 30, 2018, an additional 10.2 million and 9.7 million shares, respectively, would be included in the diluted earnings per share calculation.</w:t>
      </w:r>
    </w:p>
    <w:p>
      <w:pPr>
        <w:spacing w:after="0" w:line="146" w:lineRule="exact"/>
        <w:rPr>
          <w:sz w:val="20"/>
          <w:szCs w:val="20"/>
          <w:color w:val="auto"/>
        </w:rPr>
      </w:pPr>
    </w:p>
    <w:p>
      <w:pPr>
        <w:ind w:left="440" w:hanging="25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30" w:lineRule="exact"/>
        <w:rPr>
          <w:sz w:val="20"/>
          <w:szCs w:val="20"/>
          <w:color w:val="auto"/>
        </w:rPr>
      </w:pPr>
    </w:p>
    <w:p>
      <w:pPr>
        <w:jc w:val="both"/>
        <w:ind w:right="20" w:firstLine="180"/>
        <w:spacing w:after="0" w:line="308" w:lineRule="auto"/>
        <w:rPr>
          <w:sz w:val="20"/>
          <w:szCs w:val="20"/>
          <w:color w:val="auto"/>
        </w:rPr>
      </w:pPr>
      <w:r>
        <w:rPr>
          <w:rFonts w:ascii="Arial" w:cs="Arial" w:eastAsia="Arial" w:hAnsi="Arial"/>
          <w:sz w:val="17"/>
          <w:szCs w:val="17"/>
          <w:color w:val="auto"/>
        </w:rPr>
        <w:t>As of June 30, 2019 and December 31, 2018,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06" w:lineRule="exact"/>
        <w:rPr>
          <w:sz w:val="20"/>
          <w:szCs w:val="20"/>
          <w:color w:val="auto"/>
        </w:rPr>
      </w:pPr>
    </w:p>
    <w:p>
      <w:pPr>
        <w:jc w:val="both"/>
        <w:ind w:firstLine="180"/>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31" w:lineRule="exact"/>
        <w:rPr>
          <w:sz w:val="20"/>
          <w:szCs w:val="20"/>
          <w:color w:val="auto"/>
        </w:rPr>
      </w:pPr>
    </w:p>
    <w:p>
      <w:pPr>
        <w:jc w:val="both"/>
        <w:ind w:firstLine="18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$17.1 million as of June 30, 2019 is more likely than not based on forecasted future net earnings. Our net deferred tax asset of $17.1 million consists of approximately $12.2 million of net U.S. federal deferred tax assets and $4.9 million of net state deferred tax assets.</w:t>
      </w:r>
    </w:p>
    <w:p>
      <w:pPr>
        <w:spacing w:after="0" w:line="153"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Income tax expense was $970,000 and $1.9 million for the three months and six months ended June 30, 2019 and represents an effective income tax rate of 35%, compared to income tax expense of $1.5 million and $2.9 million for the three and six months ended June 30, 2018, and represents an effective income tax rate of and 32%.</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 Legal Proceedings</w:t>
      </w:r>
    </w:p>
    <w:p>
      <w:pPr>
        <w:spacing w:after="0" w:line="202"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41" w:lineRule="exact"/>
        <w:rPr>
          <w:sz w:val="20"/>
          <w:szCs w:val="20"/>
          <w:color w:val="auto"/>
        </w:rPr>
      </w:pPr>
    </w:p>
    <w:p>
      <w:pPr>
        <w:jc w:val="both"/>
        <w:ind w:right="20" w:firstLine="180"/>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0"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48" w:lineRule="exact"/>
        <w:rPr>
          <w:sz w:val="20"/>
          <w:szCs w:val="20"/>
          <w:color w:val="auto"/>
        </w:rPr>
      </w:pPr>
    </w:p>
    <w:p>
      <w:pPr>
        <w:jc w:val="both"/>
        <w:ind w:firstLine="180"/>
        <w:spacing w:after="0" w:line="342" w:lineRule="auto"/>
        <w:rPr>
          <w:sz w:val="20"/>
          <w:szCs w:val="20"/>
          <w:color w:val="auto"/>
        </w:rPr>
      </w:pPr>
      <w:r>
        <w:rPr>
          <w:rFonts w:ascii="Arial" w:cs="Arial" w:eastAsia="Arial" w:hAnsi="Arial"/>
          <w:sz w:val="16"/>
          <w:szCs w:val="16"/>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97" w:lineRule="exact"/>
        <w:rPr>
          <w:sz w:val="20"/>
          <w:szCs w:val="20"/>
          <w:color w:val="auto"/>
        </w:rPr>
      </w:pPr>
    </w:p>
    <w:p>
      <w:pPr>
        <w:jc w:val="both"/>
        <w:ind w:firstLine="180"/>
        <w:spacing w:after="0" w:line="297"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There can be no assurance as to the outcomes of the matters described or referenced above. We record at each measurement date,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of June 30, 2019,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June 30, 2019 is immaterial, and that the range of reasonably possible losses for the legal proceedings and contingencies we face, including those described or referenced above, as of June 30, 2019 does not exceed $3 million.</w:t>
      </w:r>
    </w:p>
    <w:p>
      <w:pPr>
        <w:spacing w:after="0" w:line="118"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(9) Fair Value Measurements</w:t>
      </w:r>
    </w:p>
    <w:p>
      <w:pPr>
        <w:spacing w:after="0" w:line="202"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41" w:lineRule="exact"/>
        <w:rPr>
          <w:sz w:val="20"/>
          <w:szCs w:val="20"/>
          <w:color w:val="auto"/>
        </w:rPr>
      </w:pPr>
    </w:p>
    <w:p>
      <w:pPr>
        <w:jc w:val="both"/>
        <w:ind w:firstLine="18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0"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48"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Arial" w:cs="Arial" w:eastAsia="Arial" w:hAnsi="Arial"/>
          <w:sz w:val="18"/>
          <w:szCs w:val="18"/>
          <w:color w:val="323232"/>
        </w:rPr>
        <w:t>Significant changes in any of those inputs in isolation would have a significant impact on our fair value</w:t>
      </w:r>
      <w:r>
        <w:rPr>
          <w:rFonts w:ascii="Arial" w:cs="Arial" w:eastAsia="Arial" w:hAnsi="Arial"/>
          <w:sz w:val="18"/>
          <w:szCs w:val="18"/>
          <w:color w:val="auto"/>
        </w:rPr>
        <w:t xml:space="preserve"> </w:t>
      </w:r>
      <w:r>
        <w:rPr>
          <w:rFonts w:ascii="Arial" w:cs="Arial" w:eastAsia="Arial" w:hAnsi="Arial"/>
          <w:sz w:val="18"/>
          <w:szCs w:val="18"/>
          <w:color w:val="323232"/>
        </w:rPr>
        <w:t>measurement.</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26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23"/>
        </w:trPr>
        <w:tc>
          <w:tcPr>
            <w:tcW w:w="526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spacing w:after="0"/>
              <w:rPr>
                <w:sz w:val="19"/>
                <w:szCs w:val="19"/>
                <w:color w:val="auto"/>
              </w:rPr>
            </w:pPr>
          </w:p>
        </w:tc>
        <w:tc>
          <w:tcPr>
            <w:tcW w:w="800" w:type="dxa"/>
            <w:vAlign w:val="bottom"/>
            <w:tcBorders>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shd w:val="clear" w:color="auto" w:fill="EEEEEE"/>
          </w:tcPr>
          <w:p>
            <w:pPr>
              <w:spacing w:after="0"/>
              <w:rPr>
                <w:sz w:val="19"/>
                <w:szCs w:val="19"/>
                <w:color w:val="auto"/>
              </w:rPr>
            </w:pPr>
          </w:p>
        </w:tc>
        <w:tc>
          <w:tcPr>
            <w:tcW w:w="2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997,552</w:t>
            </w:r>
          </w:p>
        </w:tc>
        <w:tc>
          <w:tcPr>
            <w:tcW w:w="62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209,847</w:t>
            </w:r>
          </w:p>
        </w:tc>
        <w:tc>
          <w:tcPr>
            <w:tcW w:w="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821,066</w:t>
            </w:r>
          </w:p>
        </w:tc>
        <w:tc>
          <w:tcPr>
            <w:tcW w:w="480" w:type="dxa"/>
            <w:vAlign w:val="bottom"/>
            <w:gridSpan w:val="2"/>
            <w:shd w:val="clear" w:color="auto" w:fill="EEEEEE"/>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Finance receivables at fair value acquired during period</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249,873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218,001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494,626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430,611</w:t>
            </w: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(68,005)</w:t>
            </w:r>
          </w:p>
        </w:tc>
        <w:tc>
          <w:tcPr>
            <w:tcW w:w="1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(10,331)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(117,505)</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(12,973)</w:t>
            </w: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(21,055)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(39,822)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(4,743)</w:t>
            </w:r>
          </w:p>
        </w:tc>
      </w:tr>
      <w:tr>
        <w:trPr>
          <w:trHeight w:val="230"/>
        </w:trPr>
        <w:tc>
          <w:tcPr>
            <w:tcW w:w="52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2019</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21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290"/>
              <w:spacing w:after="0" w:line="205" w:lineRule="exact"/>
              <w:rPr>
                <w:sz w:val="20"/>
                <w:szCs w:val="20"/>
                <w:color w:val="auto"/>
              </w:rPr>
            </w:pPr>
            <w:r>
              <w:rPr>
                <w:rFonts w:ascii="Arial" w:cs="Arial" w:eastAsia="Arial" w:hAnsi="Arial"/>
                <w:sz w:val="18"/>
                <w:szCs w:val="18"/>
                <w:b w:val="1"/>
                <w:bCs w:val="1"/>
                <w:color w:val="auto"/>
                <w:w w:val="96"/>
              </w:rPr>
              <w:t>Fair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Balance</w:t>
            </w:r>
          </w:p>
        </w:tc>
        <w:tc>
          <w:tcPr>
            <w:tcW w:w="560" w:type="dxa"/>
            <w:vAlign w:val="bottom"/>
          </w:tcPr>
          <w:p>
            <w:pPr>
              <w:spacing w:after="0"/>
              <w:rPr>
                <w:sz w:val="20"/>
                <w:szCs w:val="20"/>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1,190,231</w:t>
            </w:r>
          </w:p>
        </w:tc>
        <w:tc>
          <w:tcPr>
            <w:tcW w:w="56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1,158,365</w:t>
            </w: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829,039</w:t>
            </w:r>
          </w:p>
        </w:tc>
        <w:tc>
          <w:tcPr>
            <w:tcW w:w="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821,066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Fair Values as of</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Inputs as of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99"/>
              </w:rPr>
              <w:t>June 30,</w:t>
            </w:r>
          </w:p>
        </w:tc>
        <w:tc>
          <w:tcPr>
            <w:tcW w:w="2080" w:type="dxa"/>
            <w:vAlign w:val="bottom"/>
            <w:gridSpan w:val="4"/>
          </w:tcPr>
          <w:p>
            <w:pPr>
              <w:jc w:val="center"/>
              <w:ind w:left="8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June 30,</w:t>
            </w: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ind w:right="150"/>
              <w:spacing w:after="0" w:line="174" w:lineRule="exact"/>
              <w:rPr>
                <w:sz w:val="20"/>
                <w:szCs w:val="20"/>
                <w:color w:val="auto"/>
              </w:rPr>
            </w:pPr>
            <w:r>
              <w:rPr>
                <w:rFonts w:ascii="Arial" w:cs="Arial" w:eastAsia="Arial" w:hAnsi="Arial"/>
                <w:sz w:val="18"/>
                <w:szCs w:val="18"/>
                <w:b w:val="1"/>
                <w:bCs w:val="1"/>
                <w:color w:val="auto"/>
              </w:rPr>
              <w:t>2019</w:t>
            </w:r>
          </w:p>
        </w:tc>
        <w:tc>
          <w:tcPr>
            <w:tcW w:w="12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gridSpan w:val="3"/>
          </w:tcPr>
          <w:p>
            <w:pPr>
              <w:jc w:val="right"/>
              <w:ind w:right="360"/>
              <w:spacing w:after="0" w:line="174" w:lineRule="exact"/>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220"/>
              <w:spacing w:after="0" w:line="174" w:lineRule="exact"/>
              <w:rPr>
                <w:sz w:val="20"/>
                <w:szCs w:val="20"/>
                <w:color w:val="auto"/>
              </w:rPr>
            </w:pPr>
            <w:r>
              <w:rPr>
                <w:rFonts w:ascii="Arial" w:cs="Arial" w:eastAsia="Arial" w:hAnsi="Arial"/>
                <w:sz w:val="18"/>
                <w:szCs w:val="18"/>
                <w:b w:val="1"/>
                <w:bCs w:val="1"/>
                <w:color w:val="auto"/>
                <w:w w:val="89"/>
              </w:rPr>
              <w:t>Unobservable Inputs</w:t>
            </w:r>
          </w:p>
        </w:tc>
        <w:tc>
          <w:tcPr>
            <w:tcW w:w="1380" w:type="dxa"/>
            <w:vAlign w:val="bottom"/>
          </w:tcPr>
          <w:p>
            <w:pPr>
              <w:jc w:val="right"/>
              <w:ind w:right="410"/>
              <w:spacing w:after="0" w:line="174" w:lineRule="exact"/>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6"/>
                <w:szCs w:val="16"/>
                <w:color w:val="auto"/>
              </w:rPr>
            </w:pPr>
          </w:p>
        </w:tc>
        <w:tc>
          <w:tcPr>
            <w:tcW w:w="1400" w:type="dxa"/>
            <w:vAlign w:val="bottom"/>
            <w:gridSpan w:val="2"/>
          </w:tcPr>
          <w:p>
            <w:pPr>
              <w:jc w:val="right"/>
              <w:ind w:right="430"/>
              <w:spacing w:after="0" w:line="174"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9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380" w:type="dxa"/>
            <w:vAlign w:val="bottom"/>
            <w:shd w:val="clear" w:color="auto" w:fill="EEEEEE"/>
          </w:tcPr>
          <w:p>
            <w:pPr>
              <w:jc w:val="right"/>
              <w:ind w:right="50"/>
              <w:spacing w:after="0" w:line="201" w:lineRule="exact"/>
              <w:rPr>
                <w:sz w:val="20"/>
                <w:szCs w:val="20"/>
                <w:color w:val="auto"/>
              </w:rPr>
            </w:pPr>
            <w:r>
              <w:rPr>
                <w:rFonts w:ascii="Arial" w:cs="Arial" w:eastAsia="Arial" w:hAnsi="Arial"/>
                <w:sz w:val="18"/>
                <w:szCs w:val="18"/>
                <w:color w:val="auto"/>
              </w:rPr>
              <w:t>8.9% - 11.1%</w:t>
            </w:r>
          </w:p>
        </w:tc>
        <w:tc>
          <w:tcPr>
            <w:tcW w:w="340" w:type="dxa"/>
            <w:vAlign w:val="bottom"/>
            <w:shd w:val="clear" w:color="auto" w:fill="EEEEEE"/>
          </w:tcPr>
          <w:p>
            <w:pPr>
              <w:spacing w:after="0"/>
              <w:rPr>
                <w:sz w:val="17"/>
                <w:szCs w:val="17"/>
                <w:color w:val="auto"/>
              </w:rPr>
            </w:pPr>
          </w:p>
        </w:tc>
        <w:tc>
          <w:tcPr>
            <w:tcW w:w="70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8.9%</w:t>
            </w:r>
          </w:p>
        </w:tc>
        <w:tc>
          <w:tcPr>
            <w:tcW w:w="700" w:type="dxa"/>
            <w:vAlign w:val="bottom"/>
            <w:shd w:val="clear" w:color="auto" w:fill="EEEEEE"/>
          </w:tcPr>
          <w:p>
            <w:pPr>
              <w:ind w:left="20"/>
              <w:spacing w:after="0" w:line="201" w:lineRule="exact"/>
              <w:rPr>
                <w:sz w:val="20"/>
                <w:szCs w:val="20"/>
                <w:color w:val="auto"/>
              </w:rPr>
            </w:pPr>
            <w:r>
              <w:rPr>
                <w:rFonts w:ascii="Arial" w:cs="Arial" w:eastAsia="Arial" w:hAnsi="Arial"/>
                <w:sz w:val="18"/>
                <w:szCs w:val="18"/>
                <w:color w:val="auto"/>
              </w:rPr>
              <w:t>- 9.9%</w:t>
            </w: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measured at fair value</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ind w:left="220"/>
              <w:spacing w:after="0"/>
              <w:rPr>
                <w:sz w:val="20"/>
                <w:szCs w:val="20"/>
                <w:color w:val="auto"/>
              </w:rPr>
            </w:pPr>
            <w:r>
              <w:rPr>
                <w:rFonts w:ascii="Arial" w:cs="Arial" w:eastAsia="Arial" w:hAnsi="Arial"/>
                <w:sz w:val="18"/>
                <w:szCs w:val="18"/>
                <w:color w:val="auto"/>
                <w:w w:val="87"/>
              </w:rPr>
              <w:t>1,158,365</w:t>
            </w:r>
          </w:p>
        </w:tc>
        <w:tc>
          <w:tcPr>
            <w:tcW w:w="124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95"/>
              </w:rPr>
              <w:t>821,066</w:t>
            </w:r>
          </w:p>
        </w:tc>
        <w:tc>
          <w:tcPr>
            <w:tcW w:w="2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Cumulative net losses</w:t>
            </w:r>
          </w:p>
        </w:tc>
        <w:tc>
          <w:tcPr>
            <w:tcW w:w="13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15.0% - 16.1%</w:t>
            </w:r>
          </w:p>
        </w:tc>
        <w:tc>
          <w:tcPr>
            <w:tcW w:w="340" w:type="dxa"/>
            <w:vAlign w:val="bottom"/>
            <w:shd w:val="clear" w:color="auto" w:fill="EEEEEE"/>
          </w:tcPr>
          <w:p>
            <w:pPr>
              <w:spacing w:after="0"/>
              <w:rPr>
                <w:sz w:val="20"/>
                <w:szCs w:val="20"/>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7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- 16.0%</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w:t>
            </w: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June 30, 2019 and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11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1,104,196</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790,727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2080" w:type="dxa"/>
            <w:vAlign w:val="bottom"/>
          </w:tcPr>
          <w:p>
            <w:pPr>
              <w:ind w:left="20"/>
              <w:spacing w:after="0"/>
              <w:rPr>
                <w:sz w:val="20"/>
                <w:szCs w:val="20"/>
                <w:color w:val="auto"/>
              </w:rPr>
            </w:pPr>
            <w:r>
              <w:rPr>
                <w:rFonts w:ascii="Arial" w:cs="Arial" w:eastAsia="Arial" w:hAnsi="Arial"/>
                <w:sz w:val="18"/>
                <w:szCs w:val="18"/>
                <w:color w:val="auto"/>
              </w:rPr>
              <w:t>- 60 days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56,156</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26,285</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20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20,782</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2080" w:type="dxa"/>
            <w:vAlign w:val="bottom"/>
          </w:tcPr>
          <w:p>
            <w:pPr>
              <w:ind w:left="20"/>
              <w:spacing w:after="0"/>
              <w:rPr>
                <w:sz w:val="20"/>
                <w:szCs w:val="20"/>
                <w:color w:val="auto"/>
              </w:rPr>
            </w:pPr>
            <w:r>
              <w:rPr>
                <w:rFonts w:ascii="Arial" w:cs="Arial" w:eastAsia="Arial" w:hAnsi="Arial"/>
                <w:sz w:val="18"/>
                <w:szCs w:val="18"/>
                <w:color w:val="auto"/>
              </w:rPr>
              <w:t>+ days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1,190,231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829,039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2019 the finance receivables related to the repossessed vehicles in inventory totaled $32.4 million. We have applied a valuation adjustment, or loss allowance, of $23.9 million, which is based on a recovery rate of approximately 27%, resulting in an estimated fair value and carrying amount of $8.5 million. The fair value and carrying amount of the repossessed inventory at December 31, 2018 was $8.9 million after applying a valuation adjustment of $24.6 million.</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June 30, 2019 and 2018.</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estimated fair values of financial assets and liabilities at June 30, 2019 and December 31, 2018,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2"/>
              </w:rPr>
              <w:t>As of June 30, 2019</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240"/>
              <w:spacing w:after="0" w:line="170" w:lineRule="exact"/>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9"/>
          </w:tcPr>
          <w:p>
            <w:pPr>
              <w:ind w:left="460"/>
              <w:spacing w:after="0"/>
              <w:rPr>
                <w:sz w:val="20"/>
                <w:szCs w:val="20"/>
                <w:color w:val="auto"/>
              </w:rPr>
            </w:pPr>
            <w:r>
              <w:rPr>
                <w:rFonts w:ascii="Arial" w:cs="Arial" w:eastAsia="Arial" w:hAnsi="Arial"/>
                <w:sz w:val="18"/>
                <w:szCs w:val="18"/>
                <w:b w:val="1"/>
                <w:bCs w:val="1"/>
                <w:color w:val="auto"/>
              </w:rPr>
              <w:t>Fair Value Measurements Using:</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9,745</w:t>
            </w: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9,745</w:t>
            </w:r>
          </w:p>
        </w:tc>
        <w:tc>
          <w:tcPr>
            <w:tcW w:w="4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Restricted cash and equivalents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125,486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125,486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125,486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1,147,589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1,110,331</w:t>
            </w:r>
          </w:p>
        </w:tc>
        <w:tc>
          <w:tcPr>
            <w:tcW w:w="2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1,110,331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16,394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16,394</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16,394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139,224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139,224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139,224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5,268</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5,268</w:t>
            </w:r>
          </w:p>
        </w:tc>
        <w:tc>
          <w:tcPr>
            <w:tcW w:w="2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39,292</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39,292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2,077,286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2,098,476</w:t>
            </w:r>
          </w:p>
        </w:tc>
        <w:tc>
          <w:tcPr>
            <w:tcW w:w="2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2,098,476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14,368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14,368</w:t>
            </w: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jc w:val="center"/>
              <w:ind w:left="550"/>
              <w:spacing w:after="0"/>
              <w:rPr>
                <w:sz w:val="20"/>
                <w:szCs w:val="20"/>
                <w:color w:val="auto"/>
              </w:rPr>
            </w:pPr>
            <w:r>
              <w:rPr>
                <w:rFonts w:ascii="Arial" w:cs="Arial" w:eastAsia="Arial" w:hAnsi="Arial"/>
                <w:sz w:val="18"/>
                <w:szCs w:val="18"/>
                <w:b w:val="1"/>
                <w:bCs w:val="1"/>
                <w:color w:val="auto"/>
                <w:w w:val="89"/>
              </w:rPr>
              <w:t>As of December 31, 2018</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center"/>
              <w:ind w:right="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10"/>
          </w:tcPr>
          <w:p>
            <w:pPr>
              <w:ind w:left="44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12,787</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12,787</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Restricted cash and equivalents</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117,323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117,323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1,434,631</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9"/>
              </w:rPr>
              <w:t>1,434,631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31,969</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31,969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136,847</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136,847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4,819</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39,106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39,106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39,106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2,051,920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9"/>
              </w:rPr>
              <w:t>2,051,920</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17,290</w:t>
            </w: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7"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We were incorporated and began our operations in March 1991. From inception through June 30, 2019, we have originated a total of approximately $15.7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Recent contract purchase volumes and managed portfolio levels are shown in the table below:</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46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3"/>
              </w:rPr>
              <w:t>Contract Purchases and Outstanding Managed Portfolio</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i w:val="1"/>
                <w:iCs w:val="1"/>
                <w:color w:val="auto"/>
              </w:rPr>
              <w:t>$ in thousands</w:t>
            </w:r>
          </w:p>
        </w:tc>
        <w:tc>
          <w:tcPr>
            <w:tcW w:w="1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8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gridSpan w:val="2"/>
          </w:tcPr>
          <w:p>
            <w:pPr>
              <w:jc w:val="right"/>
              <w:ind w:right="1160"/>
              <w:spacing w:after="0" w:line="191" w:lineRule="exact"/>
              <w:rPr>
                <w:sz w:val="20"/>
                <w:szCs w:val="20"/>
                <w:color w:val="auto"/>
              </w:rPr>
            </w:pPr>
            <w:r>
              <w:rPr>
                <w:rFonts w:ascii="Arial" w:cs="Arial" w:eastAsia="Arial" w:hAnsi="Arial"/>
                <w:sz w:val="18"/>
                <w:szCs w:val="18"/>
                <w:b w:val="1"/>
                <w:bCs w:val="1"/>
                <w:color w:val="auto"/>
              </w:rPr>
              <w:t>Contracts</w:t>
            </w:r>
          </w:p>
        </w:tc>
        <w:tc>
          <w:tcPr>
            <w:tcW w:w="540" w:type="dxa"/>
            <w:vAlign w:val="bottom"/>
          </w:tcPr>
          <w:p>
            <w:pPr>
              <w:spacing w:after="0"/>
              <w:rPr>
                <w:sz w:val="16"/>
                <w:szCs w:val="16"/>
                <w:color w:val="auto"/>
              </w:rPr>
            </w:pPr>
          </w:p>
        </w:tc>
        <w:tc>
          <w:tcPr>
            <w:tcW w:w="1880" w:type="dxa"/>
            <w:vAlign w:val="bottom"/>
          </w:tcPr>
          <w:p>
            <w:pPr>
              <w:jc w:val="right"/>
              <w:ind w:right="770"/>
              <w:spacing w:after="0" w:line="191" w:lineRule="exact"/>
              <w:rPr>
                <w:sz w:val="20"/>
                <w:szCs w:val="20"/>
                <w:color w:val="auto"/>
              </w:rPr>
            </w:pPr>
            <w:r>
              <w:rPr>
                <w:rFonts w:ascii="Arial" w:cs="Arial" w:eastAsia="Arial" w:hAnsi="Arial"/>
                <w:sz w:val="18"/>
                <w:szCs w:val="18"/>
                <w:b w:val="1"/>
                <w:bCs w:val="1"/>
                <w:color w:val="auto"/>
              </w:rPr>
              <w:t>Managed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Purchased</w:t>
            </w:r>
          </w:p>
        </w:tc>
        <w:tc>
          <w:tcPr>
            <w:tcW w:w="540" w:type="dxa"/>
            <w:vAlign w:val="bottom"/>
          </w:tcPr>
          <w:p>
            <w:pPr>
              <w:spacing w:after="0"/>
              <w:rPr>
                <w:sz w:val="18"/>
                <w:szCs w:val="18"/>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Portfolio</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rPr>
              <w:t>in Period</w:t>
            </w:r>
          </w:p>
        </w:tc>
        <w:tc>
          <w:tcPr>
            <w:tcW w:w="54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Period End</w:t>
            </w: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EEEEEE"/>
          </w:tcPr>
          <w:p>
            <w:pPr>
              <w:jc w:val="center"/>
              <w:ind w:left="1110"/>
              <w:spacing w:after="0"/>
              <w:rPr>
                <w:sz w:val="20"/>
                <w:szCs w:val="20"/>
                <w:color w:val="auto"/>
              </w:rPr>
            </w:pPr>
            <w:r>
              <w:rPr>
                <w:rFonts w:ascii="Arial" w:cs="Arial" w:eastAsia="Arial" w:hAnsi="Arial"/>
                <w:sz w:val="18"/>
                <w:szCs w:val="18"/>
                <w:color w:val="333333"/>
                <w:w w:val="89"/>
              </w:rPr>
              <w:t>2013</w:t>
            </w:r>
          </w:p>
        </w:tc>
        <w:tc>
          <w:tcPr>
            <w:tcW w:w="10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764,087</w:t>
            </w:r>
          </w:p>
        </w:tc>
        <w:tc>
          <w:tcPr>
            <w:tcW w:w="3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left="1110"/>
              <w:spacing w:after="0"/>
              <w:rPr>
                <w:sz w:val="20"/>
                <w:szCs w:val="20"/>
                <w:color w:val="auto"/>
              </w:rPr>
            </w:pPr>
            <w:r>
              <w:rPr>
                <w:rFonts w:ascii="Arial" w:cs="Arial" w:eastAsia="Arial" w:hAnsi="Arial"/>
                <w:sz w:val="18"/>
                <w:szCs w:val="18"/>
                <w:color w:val="333333"/>
                <w:w w:val="89"/>
              </w:rPr>
              <w:t>2014</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944,944</w:t>
            </w:r>
          </w:p>
        </w:tc>
        <w:tc>
          <w:tcPr>
            <w:tcW w:w="5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EEEEEE"/>
          </w:tcPr>
          <w:p>
            <w:pPr>
              <w:jc w:val="center"/>
              <w:ind w:left="1110"/>
              <w:spacing w:after="0"/>
              <w:rPr>
                <w:sz w:val="20"/>
                <w:szCs w:val="20"/>
                <w:color w:val="auto"/>
              </w:rPr>
            </w:pPr>
            <w:r>
              <w:rPr>
                <w:rFonts w:ascii="Arial" w:cs="Arial" w:eastAsia="Arial" w:hAnsi="Arial"/>
                <w:sz w:val="18"/>
                <w:szCs w:val="18"/>
                <w:color w:val="333333"/>
                <w:w w:val="89"/>
              </w:rPr>
              <w:t>2015</w:t>
            </w: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1,060,538</w:t>
            </w:r>
          </w:p>
        </w:tc>
        <w:tc>
          <w:tcPr>
            <w:tcW w:w="540" w:type="dxa"/>
            <w:vAlign w:val="bottom"/>
            <w:shd w:val="clear" w:color="auto" w:fill="EEEEEE"/>
          </w:tcPr>
          <w:p>
            <w:pPr>
              <w:spacing w:after="0"/>
              <w:rPr>
                <w:sz w:val="18"/>
                <w:szCs w:val="18"/>
                <w:color w:val="auto"/>
              </w:rPr>
            </w:pPr>
          </w:p>
        </w:tc>
        <w:tc>
          <w:tcPr>
            <w:tcW w:w="1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left="1110"/>
              <w:spacing w:after="0"/>
              <w:rPr>
                <w:sz w:val="20"/>
                <w:szCs w:val="20"/>
                <w:color w:val="auto"/>
              </w:rPr>
            </w:pPr>
            <w:r>
              <w:rPr>
                <w:rFonts w:ascii="Arial" w:cs="Arial" w:eastAsia="Arial" w:hAnsi="Arial"/>
                <w:sz w:val="18"/>
                <w:szCs w:val="18"/>
                <w:color w:val="333333"/>
                <w:w w:val="89"/>
              </w:rPr>
              <w:t>2016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1,088,785</w:t>
            </w:r>
          </w:p>
        </w:tc>
        <w:tc>
          <w:tcPr>
            <w:tcW w:w="5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2,308,070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EEEEEE"/>
          </w:tcPr>
          <w:p>
            <w:pPr>
              <w:jc w:val="center"/>
              <w:ind w:left="1110"/>
              <w:spacing w:after="0"/>
              <w:rPr>
                <w:sz w:val="20"/>
                <w:szCs w:val="20"/>
                <w:color w:val="auto"/>
              </w:rPr>
            </w:pPr>
            <w:r>
              <w:rPr>
                <w:rFonts w:ascii="Arial" w:cs="Arial" w:eastAsia="Arial" w:hAnsi="Arial"/>
                <w:sz w:val="18"/>
                <w:szCs w:val="18"/>
                <w:color w:val="333333"/>
                <w:w w:val="89"/>
              </w:rPr>
              <w:t>2017</w:t>
            </w: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859,069</w:t>
            </w:r>
          </w:p>
        </w:tc>
        <w:tc>
          <w:tcPr>
            <w:tcW w:w="540" w:type="dxa"/>
            <w:vAlign w:val="bottom"/>
            <w:shd w:val="clear" w:color="auto" w:fill="EEEEEE"/>
          </w:tcPr>
          <w:p>
            <w:pPr>
              <w:spacing w:after="0"/>
              <w:rPr>
                <w:sz w:val="18"/>
                <w:szCs w:val="18"/>
                <w:color w:val="auto"/>
              </w:rPr>
            </w:pPr>
          </w:p>
        </w:tc>
        <w:tc>
          <w:tcPr>
            <w:tcW w:w="1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2,333,530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left="1110"/>
              <w:spacing w:after="0"/>
              <w:rPr>
                <w:sz w:val="20"/>
                <w:szCs w:val="20"/>
                <w:color w:val="auto"/>
              </w:rPr>
            </w:pPr>
            <w:r>
              <w:rPr>
                <w:rFonts w:ascii="Arial" w:cs="Arial" w:eastAsia="Arial" w:hAnsi="Arial"/>
                <w:sz w:val="18"/>
                <w:szCs w:val="18"/>
                <w:color w:val="333333"/>
                <w:w w:val="89"/>
              </w:rPr>
              <w:t>2018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902,416</w:t>
            </w:r>
          </w:p>
        </w:tc>
        <w:tc>
          <w:tcPr>
            <w:tcW w:w="5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2,380,847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EEEEEE"/>
          </w:tcPr>
          <w:p>
            <w:pPr>
              <w:jc w:val="center"/>
              <w:ind w:right="570"/>
              <w:spacing w:after="0"/>
              <w:rPr>
                <w:sz w:val="20"/>
                <w:szCs w:val="20"/>
                <w:color w:val="auto"/>
              </w:rPr>
            </w:pPr>
            <w:r>
              <w:rPr>
                <w:rFonts w:ascii="Arial" w:cs="Arial" w:eastAsia="Arial" w:hAnsi="Arial"/>
                <w:sz w:val="18"/>
                <w:szCs w:val="18"/>
                <w:color w:val="auto"/>
                <w:w w:val="88"/>
              </w:rPr>
              <w:t>Six months ended June 30, 2019</w:t>
            </w:r>
          </w:p>
        </w:tc>
        <w:tc>
          <w:tcPr>
            <w:tcW w:w="2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493,172</w:t>
            </w:r>
          </w:p>
        </w:tc>
        <w:tc>
          <w:tcPr>
            <w:tcW w:w="540" w:type="dxa"/>
            <w:vAlign w:val="bottom"/>
            <w:shd w:val="clear" w:color="auto" w:fill="EEEEEE"/>
          </w:tcPr>
          <w:p>
            <w:pPr>
              <w:spacing w:after="0"/>
              <w:rPr>
                <w:sz w:val="18"/>
                <w:szCs w:val="18"/>
                <w:color w:val="auto"/>
              </w:rPr>
            </w:pPr>
          </w:p>
        </w:tc>
        <w:tc>
          <w:tcPr>
            <w:tcW w:w="1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2,399,221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73"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color w:val="auto"/>
        </w:rPr>
        <w:t>Since 1994 we have conducted 82 term securitizations of automobile contracts that we originated. As of June 30, 2019, 20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648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Recent Asset-Backed Term Securitizations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w w:val="99"/>
              </w:rPr>
              <w:t>$ in thousands</w:t>
            </w:r>
          </w:p>
        </w:tc>
        <w:tc>
          <w:tcPr>
            <w:tcW w:w="1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gridSpan w:val="2"/>
            <w:vMerge w:val="restart"/>
          </w:tcPr>
          <w:p>
            <w:pPr>
              <w:ind w:left="1240"/>
              <w:spacing w:after="0"/>
              <w:rPr>
                <w:sz w:val="20"/>
                <w:szCs w:val="20"/>
                <w:color w:val="auto"/>
              </w:rPr>
            </w:pPr>
            <w:r>
              <w:rPr>
                <w:rFonts w:ascii="Arial" w:cs="Arial" w:eastAsia="Arial" w:hAnsi="Arial"/>
                <w:sz w:val="18"/>
                <w:szCs w:val="18"/>
                <w:b w:val="1"/>
                <w:bCs w:val="1"/>
                <w:color w:val="auto"/>
              </w:rPr>
              <w:t>Period</w:t>
            </w:r>
          </w:p>
        </w:tc>
        <w:tc>
          <w:tcPr>
            <w:tcW w:w="1900" w:type="dxa"/>
            <w:vAlign w:val="bottom"/>
          </w:tcPr>
          <w:p>
            <w:pPr>
              <w:jc w:val="center"/>
              <w:ind w:left="330"/>
              <w:spacing w:after="0" w:line="191" w:lineRule="exact"/>
              <w:rPr>
                <w:sz w:val="20"/>
                <w:szCs w:val="20"/>
                <w:color w:val="auto"/>
              </w:rPr>
            </w:pPr>
            <w:r>
              <w:rPr>
                <w:rFonts w:ascii="Arial" w:cs="Arial" w:eastAsia="Arial" w:hAnsi="Arial"/>
                <w:sz w:val="18"/>
                <w:szCs w:val="18"/>
                <w:b w:val="1"/>
                <w:bCs w:val="1"/>
                <w:color w:val="auto"/>
                <w:w w:val="94"/>
              </w:rPr>
              <w:t>Number</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40" w:type="dxa"/>
            <w:vAlign w:val="bottom"/>
          </w:tcPr>
          <w:p>
            <w:pPr>
              <w:jc w:val="center"/>
              <w:ind w:right="43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vMerge w:val="continue"/>
          </w:tcPr>
          <w:p>
            <w:pPr>
              <w:spacing w:after="0"/>
              <w:rPr>
                <w:sz w:val="18"/>
                <w:szCs w:val="18"/>
                <w:color w:val="auto"/>
              </w:rPr>
            </w:pPr>
          </w:p>
        </w:tc>
        <w:tc>
          <w:tcPr>
            <w:tcW w:w="190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 Term</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Pledged in Term</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Securitizations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Securitizations</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333333"/>
                <w:w w:val="89"/>
              </w:rPr>
              <w:t>2013</w:t>
            </w:r>
          </w:p>
        </w:tc>
        <w:tc>
          <w:tcPr>
            <w:tcW w:w="320" w:type="dxa"/>
            <w:vAlign w:val="bottom"/>
            <w:tcBorders>
              <w:top w:val="single" w:sz="8" w:color="EEEEEE"/>
            </w:tcBorders>
            <w:shd w:val="clear" w:color="auto" w:fill="EEEEEE"/>
          </w:tcPr>
          <w:p>
            <w:pPr>
              <w:spacing w:after="0"/>
              <w:rPr>
                <w:sz w:val="18"/>
                <w:szCs w:val="18"/>
                <w:color w:val="auto"/>
              </w:rPr>
            </w:pPr>
          </w:p>
        </w:tc>
        <w:tc>
          <w:tcPr>
            <w:tcW w:w="1900" w:type="dxa"/>
            <w:vAlign w:val="bottom"/>
            <w:tcBorders>
              <w:top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4</w:t>
            </w:r>
          </w:p>
        </w:tc>
        <w:tc>
          <w:tcPr>
            <w:tcW w:w="4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EEEEEE"/>
          </w:tcPr>
          <w:p>
            <w:pPr>
              <w:ind w:left="1360"/>
              <w:spacing w:after="0"/>
              <w:rPr>
                <w:sz w:val="20"/>
                <w:szCs w:val="20"/>
                <w:color w:val="auto"/>
              </w:rPr>
            </w:pPr>
            <w:r>
              <w:rPr>
                <w:rFonts w:ascii="Arial" w:cs="Arial" w:eastAsia="Arial" w:hAnsi="Arial"/>
                <w:sz w:val="18"/>
                <w:szCs w:val="18"/>
                <w:color w:val="auto"/>
                <w:w w:val="86"/>
              </w:rPr>
              <w:t>778,000</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jc w:val="center"/>
              <w:ind w:left="10"/>
              <w:spacing w:after="0"/>
              <w:rPr>
                <w:sz w:val="20"/>
                <w:szCs w:val="20"/>
                <w:color w:val="auto"/>
              </w:rPr>
            </w:pPr>
            <w:r>
              <w:rPr>
                <w:rFonts w:ascii="Arial" w:cs="Arial" w:eastAsia="Arial" w:hAnsi="Arial"/>
                <w:sz w:val="18"/>
                <w:szCs w:val="18"/>
                <w:color w:val="333333"/>
                <w:w w:val="89"/>
              </w:rPr>
              <w:t>2014</w:t>
            </w:r>
          </w:p>
        </w:tc>
        <w:tc>
          <w:tcPr>
            <w:tcW w:w="32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gridSpan w:val="2"/>
          </w:tcPr>
          <w:p>
            <w:pPr>
              <w:ind w:left="1360"/>
              <w:spacing w:after="0"/>
              <w:rPr>
                <w:sz w:val="20"/>
                <w:szCs w:val="20"/>
                <w:color w:val="auto"/>
              </w:rPr>
            </w:pPr>
            <w:r>
              <w:rPr>
                <w:rFonts w:ascii="Arial" w:cs="Arial" w:eastAsia="Arial" w:hAnsi="Arial"/>
                <w:sz w:val="18"/>
                <w:szCs w:val="18"/>
                <w:color w:val="auto"/>
              </w:rPr>
              <w:t>923,000</w:t>
            </w: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2015</w:t>
            </w:r>
          </w:p>
        </w:tc>
        <w:tc>
          <w:tcPr>
            <w:tcW w:w="320" w:type="dxa"/>
            <w:vAlign w:val="bottom"/>
            <w:shd w:val="clear" w:color="auto" w:fill="EEEEEE"/>
          </w:tcPr>
          <w:p>
            <w:pPr>
              <w:spacing w:after="0"/>
              <w:rPr>
                <w:sz w:val="18"/>
                <w:szCs w:val="18"/>
                <w:color w:val="auto"/>
              </w:rPr>
            </w:pPr>
          </w:p>
        </w:tc>
        <w:tc>
          <w:tcPr>
            <w:tcW w:w="190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795,000</w:t>
            </w:r>
          </w:p>
        </w:tc>
        <w:tc>
          <w:tcPr>
            <w:tcW w:w="0" w:type="dxa"/>
            <w:vAlign w:val="bottom"/>
          </w:tcPr>
          <w:p>
            <w:pPr>
              <w:spacing w:after="0"/>
              <w:rPr>
                <w:sz w:val="1"/>
                <w:szCs w:val="1"/>
                <w:color w:val="auto"/>
              </w:rPr>
            </w:pPr>
          </w:p>
        </w:tc>
      </w:tr>
      <w:tr>
        <w:trPr>
          <w:trHeight w:val="216"/>
        </w:trPr>
        <w:tc>
          <w:tcPr>
            <w:tcW w:w="2980" w:type="dxa"/>
            <w:vAlign w:val="bottom"/>
          </w:tcPr>
          <w:p>
            <w:pPr>
              <w:jc w:val="center"/>
              <w:ind w:left="10"/>
              <w:spacing w:after="0"/>
              <w:rPr>
                <w:sz w:val="20"/>
                <w:szCs w:val="20"/>
                <w:color w:val="auto"/>
              </w:rPr>
            </w:pPr>
            <w:r>
              <w:rPr>
                <w:rFonts w:ascii="Arial" w:cs="Arial" w:eastAsia="Arial" w:hAnsi="Arial"/>
                <w:sz w:val="18"/>
                <w:szCs w:val="18"/>
                <w:color w:val="333333"/>
                <w:w w:val="89"/>
              </w:rPr>
              <w:t>2016</w:t>
            </w:r>
          </w:p>
        </w:tc>
        <w:tc>
          <w:tcPr>
            <w:tcW w:w="32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ind w:left="1220"/>
              <w:spacing w:after="0"/>
              <w:rPr>
                <w:sz w:val="20"/>
                <w:szCs w:val="20"/>
                <w:color w:val="auto"/>
              </w:rPr>
            </w:pPr>
            <w:r>
              <w:rPr>
                <w:rFonts w:ascii="Arial" w:cs="Arial" w:eastAsia="Arial" w:hAnsi="Arial"/>
                <w:sz w:val="18"/>
                <w:szCs w:val="18"/>
                <w:color w:val="auto"/>
                <w:w w:val="87"/>
              </w:rPr>
              <w:t>1,214,997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2017</w:t>
            </w:r>
          </w:p>
        </w:tc>
        <w:tc>
          <w:tcPr>
            <w:tcW w:w="320" w:type="dxa"/>
            <w:vAlign w:val="bottom"/>
            <w:shd w:val="clear" w:color="auto" w:fill="EEEEEE"/>
          </w:tcPr>
          <w:p>
            <w:pPr>
              <w:spacing w:after="0"/>
              <w:rPr>
                <w:sz w:val="18"/>
                <w:szCs w:val="18"/>
                <w:color w:val="auto"/>
              </w:rPr>
            </w:pPr>
          </w:p>
        </w:tc>
        <w:tc>
          <w:tcPr>
            <w:tcW w:w="190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4</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870,000</w:t>
            </w:r>
          </w:p>
        </w:tc>
        <w:tc>
          <w:tcPr>
            <w:tcW w:w="0" w:type="dxa"/>
            <w:vAlign w:val="bottom"/>
          </w:tcPr>
          <w:p>
            <w:pPr>
              <w:spacing w:after="0"/>
              <w:rPr>
                <w:sz w:val="1"/>
                <w:szCs w:val="1"/>
                <w:color w:val="auto"/>
              </w:rPr>
            </w:pPr>
          </w:p>
        </w:tc>
      </w:tr>
      <w:tr>
        <w:trPr>
          <w:trHeight w:val="216"/>
        </w:trPr>
        <w:tc>
          <w:tcPr>
            <w:tcW w:w="2980" w:type="dxa"/>
            <w:vAlign w:val="bottom"/>
          </w:tcPr>
          <w:p>
            <w:pPr>
              <w:jc w:val="center"/>
              <w:ind w:left="10"/>
              <w:spacing w:after="0"/>
              <w:rPr>
                <w:sz w:val="20"/>
                <w:szCs w:val="20"/>
                <w:color w:val="auto"/>
              </w:rPr>
            </w:pPr>
            <w:r>
              <w:rPr>
                <w:rFonts w:ascii="Arial" w:cs="Arial" w:eastAsia="Arial" w:hAnsi="Arial"/>
                <w:sz w:val="18"/>
                <w:szCs w:val="18"/>
                <w:color w:val="333333"/>
                <w:w w:val="89"/>
              </w:rPr>
              <w:t>2018</w:t>
            </w:r>
          </w:p>
        </w:tc>
        <w:tc>
          <w:tcPr>
            <w:tcW w:w="32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gridSpan w:val="2"/>
          </w:tcPr>
          <w:p>
            <w:pPr>
              <w:ind w:left="1360"/>
              <w:spacing w:after="0"/>
              <w:rPr>
                <w:sz w:val="20"/>
                <w:szCs w:val="20"/>
                <w:color w:val="auto"/>
              </w:rPr>
            </w:pPr>
            <w:r>
              <w:rPr>
                <w:rFonts w:ascii="Arial" w:cs="Arial" w:eastAsia="Arial" w:hAnsi="Arial"/>
                <w:sz w:val="18"/>
                <w:szCs w:val="18"/>
                <w:color w:val="auto"/>
              </w:rPr>
              <w:t>883,452</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Six months ended June 30, 2019</w:t>
            </w:r>
          </w:p>
        </w:tc>
        <w:tc>
          <w:tcPr>
            <w:tcW w:w="190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2</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ind w:left="136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extending the revolving period to November 2019, followed by an amortization period to November 2021.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2019,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2019 with the three months ended June 30,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June 30, 2019, our revenues were $86.3 million, a decrease of $13.1 million, or 13.1%, from the prior year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of $99.4 million. The primary reason for the decrease in revenues is a decrease in interest income. Interest income for the three months ended June 30, 2019 decreased $12.6 million, or 12.9%, to $84.4 million from $97.0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average balances and interest yields of our loan portfolio for the three months ended June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9"/>
          </w:tcPr>
          <w:p>
            <w:pPr>
              <w:ind w:left="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Average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line="194" w:lineRule="exact"/>
              <w:rPr>
                <w:sz w:val="20"/>
                <w:szCs w:val="20"/>
                <w:color w:val="auto"/>
              </w:rPr>
            </w:pPr>
            <w:r>
              <w:rPr>
                <w:rFonts w:ascii="Arial" w:cs="Arial" w:eastAsia="Arial" w:hAnsi="Arial"/>
                <w:sz w:val="18"/>
                <w:szCs w:val="18"/>
                <w:b w:val="1"/>
                <w:bCs w:val="1"/>
                <w:color w:val="auto"/>
                <w:w w:val="83"/>
              </w:rPr>
              <w:t>Balance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3"/>
          </w:tcPr>
          <w:p>
            <w:pPr>
              <w:jc w:val="center"/>
              <w:ind w:right="400"/>
              <w:spacing w:after="0" w:line="194" w:lineRule="exact"/>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16"/>
                <w:szCs w:val="16"/>
                <w:color w:val="auto"/>
              </w:rPr>
            </w:pPr>
          </w:p>
        </w:tc>
        <w:tc>
          <w:tcPr>
            <w:tcW w:w="1220" w:type="dxa"/>
            <w:vAlign w:val="bottom"/>
            <w:gridSpan w:val="4"/>
          </w:tcPr>
          <w:p>
            <w:pPr>
              <w:jc w:val="right"/>
              <w:ind w:right="500"/>
              <w:spacing w:after="0" w:line="194" w:lineRule="exact"/>
              <w:rPr>
                <w:sz w:val="20"/>
                <w:szCs w:val="20"/>
                <w:color w:val="auto"/>
              </w:rPr>
            </w:pPr>
            <w:r>
              <w:rPr>
                <w:rFonts w:ascii="Arial" w:cs="Arial" w:eastAsia="Arial" w:hAnsi="Arial"/>
                <w:sz w:val="18"/>
                <w:szCs w:val="18"/>
                <w:b w:val="1"/>
                <w:bCs w:val="1"/>
                <w:color w:val="auto"/>
              </w:rPr>
              <w:t>Yield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4"/>
          </w:tcPr>
          <w:p>
            <w:pPr>
              <w:jc w:val="center"/>
              <w:ind w:right="480"/>
              <w:spacing w:after="0" w:line="194" w:lineRule="exact"/>
              <w:rPr>
                <w:sz w:val="20"/>
                <w:szCs w:val="20"/>
                <w:color w:val="auto"/>
              </w:rPr>
            </w:pPr>
            <w:r>
              <w:rPr>
                <w:rFonts w:ascii="Arial" w:cs="Arial" w:eastAsia="Arial" w:hAnsi="Arial"/>
                <w:sz w:val="18"/>
                <w:szCs w:val="18"/>
                <w:b w:val="1"/>
                <w:bCs w:val="1"/>
                <w:color w:val="auto"/>
                <w:w w:val="89"/>
              </w:rPr>
              <w:t>Interest</w:t>
            </w:r>
          </w:p>
        </w:tc>
        <w:tc>
          <w:tcPr>
            <w:tcW w:w="300" w:type="dxa"/>
            <w:vAlign w:val="bottom"/>
          </w:tcPr>
          <w:p>
            <w:pPr>
              <w:spacing w:after="0"/>
              <w:rPr>
                <w:sz w:val="16"/>
                <w:szCs w:val="16"/>
                <w:color w:val="auto"/>
              </w:rPr>
            </w:pPr>
          </w:p>
        </w:tc>
        <w:tc>
          <w:tcPr>
            <w:tcW w:w="820" w:type="dxa"/>
            <w:vAlign w:val="bottom"/>
            <w:gridSpan w:val="3"/>
          </w:tcPr>
          <w:p>
            <w:pPr>
              <w:jc w:val="center"/>
              <w:ind w:right="420"/>
              <w:spacing w:after="0" w:line="194" w:lineRule="exact"/>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1,262,836</w:t>
            </w:r>
          </w:p>
        </w:tc>
        <w:tc>
          <w:tcPr>
            <w:tcW w:w="5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ind w:left="320"/>
              <w:spacing w:after="0"/>
              <w:rPr>
                <w:sz w:val="20"/>
                <w:szCs w:val="20"/>
                <w:color w:val="auto"/>
              </w:rPr>
            </w:pPr>
            <w:r>
              <w:rPr>
                <w:rFonts w:ascii="Arial" w:cs="Arial" w:eastAsia="Arial" w:hAnsi="Arial"/>
                <w:sz w:val="18"/>
                <w:szCs w:val="18"/>
                <w:color w:val="auto"/>
              </w:rPr>
              <w:t>56,471</w:t>
            </w:r>
          </w:p>
        </w:tc>
        <w:tc>
          <w:tcPr>
            <w:tcW w:w="1400" w:type="dxa"/>
            <w:vAlign w:val="bottom"/>
            <w:gridSpan w:val="5"/>
            <w:shd w:val="clear" w:color="auto" w:fill="EEEEEE"/>
          </w:tcPr>
          <w:p>
            <w:pPr>
              <w:jc w:val="right"/>
              <w:ind w:right="180"/>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1,985,404</w:t>
            </w:r>
          </w:p>
        </w:tc>
        <w:tc>
          <w:tcPr>
            <w:tcW w:w="1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88,180</w:t>
            </w: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w w:val="99"/>
              </w:rPr>
              <w:t>Finance receivables measured at fair value</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1,136,086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ind w:left="320"/>
              <w:spacing w:after="0"/>
              <w:rPr>
                <w:sz w:val="20"/>
                <w:szCs w:val="20"/>
                <w:color w:val="auto"/>
              </w:rPr>
            </w:pPr>
            <w:r>
              <w:rPr>
                <w:rFonts w:ascii="Arial" w:cs="Arial" w:eastAsia="Arial" w:hAnsi="Arial"/>
                <w:sz w:val="18"/>
                <w:szCs w:val="18"/>
                <w:color w:val="auto"/>
              </w:rPr>
              <w:t>27,978</w:t>
            </w:r>
          </w:p>
        </w:tc>
        <w:tc>
          <w:tcPr>
            <w:tcW w:w="1400" w:type="dxa"/>
            <w:vAlign w:val="bottom"/>
            <w:gridSpan w:val="5"/>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344,891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8,832</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EEEEE"/>
              <w:bottom w:val="single" w:sz="8" w:color="EEEEEE"/>
            </w:tcBorders>
            <w:gridSpan w:val="3"/>
            <w:shd w:val="clear" w:color="auto" w:fill="EEEEEE"/>
          </w:tcPr>
          <w:p>
            <w:pPr>
              <w:ind w:left="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2,398,922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EEEEEE"/>
          </w:tcPr>
          <w:p>
            <w:pPr>
              <w:ind w:left="320"/>
              <w:spacing w:after="0"/>
              <w:rPr>
                <w:sz w:val="20"/>
                <w:szCs w:val="20"/>
                <w:color w:val="auto"/>
              </w:rPr>
            </w:pPr>
            <w:r>
              <w:rPr>
                <w:rFonts w:ascii="Arial" w:cs="Arial" w:eastAsia="Arial" w:hAnsi="Arial"/>
                <w:sz w:val="18"/>
                <w:szCs w:val="18"/>
                <w:color w:val="auto"/>
                <w:w w:val="83"/>
              </w:rPr>
              <w:t>84,449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2,330,295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97,012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130"/>
        <w:spacing w:after="0" w:line="259" w:lineRule="auto"/>
        <w:rPr>
          <w:sz w:val="20"/>
          <w:szCs w:val="20"/>
          <w:color w:val="auto"/>
        </w:rPr>
      </w:pPr>
      <w:r>
        <w:rPr>
          <w:rFonts w:ascii="Arial" w:cs="Arial" w:eastAsia="Arial" w:hAnsi="Arial"/>
          <w:sz w:val="18"/>
          <w:szCs w:val="18"/>
          <w:color w:val="auto"/>
        </w:rPr>
        <w:t>In the three months ended June 30, 2019, other income of $1.9 million decreased by $474,000, or 20.2% compared to the prior year. The three-month period ended June 30, 2019 includes a decrease of $657,000 in revenues associated with direct mail and other related products and services that we offer to our dealers This was partially offset by an increase of $180,000 in payments from third-party providers of convenience fees paid by our customers for web based and other electronic payments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operating expenses were $83.6 million for the three months ended June 30, 2019, compared to $94.7 million for the prior period, a decrease of $11.1 million, or 11.8%. The decrease is primarily due to a decrease in provision for credit losses and employee costs, offsetting increases in interest expense and general and administrative expenses.</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Employee costs decreased by $136,000 or 0.7%, to $19.7 million during the three months ended June 30, 2019, representing 23.6% of total operating expenses, from $19.8 million for the prior year, or 21.0% of total operating expenses. The decrease in employee costs were primarily a result of a decrease of $485,000 in stock compensation expense offset by other increases in employee costs related to higher headcounts in 2019. The table below summarizes our employees by category as well as contract purchases and units in our managed portfolio as of, and for the three-month periods ended, June 30, 2019 and 2018:</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9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250.1</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14,239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9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2,399.2</w:t>
            </w:r>
          </w:p>
        </w:tc>
        <w:tc>
          <w:tcPr>
            <w:tcW w:w="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2,329.2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177,115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174,564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7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Total number of employees</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$8.8 million, an increase of $1.3 million or 17.4% compared to the previous year and represented 10.5% of total operating expenses.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for the three months ended June 30, 2019 increased by $2.5 million to $27.7 million, or 10.0% and represented 33.2% of total operating expenses, compared to $25.2 million in the previous year, when it was 26.6% of total operating expenses.</w:t>
      </w:r>
    </w:p>
    <w:p>
      <w:pPr>
        <w:spacing w:after="0" w:line="17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Interest on securitization trust debt increased by $2.2 million, or 9.9%, for the three months ended June 30, 2019 compared to the prior period. The average balance of securitization trust debt increased 2.3% to $2,175.9 million for the three months ended June 30, 2019 compared to $2,126.3 million for the three months ended June 30, 2018. In addition, the blended interest rates on new term securitizations have generally increased since June 2017. As a result, the cost of securitization debt during the three-month period ended June 30, 2019 was 4.5%, compared to 4.2%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tbl>
      <w:tblPr>
        <w:tblLayout w:type="fixed"/>
        <w:tblInd w:w="2880" w:type="dxa"/>
        <w:tblCellMar>
          <w:top w:w="0" w:type="dxa"/>
          <w:left w:w="0" w:type="dxa"/>
          <w:bottom w:w="0" w:type="dxa"/>
          <w:right w:w="0" w:type="dxa"/>
        </w:tblCellMar>
      </w:tblPr>
      <w:tr>
        <w:trPr>
          <w:trHeight w:val="207"/>
        </w:trPr>
        <w:tc>
          <w:tcPr>
            <w:tcW w:w="39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Period</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Blended Cost</w:t>
            </w:r>
          </w:p>
        </w:tc>
        <w:tc>
          <w:tcPr>
            <w:tcW w:w="0" w:type="dxa"/>
            <w:vAlign w:val="bottom"/>
          </w:tcPr>
          <w:p>
            <w:pPr>
              <w:spacing w:after="0"/>
              <w:rPr>
                <w:sz w:val="1"/>
                <w:szCs w:val="1"/>
                <w:color w:val="auto"/>
              </w:rPr>
            </w:pPr>
          </w:p>
        </w:tc>
      </w:tr>
      <w:tr>
        <w:trPr>
          <w:trHeight w:val="234"/>
        </w:trPr>
        <w:tc>
          <w:tcPr>
            <w:tcW w:w="3980" w:type="dxa"/>
            <w:vAlign w:val="bottom"/>
            <w:gridSpan w:val="2"/>
            <w:vMerge w:val="continue"/>
          </w:tcPr>
          <w:p>
            <w:pPr>
              <w:spacing w:after="0"/>
              <w:rPr>
                <w:sz w:val="20"/>
                <w:szCs w:val="20"/>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of Funds</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January 2017</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3"/>
              </w:rPr>
              <w:t>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3.45%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2017</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October 2017</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3.39%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January 2018</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3.46%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2018</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3.98%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2018</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4.18%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October 2018</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4.25%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January 2019</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3"/>
              </w:rPr>
              <w:t>4.22%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2019</w:t>
            </w:r>
          </w:p>
        </w:tc>
        <w:tc>
          <w:tcPr>
            <w:tcW w:w="15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3.95%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Interest expense on subordinated renewable notes decreased by $23,000, or 6.7%. The average balance of the outstanding subordinated debt decreased 11.6% to $14.0 million for the three months ended June 30, 2019 compared to $15.9 million for the three months ended June 30, 2018. However, the average yield of subordinated notes increased to 9.2% in the three-month period ended June 30, 2019 compared to 8.7% in the prior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Interest expense on warehouse debt decreased by $175,000, or 8.2%, for the three months ended June 30, 2019 compared to the prior period. The average rate on the debt decreased to 10.1% in the three-month period ended June 30, 2019 compared to 11.9% in the prior period. However, the decrease was offset by higher outstanding warehouse debt balance in the current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ind w:firstLine="162"/>
        <w:spacing w:after="0" w:line="27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Interest expense on this residual interest financing was $955,000 for the three months ended June 30, 2019 compared to $452,000 in the prior year period.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4"/>
            <w:vMerge w:val="restart"/>
          </w:tcPr>
          <w:p>
            <w:pPr>
              <w:jc w:val="center"/>
              <w:ind w:right="940"/>
              <w:spacing w:after="0"/>
              <w:rPr>
                <w:sz w:val="20"/>
                <w:szCs w:val="20"/>
                <w:color w:val="auto"/>
              </w:rPr>
            </w:pPr>
            <w:r>
              <w:rPr>
                <w:rFonts w:ascii="Arial" w:cs="Arial" w:eastAsia="Arial" w:hAnsi="Arial"/>
                <w:sz w:val="18"/>
                <w:szCs w:val="18"/>
                <w:b w:val="1"/>
                <w:bCs w:val="1"/>
                <w:color w:val="auto"/>
                <w:w w:val="88"/>
              </w:rPr>
              <w:t>Interest Earning Assets</w:t>
            </w: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Balance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Interest</w:t>
            </w:r>
          </w:p>
        </w:tc>
        <w:tc>
          <w:tcPr>
            <w:tcW w:w="24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1,229,601</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56,471</w:t>
            </w:r>
          </w:p>
        </w:tc>
        <w:tc>
          <w:tcPr>
            <w:tcW w:w="14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18.4%</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1,950,196</w:t>
            </w:r>
          </w:p>
        </w:tc>
        <w:tc>
          <w:tcPr>
            <w:tcW w:w="1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88,180</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1,136,086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27,978</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344,891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8,832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2,365,687</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84,449</w:t>
            </w:r>
          </w:p>
        </w:tc>
        <w:tc>
          <w:tcPr>
            <w:tcW w:w="1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EEEEEE"/>
            </w:tcBorders>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2,295,087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97,012</w:t>
            </w:r>
          </w:p>
        </w:tc>
        <w:tc>
          <w:tcPr>
            <w:tcW w:w="3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6"/>
            <w:shd w:val="clear" w:color="auto" w:fill="EEEEEE"/>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40" w:type="dxa"/>
            <w:vAlign w:val="bottom"/>
            <w:shd w:val="clear" w:color="auto" w:fill="EEEEEE"/>
          </w:tcPr>
          <w:p>
            <w:pPr>
              <w:spacing w:after="0"/>
              <w:rPr>
                <w:sz w:val="15"/>
                <w:szCs w:val="15"/>
                <w:color w:val="auto"/>
              </w:rPr>
            </w:pPr>
          </w:p>
        </w:tc>
        <w:tc>
          <w:tcPr>
            <w:tcW w:w="1080" w:type="dxa"/>
            <w:vAlign w:val="bottom"/>
            <w:gridSpan w:val="2"/>
            <w:shd w:val="clear" w:color="auto" w:fill="EEEEEE"/>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Warehouse lines of credit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77,321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1,960</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72,638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2,135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955</w:t>
            </w:r>
          </w:p>
        </w:tc>
        <w:tc>
          <w:tcPr>
            <w:tcW w:w="14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20,220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452</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2,175,898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24,466</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2,126,282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22,255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14,021</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322</w:t>
            </w:r>
          </w:p>
        </w:tc>
        <w:tc>
          <w:tcPr>
            <w:tcW w:w="14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15,866</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345</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2,307,240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27,703</w:t>
            </w:r>
          </w:p>
        </w:tc>
        <w:tc>
          <w:tcPr>
            <w:tcW w:w="120" w:type="dxa"/>
            <w:vAlign w:val="bottom"/>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2,235,006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25,187</w:t>
            </w:r>
          </w:p>
        </w:tc>
        <w:tc>
          <w:tcPr>
            <w:tcW w:w="32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auto"/>
            </w:tcBorders>
            <w:shd w:val="clear" w:color="auto" w:fill="EEEEEE"/>
          </w:tcPr>
          <w:p>
            <w:pPr>
              <w:spacing w:after="0"/>
              <w:rPr>
                <w:sz w:val="18"/>
                <w:szCs w:val="18"/>
                <w:color w:val="auto"/>
              </w:rPr>
            </w:pPr>
          </w:p>
        </w:tc>
        <w:tc>
          <w:tcPr>
            <w:tcW w:w="880" w:type="dxa"/>
            <w:vAlign w:val="bottom"/>
            <w:tcBorders>
              <w:top w:val="single" w:sz="8" w:color="EEEEEE"/>
              <w:bottom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auto"/>
            </w:tcBorders>
            <w:shd w:val="clear" w:color="auto" w:fill="EEEEEE"/>
          </w:tcPr>
          <w:p>
            <w:pPr>
              <w:spacing w:after="0"/>
              <w:rPr>
                <w:sz w:val="18"/>
                <w:szCs w:val="18"/>
                <w:color w:val="auto"/>
              </w:rPr>
            </w:pPr>
          </w:p>
        </w:tc>
        <w:tc>
          <w:tcPr>
            <w:tcW w:w="86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Borders>
              <w:bottom w:val="single" w:sz="8" w:color="EEEEEE"/>
            </w:tcBorders>
            <w:gridSpan w:val="6"/>
          </w:tcPr>
          <w:p>
            <w:pPr>
              <w:spacing w:after="0"/>
              <w:rPr>
                <w:sz w:val="20"/>
                <w:szCs w:val="20"/>
                <w:color w:val="auto"/>
              </w:rPr>
            </w:pPr>
            <w:r>
              <w:rPr>
                <w:rFonts w:ascii="Arial" w:cs="Arial" w:eastAsia="Arial" w:hAnsi="Arial"/>
                <w:sz w:val="18"/>
                <w:szCs w:val="18"/>
                <w:color w:val="auto"/>
              </w:rPr>
              <w:t>Net interest income/spread</w:t>
            </w: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56,746</w:t>
            </w:r>
          </w:p>
        </w:tc>
        <w:tc>
          <w:tcPr>
            <w:tcW w:w="1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71,825</w:t>
            </w:r>
          </w:p>
        </w:tc>
        <w:tc>
          <w:tcPr>
            <w:tcW w:w="3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20" w:type="dxa"/>
            <w:vAlign w:val="bottom"/>
            <w:gridSpan w:val="6"/>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40" w:type="dxa"/>
            <w:vAlign w:val="bottom"/>
            <w:shd w:val="clear" w:color="auto" w:fill="EEEEEE"/>
          </w:tcPr>
          <w:p>
            <w:pPr>
              <w:spacing w:after="0"/>
              <w:rPr>
                <w:sz w:val="17"/>
                <w:szCs w:val="17"/>
                <w:color w:val="auto"/>
              </w:rPr>
            </w:pPr>
          </w:p>
        </w:tc>
        <w:tc>
          <w:tcPr>
            <w:tcW w:w="1080" w:type="dxa"/>
            <w:vAlign w:val="bottom"/>
            <w:gridSpan w:val="2"/>
            <w:shd w:val="clear" w:color="auto" w:fill="EEEEEE"/>
          </w:tcPr>
          <w:p>
            <w:pPr>
              <w:jc w:val="right"/>
              <w:ind w:right="180"/>
              <w:spacing w:after="0" w:line="196" w:lineRule="exact"/>
              <w:rPr>
                <w:sz w:val="20"/>
                <w:szCs w:val="20"/>
                <w:color w:val="auto"/>
              </w:rPr>
            </w:pPr>
            <w:r>
              <w:rPr>
                <w:rFonts w:ascii="Arial" w:cs="Arial" w:eastAsia="Arial" w:hAnsi="Arial"/>
                <w:sz w:val="18"/>
                <w:szCs w:val="18"/>
                <w:color w:val="FFFFFF"/>
              </w:rPr>
              <w:t>$</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gridSpan w:val="3"/>
            <w:shd w:val="clear" w:color="auto" w:fill="EEEEEE"/>
          </w:tcPr>
          <w:p>
            <w:pPr>
              <w:jc w:val="right"/>
              <w:ind w:right="180"/>
              <w:spacing w:after="0" w:line="196" w:lineRule="exact"/>
              <w:rPr>
                <w:sz w:val="20"/>
                <w:szCs w:val="20"/>
                <w:color w:val="auto"/>
              </w:rPr>
            </w:pPr>
            <w:r>
              <w:rPr>
                <w:rFonts w:ascii="Arial" w:cs="Arial" w:eastAsia="Arial" w:hAnsi="Arial"/>
                <w:sz w:val="18"/>
                <w:szCs w:val="18"/>
                <w:color w:val="auto"/>
              </w:rPr>
              <w:t>9.5%</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6"/>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6"/>
          </w:tcPr>
          <w:p>
            <w:pPr>
              <w:ind w:left="80"/>
              <w:spacing w:after="0"/>
              <w:rPr>
                <w:sz w:val="20"/>
                <w:szCs w:val="20"/>
                <w:color w:val="auto"/>
              </w:rPr>
            </w:pPr>
            <w:r>
              <w:rPr>
                <w:rFonts w:ascii="Arial" w:cs="Arial" w:eastAsia="Arial" w:hAnsi="Arial"/>
                <w:sz w:val="18"/>
                <w:szCs w:val="18"/>
                <w:color w:val="auto"/>
              </w:rPr>
              <w:t>average interest bearing liabilities</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20" w:hanging="28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63" w:lineRule="exact"/>
        <w:rPr>
          <w:rFonts w:ascii="Arial" w:cs="Arial" w:eastAsia="Arial" w:hAnsi="Arial"/>
          <w:sz w:val="18"/>
          <w:szCs w:val="18"/>
          <w:color w:val="auto"/>
        </w:rPr>
      </w:pPr>
    </w:p>
    <w:p>
      <w:pPr>
        <w:ind w:left="540" w:hanging="307"/>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63" w:lineRule="exact"/>
        <w:rPr>
          <w:rFonts w:ascii="Arial" w:cs="Arial" w:eastAsia="Arial" w:hAnsi="Arial"/>
          <w:sz w:val="18"/>
          <w:szCs w:val="18"/>
          <w:color w:val="auto"/>
        </w:rPr>
      </w:pPr>
    </w:p>
    <w:p>
      <w:pPr>
        <w:ind w:left="520" w:hanging="28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gridSpan w:val="8"/>
          </w:tcPr>
          <w:p>
            <w:pPr>
              <w:jc w:val="right"/>
              <w:ind w:right="20"/>
              <w:spacing w:after="0"/>
              <w:rPr>
                <w:sz w:val="20"/>
                <w:szCs w:val="20"/>
                <w:color w:val="auto"/>
              </w:rPr>
            </w:pPr>
            <w:r>
              <w:rPr>
                <w:rFonts w:ascii="Arial" w:cs="Arial" w:eastAsia="Arial" w:hAnsi="Arial"/>
                <w:sz w:val="18"/>
                <w:szCs w:val="18"/>
                <w:b w:val="1"/>
                <w:bCs w:val="1"/>
                <w:color w:val="auto"/>
              </w:rPr>
              <w:t>Three Months Ended June 30, 2019</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b w:val="1"/>
                <w:bCs w:val="1"/>
                <w:color w:val="auto"/>
                <w:w w:val="90"/>
              </w:rPr>
              <w:t>Compared to June 30, 2018</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center"/>
              <w:ind w:right="270"/>
              <w:spacing w:after="0" w:line="191" w:lineRule="exact"/>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0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Due</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Due</w:t>
            </w:r>
          </w:p>
        </w:tc>
        <w:tc>
          <w:tcPr>
            <w:tcW w:w="0" w:type="dxa"/>
            <w:vAlign w:val="bottom"/>
          </w:tcPr>
          <w:p>
            <w:pPr>
              <w:spacing w:after="0"/>
              <w:rPr>
                <w:sz w:val="1"/>
                <w:szCs w:val="1"/>
                <w:color w:val="auto"/>
              </w:rPr>
            </w:pPr>
          </w:p>
        </w:tc>
      </w:tr>
      <w:tr>
        <w:trPr>
          <w:trHeight w:val="94"/>
        </w:trPr>
        <w:tc>
          <w:tcPr>
            <w:tcW w:w="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00" w:type="dxa"/>
            <w:vAlign w:val="bottom"/>
            <w:gridSpan w:val="2"/>
          </w:tcPr>
          <w:p>
            <w:pPr>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 Volume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Interest Earning Assets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FFFFFF"/>
              </w:rPr>
              <w: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4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(31,709)</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(32,631)</w:t>
            </w:r>
          </w:p>
        </w:tc>
        <w:tc>
          <w:tcPr>
            <w:tcW w:w="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w w:val="99"/>
              </w:rPr>
              <w:t>Finance receivables at fair value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19,146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19,998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(12,563)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(12,633)</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FFFFFF"/>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4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(15,079)</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(13,828)</w:t>
            </w:r>
          </w:p>
        </w:tc>
        <w:tc>
          <w:tcPr>
            <w:tcW w:w="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2019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$1,136.1 million for the three months ended June 30, 2019 compared to $344.9 million in the prior year period.</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Provision for credit losses was $20.5 million for the three months ended June 30, 2019, a decrease of $15.0 million, or 42.3% compared to the prior year and represented 24.5%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$46,000, or 1.0%, to $4.6 million during the three months ended June 30, 2019 and represented 5.5% of total operating expenses. Although our sales staff was slightly lower as of June 30, 2019 compared June 30, 2018, we have gradually shifted to more field sales representatives as compared to in-house sales representatives. Field sales representatives are somewhat more costly than in-house sales representatives, but we feel will ultimately be more effective. The increase in sales expense can also be attributed to the increase in the volume of contact purchases. We purchased 14,239 contracts representing $250.1 million in receivables during the three-month period ending June 30, 2019 compared to 12,829 contracts representing $214.7 million in receivables in the prior period.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both"/>
        <w:ind w:firstLine="162"/>
        <w:spacing w:after="0" w:line="277" w:lineRule="auto"/>
        <w:rPr>
          <w:sz w:val="20"/>
          <w:szCs w:val="20"/>
          <w:color w:val="auto"/>
        </w:rPr>
      </w:pPr>
      <w:r>
        <w:rPr>
          <w:rFonts w:ascii="Arial" w:cs="Arial" w:eastAsia="Arial" w:hAnsi="Arial"/>
          <w:sz w:val="18"/>
          <w:szCs w:val="18"/>
          <w:color w:val="auto"/>
        </w:rPr>
        <w:t>Occupancy expenses increased by $151,000 or 8.1%, to $2.0 million compared to $1.9 million in the previous year and represented 2.4%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and amortization expenses increased by $12,000 or 4.8%, to $262,000 compared to $250,000 in the previous year and represented 0.3% of total operating expenses.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For the three months ended June 30, 2019 we recorded income tax expense of $970,000, representing a 35.0% effective income tax rate. In the prior year period, we recorded $1.5 million in income tax expense, representing a 32.0%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2019 with the six months ended June 30, 2018</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six months ended June 30, 2019, our revenues were $174.6 million, a decrease of $28.4 million, or 14.0%, from the prior year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of $202.9 million. The primary reason for the decrease in revenues is a decrease in interest income. Interest income for the six months ended June 30, 2019 decreased $27.6 million, or 14.0%, to $170.3 million from $197.9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six months ended June 30, 2019 and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8"/>
                <w:szCs w:val="18"/>
                <w:b w:val="1"/>
                <w:bCs w:val="1"/>
                <w:color w:val="auto"/>
                <w:w w:val="93"/>
              </w:rPr>
              <w:t>Six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10"/>
          </w:tcPr>
          <w:p>
            <w:pPr>
              <w:ind w:left="3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Average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20"/>
              <w:spacing w:after="0" w:line="194" w:lineRule="exact"/>
              <w:rPr>
                <w:sz w:val="20"/>
                <w:szCs w:val="20"/>
                <w:color w:val="auto"/>
              </w:rPr>
            </w:pPr>
            <w:r>
              <w:rPr>
                <w:rFonts w:ascii="Arial" w:cs="Arial" w:eastAsia="Arial" w:hAnsi="Arial"/>
                <w:sz w:val="18"/>
                <w:szCs w:val="18"/>
                <w:b w:val="1"/>
                <w:bCs w:val="1"/>
                <w:color w:val="auto"/>
                <w:w w:val="83"/>
              </w:rPr>
              <w:t>Balance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580"/>
              <w:spacing w:after="0" w:line="194" w:lineRule="exact"/>
              <w:rPr>
                <w:sz w:val="20"/>
                <w:szCs w:val="20"/>
                <w:color w:val="auto"/>
              </w:rPr>
            </w:pPr>
            <w:r>
              <w:rPr>
                <w:rFonts w:ascii="Arial" w:cs="Arial" w:eastAsia="Arial" w:hAnsi="Arial"/>
                <w:sz w:val="18"/>
                <w:szCs w:val="18"/>
                <w:b w:val="1"/>
                <w:bCs w:val="1"/>
                <w:color w:val="auto"/>
                <w:w w:val="89"/>
              </w:rPr>
              <w:t>Interest</w:t>
            </w:r>
          </w:p>
        </w:tc>
        <w:tc>
          <w:tcPr>
            <w:tcW w:w="1220" w:type="dxa"/>
            <w:vAlign w:val="bottom"/>
            <w:gridSpan w:val="4"/>
          </w:tcPr>
          <w:p>
            <w:pPr>
              <w:jc w:val="right"/>
              <w:ind w:right="500"/>
              <w:spacing w:after="0" w:line="194" w:lineRule="exact"/>
              <w:rPr>
                <w:sz w:val="20"/>
                <w:szCs w:val="20"/>
                <w:color w:val="auto"/>
              </w:rPr>
            </w:pPr>
            <w:r>
              <w:rPr>
                <w:rFonts w:ascii="Arial" w:cs="Arial" w:eastAsia="Arial" w:hAnsi="Arial"/>
                <w:sz w:val="18"/>
                <w:szCs w:val="18"/>
                <w:b w:val="1"/>
                <w:bCs w:val="1"/>
                <w:color w:val="auto"/>
              </w:rPr>
              <w:t>Yield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right"/>
              <w:ind w:right="380"/>
              <w:spacing w:after="0" w:line="194" w:lineRule="exact"/>
              <w:rPr>
                <w:sz w:val="20"/>
                <w:szCs w:val="20"/>
                <w:color w:val="auto"/>
              </w:rPr>
            </w:pPr>
            <w:r>
              <w:rPr>
                <w:rFonts w:ascii="Arial" w:cs="Arial" w:eastAsia="Arial" w:hAnsi="Arial"/>
                <w:sz w:val="18"/>
                <w:szCs w:val="18"/>
                <w:b w:val="1"/>
                <w:bCs w:val="1"/>
                <w:color w:val="auto"/>
                <w:w w:val="83"/>
              </w:rPr>
              <w:t>Balance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4"/>
          </w:tcPr>
          <w:p>
            <w:pPr>
              <w:jc w:val="center"/>
              <w:ind w:right="480"/>
              <w:spacing w:after="0" w:line="194" w:lineRule="exact"/>
              <w:rPr>
                <w:sz w:val="20"/>
                <w:szCs w:val="20"/>
                <w:color w:val="auto"/>
              </w:rPr>
            </w:pPr>
            <w:r>
              <w:rPr>
                <w:rFonts w:ascii="Arial" w:cs="Arial" w:eastAsia="Arial" w:hAnsi="Arial"/>
                <w:sz w:val="18"/>
                <w:szCs w:val="18"/>
                <w:b w:val="1"/>
                <w:bCs w:val="1"/>
                <w:color w:val="auto"/>
                <w:w w:val="89"/>
              </w:rPr>
              <w:t>Interest</w:t>
            </w:r>
          </w:p>
        </w:tc>
        <w:tc>
          <w:tcPr>
            <w:tcW w:w="300" w:type="dxa"/>
            <w:vAlign w:val="bottom"/>
          </w:tcPr>
          <w:p>
            <w:pPr>
              <w:spacing w:after="0"/>
              <w:rPr>
                <w:sz w:val="16"/>
                <w:szCs w:val="16"/>
                <w:color w:val="auto"/>
              </w:rPr>
            </w:pPr>
          </w:p>
        </w:tc>
        <w:tc>
          <w:tcPr>
            <w:tcW w:w="820" w:type="dxa"/>
            <w:vAlign w:val="bottom"/>
            <w:gridSpan w:val="3"/>
          </w:tcPr>
          <w:p>
            <w:pPr>
              <w:jc w:val="center"/>
              <w:ind w:right="420"/>
              <w:spacing w:after="0" w:line="194" w:lineRule="exact"/>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1,349,741</w:t>
            </w:r>
          </w:p>
        </w:tc>
        <w:tc>
          <w:tcPr>
            <w:tcW w:w="5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119,501</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17.7%</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2,091,724</w:t>
            </w:r>
          </w:p>
        </w:tc>
        <w:tc>
          <w:tcPr>
            <w:tcW w:w="16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185,578</w:t>
            </w: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w w:val="99"/>
              </w:rPr>
              <w:t>Finance receivables measured at fair value</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1,045,826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50,793</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239,217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12,340</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EEEEE"/>
              <w:bottom w:val="single" w:sz="8" w:color="EEEEEE"/>
            </w:tcBorders>
            <w:gridSpan w:val="3"/>
            <w:shd w:val="clear" w:color="auto" w:fill="EEEEEE"/>
          </w:tcPr>
          <w:p>
            <w:pPr>
              <w:ind w:left="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2,395,567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170,294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2,330,941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197,918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2019, other income of $4.3 million decreased by $747,000, or 14.9% compared to the prior year. The six-month period ended June 30, 2019 includes a decrease of $1.1 million in revenue associated with direct mail and other related products and services that we offer to our dealers. This decrease was partially offset by an increase of $430,000 in payments from third-party providers of convenience fees paid by our customers for web based and other electronic payments.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operating expenses were $169.1 million for the six months ended June 30, 2019, compared to $193.7 million for the prior period, a decrease of $24.6 million, or 12.7%. The decrease is primarily due to a decrease in provision for credit losses, offsetting increases in interest expense and general and administrative expenses.</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Employee costs decreased by $1.7 million or 4.2%, to $38.8 million during the six months ended June 30, 2019, representing 22.9% of total operating expenses, from $40.5 million for the prior year, or 20.9% of total operating expenses. The decrease in employee costs were primarily a result of a decrease of $1.0 million in stock compensation expense offset by other increases in employee costs related to higher headcounts in 2019. The table below summarizes our employees by category as well as contract purchases and units in our managed portfolio as of, and for the six-month periods ended, June 30, 2019 and 2018:</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9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493.2</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425.3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28,181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9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2,399.2</w:t>
            </w:r>
          </w:p>
        </w:tc>
        <w:tc>
          <w:tcPr>
            <w:tcW w:w="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2,329.2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177,115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174,564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7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Total number of employees</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$16.9 million, an increase of $2.0 million, or 13.2% compared to the previous year and represented 10.0% of total operating expenses.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for the six months ended June 30, 2019 increased by $5.7 million to $55.0 million, or 11.7% and represented 32.5% of total operating expenses, compared to $49.2 million in the previous year, when it was 25.4%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both"/>
        <w:ind w:firstLine="162"/>
        <w:spacing w:after="0" w:line="271" w:lineRule="auto"/>
        <w:rPr>
          <w:sz w:val="20"/>
          <w:szCs w:val="20"/>
          <w:color w:val="auto"/>
        </w:rPr>
      </w:pPr>
      <w:r>
        <w:rPr>
          <w:rFonts w:ascii="Arial" w:cs="Arial" w:eastAsia="Arial" w:hAnsi="Arial"/>
          <w:sz w:val="17"/>
          <w:szCs w:val="17"/>
          <w:color w:val="auto"/>
        </w:rPr>
        <w:t>Interest on securitization trust debt increased by $4.4 million, or 9.9%, for the six months ended June 30, 2019 compared to the prior period. The average balance of securitization trust debt increased to $2,184.7 million for the six months ended June 30, 2019 compared to $2,172.1 million for the six months ended June 30, 2018. In addition, the blended interest rates on new term securitizations have generally increased since 2017. As a result, the cost of securitization debt during the six-month period ended June 30, 2019 was 4.4%, compared to 4.1% in the prior year period. For any particular quarterly securitization transaction, the blended cost of funds is ultimately the result of many factors including the market interest rates for risk-free securities (against which our bonds are priced), and the margin over those benchmarks that investors are willing to accept, which in turn is influenced by investor demand for our bonds at the time of the securitization. These and other factors have resulted in a general trend toward higher securitization trust debt interest costs. The blended interest rates of our recent securitizations are summarized in the table below:</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0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Blended Cost</w:t>
            </w:r>
          </w:p>
        </w:tc>
      </w:tr>
      <w:tr>
        <w:trPr>
          <w:trHeight w:val="234"/>
        </w:trPr>
        <w:tc>
          <w:tcPr>
            <w:tcW w:w="4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Period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Funds</w:t>
            </w:r>
          </w:p>
        </w:tc>
      </w:tr>
      <w:tr>
        <w:trPr>
          <w:trHeight w:val="210"/>
        </w:trPr>
        <w:tc>
          <w:tcPr>
            <w:tcW w:w="37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January 2017</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3"/>
              </w:rPr>
              <w:t>3.91%</w:t>
            </w:r>
          </w:p>
        </w:tc>
        <w:tc>
          <w:tcPr>
            <w:tcW w:w="140" w:type="dxa"/>
            <w:vAlign w:val="bottom"/>
            <w:tcBorders>
              <w:top w:val="single" w:sz="8" w:color="EEEEEE"/>
            </w:tcBorders>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3.45%</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0"/>
              </w:rPr>
              <w:t>July 2017</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3.52%</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3.39%</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89"/>
              </w:rPr>
              <w:t>January 2018</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3.46%</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3.98%</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0"/>
              </w:rPr>
              <w:t>July 2018</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4.18%</w:t>
            </w:r>
          </w:p>
        </w:tc>
        <w:tc>
          <w:tcPr>
            <w:tcW w:w="140" w:type="dxa"/>
            <w:vAlign w:val="bottom"/>
            <w:shd w:val="clear" w:color="auto" w:fill="EEEEEE"/>
          </w:tcPr>
          <w:p>
            <w:pPr>
              <w:spacing w:after="0"/>
              <w:rPr>
                <w:sz w:val="18"/>
                <w:szCs w:val="18"/>
                <w:color w:val="auto"/>
              </w:rPr>
            </w:pPr>
          </w:p>
        </w:tc>
      </w:tr>
      <w:tr>
        <w:trPr>
          <w:trHeight w:val="216"/>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4.25%</w:t>
            </w:r>
          </w:p>
        </w:tc>
        <w:tc>
          <w:tcPr>
            <w:tcW w:w="140" w:type="dxa"/>
            <w:vAlign w:val="bottom"/>
          </w:tcPr>
          <w:p>
            <w:pPr>
              <w:spacing w:after="0"/>
              <w:rPr>
                <w:sz w:val="18"/>
                <w:szCs w:val="18"/>
                <w:color w:val="auto"/>
              </w:rPr>
            </w:pPr>
          </w:p>
        </w:tc>
      </w:tr>
      <w:tr>
        <w:trPr>
          <w:trHeight w:val="216"/>
        </w:trPr>
        <w:tc>
          <w:tcPr>
            <w:tcW w:w="408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89"/>
              </w:rPr>
              <w:t>January 2019</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4.22%</w:t>
            </w:r>
          </w:p>
        </w:tc>
        <w:tc>
          <w:tcPr>
            <w:tcW w:w="140" w:type="dxa"/>
            <w:vAlign w:val="bottom"/>
            <w:shd w:val="clear" w:color="auto" w:fill="EEEEEE"/>
          </w:tcPr>
          <w:p>
            <w:pPr>
              <w:spacing w:after="0"/>
              <w:rPr>
                <w:sz w:val="18"/>
                <w:szCs w:val="18"/>
                <w:color w:val="auto"/>
              </w:rPr>
            </w:pPr>
          </w:p>
        </w:tc>
      </w:tr>
      <w:tr>
        <w:trPr>
          <w:trHeight w:val="230"/>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2019</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3.95%</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Interest expense on subordinated renewable notes decreased by $42,000, or 6.1%. The decrease is primarily due to a decrease in the average outstanding balance on our subordinated renewable notes from $16.2 million in the prior year period to $14.2 million in the current period.</w:t>
      </w:r>
    </w:p>
    <w:p>
      <w:pPr>
        <w:spacing w:after="0" w:line="14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Interest expense on this residual interest financing was $1.9 million for the six months ended June 30, 2019 compared to $452,000 in the prior year period.</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Interest expense on warehouse debt decreased by $43,000, or 1.1%, for the six months ended June 30, 2019 compared to the prior period. When possible, we hold contracts with our own cash rather than pledging them to one of our warehouse facilities to minimize interest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ind w:right="20" w:firstLine="162"/>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six-month periods ended June 30,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8"/>
          </w:tcPr>
          <w:p>
            <w:pPr>
              <w:ind w:left="2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b w:val="1"/>
                <w:bCs w:val="1"/>
                <w:color w:val="auto"/>
              </w:rPr>
              <w:t>Annualized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vMerge w:val="restart"/>
          </w:tcPr>
          <w:p>
            <w:pPr>
              <w:jc w:val="center"/>
              <w:ind w:right="940"/>
              <w:spacing w:after="0"/>
              <w:rPr>
                <w:sz w:val="20"/>
                <w:szCs w:val="20"/>
                <w:color w:val="auto"/>
              </w:rPr>
            </w:pPr>
            <w:r>
              <w:rPr>
                <w:rFonts w:ascii="Arial" w:cs="Arial" w:eastAsia="Arial" w:hAnsi="Arial"/>
                <w:sz w:val="18"/>
                <w:szCs w:val="18"/>
                <w:b w:val="1"/>
                <w:bCs w:val="1"/>
                <w:color w:val="auto"/>
                <w:w w:val="88"/>
              </w:rPr>
              <w:t>Interest Earning Assets</w:t>
            </w:r>
          </w:p>
        </w:tc>
        <w:tc>
          <w:tcPr>
            <w:tcW w:w="80" w:type="dxa"/>
            <w:vAlign w:val="bottom"/>
          </w:tcPr>
          <w:p>
            <w:pPr>
              <w:spacing w:after="0"/>
              <w:rPr>
                <w:sz w:val="16"/>
                <w:szCs w:val="16"/>
                <w:color w:val="auto"/>
              </w:rPr>
            </w:pPr>
          </w:p>
        </w:tc>
        <w:tc>
          <w:tcPr>
            <w:tcW w:w="1140" w:type="dxa"/>
            <w:vAlign w:val="bottom"/>
            <w:gridSpan w:val="4"/>
          </w:tcPr>
          <w:p>
            <w:pPr>
              <w:jc w:val="center"/>
              <w:ind w:right="260"/>
              <w:spacing w:after="0" w:line="194" w:lineRule="exact"/>
              <w:rPr>
                <w:sz w:val="20"/>
                <w:szCs w:val="20"/>
                <w:color w:val="auto"/>
              </w:rPr>
            </w:pPr>
            <w:r>
              <w:rPr>
                <w:rFonts w:ascii="Arial" w:cs="Arial" w:eastAsia="Arial" w:hAnsi="Arial"/>
                <w:sz w:val="18"/>
                <w:szCs w:val="18"/>
                <w:b w:val="1"/>
                <w:bCs w:val="1"/>
                <w:color w:val="auto"/>
                <w:w w:val="91"/>
              </w:rPr>
              <w:t>Balance (1)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center"/>
              <w:ind w:right="440"/>
              <w:spacing w:after="0" w:line="194" w:lineRule="exact"/>
              <w:rPr>
                <w:sz w:val="20"/>
                <w:szCs w:val="20"/>
                <w:color w:val="auto"/>
              </w:rPr>
            </w:pPr>
            <w:r>
              <w:rPr>
                <w:rFonts w:ascii="Arial" w:cs="Arial" w:eastAsia="Arial" w:hAnsi="Arial"/>
                <w:sz w:val="18"/>
                <w:szCs w:val="18"/>
                <w:b w:val="1"/>
                <w:bCs w:val="1"/>
                <w:color w:val="auto"/>
                <w:w w:val="89"/>
              </w:rPr>
              <w:t>Interest</w:t>
            </w:r>
          </w:p>
        </w:tc>
        <w:tc>
          <w:tcPr>
            <w:tcW w:w="260" w:type="dxa"/>
            <w:vAlign w:val="bottom"/>
          </w:tcPr>
          <w:p>
            <w:pPr>
              <w:spacing w:after="0"/>
              <w:rPr>
                <w:sz w:val="16"/>
                <w:szCs w:val="16"/>
                <w:color w:val="auto"/>
              </w:rPr>
            </w:pPr>
          </w:p>
        </w:tc>
        <w:tc>
          <w:tcPr>
            <w:tcW w:w="11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Yield/Rate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center"/>
              <w:ind w:right="240"/>
              <w:spacing w:after="0" w:line="194" w:lineRule="exact"/>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Interest</w:t>
            </w:r>
          </w:p>
        </w:tc>
        <w:tc>
          <w:tcPr>
            <w:tcW w:w="1240" w:type="dxa"/>
            <w:vAlign w:val="bottom"/>
            <w:gridSpan w:val="4"/>
          </w:tcPr>
          <w:p>
            <w:pPr>
              <w:jc w:val="center"/>
              <w:spacing w:after="0" w:line="194" w:lineRule="exact"/>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6"/>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1,315,324</w:t>
            </w:r>
          </w:p>
        </w:tc>
        <w:tc>
          <w:tcPr>
            <w:tcW w:w="18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119,501</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18.2%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2,055,585</w:t>
            </w:r>
          </w:p>
        </w:tc>
        <w:tc>
          <w:tcPr>
            <w:tcW w:w="1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185,578</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1,045,826</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50,793</w:t>
            </w:r>
          </w:p>
        </w:tc>
        <w:tc>
          <w:tcPr>
            <w:tcW w:w="13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239,217</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12,340</w:t>
            </w:r>
          </w:p>
        </w:tc>
        <w:tc>
          <w:tcPr>
            <w:tcW w:w="12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2,361,150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170,294</w:t>
            </w:r>
          </w:p>
        </w:tc>
        <w:tc>
          <w:tcPr>
            <w:tcW w:w="22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2,294,802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197,918</w:t>
            </w:r>
          </w:p>
        </w:tc>
        <w:tc>
          <w:tcPr>
            <w:tcW w:w="20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5"/>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FFFFFF"/>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78,563</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3,980</w:t>
            </w:r>
          </w:p>
        </w:tc>
        <w:tc>
          <w:tcPr>
            <w:tcW w:w="13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10.1%</w:t>
            </w:r>
          </w:p>
        </w:tc>
        <w:tc>
          <w:tcPr>
            <w:tcW w:w="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67,477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4,023</w:t>
            </w:r>
          </w:p>
        </w:tc>
        <w:tc>
          <w:tcPr>
            <w:tcW w:w="12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1,911</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10,166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452</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2,184,692</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48,454</w:t>
            </w:r>
          </w:p>
        </w:tc>
        <w:tc>
          <w:tcPr>
            <w:tcW w:w="13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2,172,145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44,084</w:t>
            </w:r>
          </w:p>
        </w:tc>
        <w:tc>
          <w:tcPr>
            <w:tcW w:w="12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648</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16,205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690</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360" w:type="dxa"/>
            <w:vAlign w:val="bottom"/>
            <w:gridSpan w:val="3"/>
            <w:vMerge w:val="restart"/>
            <w:shd w:val="clear" w:color="auto" w:fill="EEEEEE"/>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EEEE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EEEEE"/>
          </w:tcPr>
          <w:p>
            <w:pPr>
              <w:spacing w:after="0" w:line="20" w:lineRule="exact"/>
              <w:rPr>
                <w:sz w:val="1"/>
                <w:szCs w:val="1"/>
                <w:color w:val="auto"/>
              </w:rPr>
            </w:pPr>
          </w:p>
        </w:tc>
        <w:tc>
          <w:tcPr>
            <w:tcW w:w="1240" w:type="dxa"/>
            <w:vAlign w:val="bottom"/>
            <w:gridSpan w:val="4"/>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2,317,457</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54,993</w:t>
            </w:r>
          </w:p>
        </w:tc>
        <w:tc>
          <w:tcPr>
            <w:tcW w:w="220" w:type="dxa"/>
            <w:vAlign w:val="bottom"/>
            <w:vMerge w:val="continue"/>
            <w:shd w:val="clear" w:color="auto" w:fill="EEEEEE"/>
          </w:tcPr>
          <w:p>
            <w:pPr>
              <w:spacing w:after="0"/>
              <w:rPr>
                <w:sz w:val="20"/>
                <w:szCs w:val="20"/>
                <w:color w:val="auto"/>
              </w:rPr>
            </w:pPr>
          </w:p>
        </w:tc>
        <w:tc>
          <w:tcPr>
            <w:tcW w:w="1360" w:type="dxa"/>
            <w:vAlign w:val="bottom"/>
            <w:gridSpan w:val="3"/>
            <w:vMerge w:val="continue"/>
            <w:shd w:val="clear" w:color="auto" w:fill="EEEEEE"/>
          </w:tcPr>
          <w:p>
            <w:pPr>
              <w:spacing w:after="0"/>
              <w:rPr>
                <w:sz w:val="20"/>
                <w:szCs w:val="20"/>
                <w:color w:val="auto"/>
              </w:rPr>
            </w:pPr>
          </w:p>
        </w:tc>
        <w:tc>
          <w:tcPr>
            <w:tcW w:w="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2,265,993</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49,249</w:t>
            </w:r>
          </w:p>
        </w:tc>
        <w:tc>
          <w:tcPr>
            <w:tcW w:w="200" w:type="dxa"/>
            <w:vAlign w:val="bottom"/>
            <w:vMerge w:val="continue"/>
            <w:shd w:val="clear" w:color="auto" w:fill="EEEEEE"/>
          </w:tcPr>
          <w:p>
            <w:pPr>
              <w:spacing w:after="0"/>
              <w:rPr>
                <w:sz w:val="20"/>
                <w:szCs w:val="20"/>
                <w:color w:val="auto"/>
              </w:rPr>
            </w:pPr>
          </w:p>
        </w:tc>
        <w:tc>
          <w:tcPr>
            <w:tcW w:w="1240" w:type="dxa"/>
            <w:vAlign w:val="bottom"/>
            <w:gridSpan w:val="4"/>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bottom w:val="single" w:sz="8" w:color="EEEEEE"/>
            </w:tcBorders>
            <w:gridSpan w:val="4"/>
            <w:vMerge w:val="restart"/>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EEEEEE"/>
            </w:tcBorders>
            <w:gridSpan w:val="3"/>
            <w:shd w:val="clear" w:color="auto" w:fill="EEEEEE"/>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115,301</w:t>
            </w:r>
          </w:p>
        </w:tc>
        <w:tc>
          <w:tcPr>
            <w:tcW w:w="2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148,669</w:t>
            </w:r>
          </w:p>
        </w:tc>
        <w:tc>
          <w:tcPr>
            <w:tcW w:w="2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8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(3)</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82"/>
        </w:trPr>
        <w:tc>
          <w:tcPr>
            <w:tcW w:w="34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gridSpan w:val="6"/>
          </w:tcPr>
          <w:p>
            <w:pPr>
              <w:spacing w:after="0"/>
              <w:rPr>
                <w:sz w:val="20"/>
                <w:szCs w:val="20"/>
                <w:color w:val="auto"/>
              </w:rPr>
            </w:pPr>
            <w:r>
              <w:rPr>
                <w:rFonts w:ascii="Arial" w:cs="Arial" w:eastAsia="Arial" w:hAnsi="Arial"/>
                <w:sz w:val="18"/>
                <w:szCs w:val="18"/>
                <w:color w:val="auto"/>
              </w:rPr>
              <w:t>Ratio of average interest earning assets to</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tcPr>
          <w:p>
            <w:pPr>
              <w:ind w:left="80"/>
              <w:spacing w:after="0"/>
              <w:rPr>
                <w:sz w:val="20"/>
                <w:szCs w:val="20"/>
                <w:color w:val="auto"/>
              </w:rPr>
            </w:pPr>
            <w:r>
              <w:rPr>
                <w:rFonts w:ascii="Arial" w:cs="Arial" w:eastAsia="Arial" w:hAnsi="Arial"/>
                <w:sz w:val="18"/>
                <w:szCs w:val="18"/>
                <w:color w:val="auto"/>
              </w:rPr>
              <w:t>average interest bearing liabilities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63" w:lineRule="exact"/>
        <w:rPr>
          <w:rFonts w:ascii="Arial" w:cs="Arial" w:eastAsia="Arial" w:hAnsi="Arial"/>
          <w:sz w:val="18"/>
          <w:szCs w:val="18"/>
          <w:color w:val="auto"/>
        </w:rPr>
      </w:pPr>
    </w:p>
    <w:p>
      <w:pPr>
        <w:ind w:left="540" w:hanging="307"/>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63" w:lineRule="exact"/>
        <w:rPr>
          <w:rFonts w:ascii="Arial" w:cs="Arial" w:eastAsia="Arial" w:hAnsi="Arial"/>
          <w:sz w:val="18"/>
          <w:szCs w:val="18"/>
          <w:color w:val="auto"/>
        </w:rPr>
      </w:pPr>
    </w:p>
    <w:p>
      <w:pPr>
        <w:ind w:left="520" w:hanging="28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89"/>
              </w:rPr>
              <w:t>Six Months Ended June 30, 2019</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90"/>
              </w:rPr>
              <w:t>Compared to June 30, 2018</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right="860"/>
              <w:spacing w:after="0" w:line="191" w:lineRule="exact"/>
              <w:rPr>
                <w:sz w:val="20"/>
                <w:szCs w:val="20"/>
                <w:color w:val="auto"/>
              </w:rPr>
            </w:pPr>
            <w:r>
              <w:rPr>
                <w:rFonts w:ascii="Arial" w:cs="Arial" w:eastAsia="Arial" w:hAnsi="Arial"/>
                <w:sz w:val="18"/>
                <w:szCs w:val="18"/>
                <w:b w:val="1"/>
                <w:bCs w:val="1"/>
                <w:color w:val="auto"/>
                <w:w w:val="90"/>
              </w:rPr>
              <w:t>Change</w:t>
            </w:r>
          </w:p>
        </w:tc>
        <w:tc>
          <w:tcPr>
            <w:tcW w:w="960" w:type="dxa"/>
            <w:vAlign w:val="bottom"/>
          </w:tcPr>
          <w:p>
            <w:pPr>
              <w:jc w:val="center"/>
              <w:ind w:right="270"/>
              <w:spacing w:after="0" w:line="191" w:lineRule="exact"/>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0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3"/>
            <w:vMerge w:val="restart"/>
          </w:tcPr>
          <w:p>
            <w:pPr>
              <w:jc w:val="center"/>
              <w:ind w:right="800"/>
              <w:spacing w:after="0"/>
              <w:rPr>
                <w:sz w:val="20"/>
                <w:szCs w:val="20"/>
                <w:color w:val="auto"/>
              </w:rPr>
            </w:pPr>
            <w:r>
              <w:rPr>
                <w:rFonts w:ascii="Arial" w:cs="Arial" w:eastAsia="Arial" w:hAnsi="Arial"/>
                <w:sz w:val="18"/>
                <w:szCs w:val="18"/>
                <w:b w:val="1"/>
                <w:bCs w:val="1"/>
                <w:color w:val="auto"/>
                <w:w w:val="88"/>
              </w:rPr>
              <w:t>Due</w:t>
            </w: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Due</w:t>
            </w:r>
          </w:p>
        </w:tc>
        <w:tc>
          <w:tcPr>
            <w:tcW w:w="4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00" w:type="dxa"/>
            <w:vAlign w:val="bottom"/>
            <w:gridSpan w:val="2"/>
          </w:tcPr>
          <w:p>
            <w:pPr>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to Volume</w:t>
            </w: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to Rate</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Interest Earning Assets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FFFFFF"/>
              </w:rPr>
              <w:t>$</w:t>
            </w:r>
          </w:p>
        </w:tc>
        <w:tc>
          <w:tcPr>
            <w:tcW w:w="1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4"/>
          </w:tcPr>
          <w:p>
            <w:pPr>
              <w:jc w:val="center"/>
              <w:ind w:right="660"/>
              <w:spacing w:after="0"/>
              <w:rPr>
                <w:sz w:val="20"/>
                <w:szCs w:val="20"/>
                <w:color w:val="auto"/>
              </w:rPr>
            </w:pPr>
            <w:r>
              <w:rPr>
                <w:rFonts w:ascii="Arial" w:cs="Arial" w:eastAsia="Arial" w:hAnsi="Arial"/>
                <w:sz w:val="18"/>
                <w:szCs w:val="18"/>
                <w:b w:val="1"/>
                <w:bCs w:val="1"/>
                <w:color w:val="auto"/>
                <w:w w:val="90"/>
              </w:rPr>
              <w:t>(In thousands)</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4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(66,077)</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(66,831)</w:t>
            </w:r>
          </w:p>
        </w:tc>
        <w:tc>
          <w:tcPr>
            <w:tcW w:w="3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754</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w w:val="99"/>
              </w:rPr>
              <w:t>Finance receivables at fair value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38,453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41,609</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(3,156)</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(27,624)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(25,222)</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top w:val="single" w:sz="8" w:color="EEEEEE"/>
            </w:tcBorders>
            <w:shd w:val="clear" w:color="auto" w:fill="EEEEEE"/>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FFFFFF"/>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4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(704)</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1,326</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4,370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4,115</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5,744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Borders>
              <w:top w:val="single" w:sz="8" w:color="EEEEEE"/>
            </w:tcBorders>
            <w:shd w:val="clear" w:color="auto" w:fill="EEEEEE"/>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(33,368)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(27,379)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(5,989)</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4" w:name="page35"/>
    <w:bookmarkEnd w:id="34"/>
    <w:p>
      <w:pPr>
        <w:jc w:val="both"/>
        <w:ind w:firstLine="162"/>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2019 compared to the prior year period is a result of the lower interest yield on the receivables measured at fair value. The interest yield on receivables measured at fair value is reduced to take account of expected losses and is therefore less than the yield on other finance receivables.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Provision for credit losses was $44.4 million for the six months ended June 30, 2019, a decrease of $31.6 million, or 41.5% compared to the prior year and represented 26.3%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$672,000, or 7.6%, to $9.5 million during the six months ended June 30, 2019, compared to $8.8 million in the prior year period, and represented 5.6% of total operating expenses. Our sales staff increased to 129 as of June 30, 2019 compared to 117 at June 30, 2018. In addition, in recent months, we have gradually shifted to more field sales representatives as compared to in-house sales representatives. Field sales representatives are somewhat more costly than in-house sales representatives, but we feel will ultimately be more effective. For the six months ended June 30, 2019, we purchased 28,181 contracts representing $493.2 million in receivables compared to 25,896 contracts representing $425.3 million in receivables in the prior period.</w:t>
      </w:r>
    </w:p>
    <w:p>
      <w:pPr>
        <w:spacing w:after="0" w:line="19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Occupancy expenses increased by $276,000 or 7.4%, to $4.0 million compared to $3.7 million in the previous year and represented 2.4%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and amortization expenses increased by $23,000 or 4.7%, to $513,000 compared to $490,000 in the previous year and represented 0.3%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six months ended June 30, 2019, we recorded income tax expense of $1.9 million, representing a 35.0% effective income tax rate. In the prior year period, we recorded $2.9 million in income tax expense, representing a 31.5%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6"/>
          </w:tcPr>
          <w:p>
            <w:pPr>
              <w:ind w:left="58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Contracts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34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177,115</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2,399,221</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174,563</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2,329,179</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176,042</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Period of delinquency (2)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31-60 days</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13,728</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191,222</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9,175</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124,663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13,182</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61-90 days</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86,075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91+ days</w:t>
            </w: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2,954</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38,092</w:t>
            </w: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22,865</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2,858</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delinquencies (2)</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0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40,293</w:t>
            </w: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2,679</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34,148</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2,840</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26,123</w:t>
            </w:r>
          </w:p>
        </w:tc>
        <w:tc>
          <w:tcPr>
            <w:tcW w:w="18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355,682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17,819</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234,487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24,457</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330,459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repossession (2)</w:t>
            </w:r>
          </w:p>
        </w:tc>
        <w:tc>
          <w:tcPr>
            <w:tcW w:w="1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servicing portfolio</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repossession as a percentage of gross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servicing portfolio</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 accruing</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24,808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330,601</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27,927</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371,549</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27,192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364,575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80"/>
              <w:spacing w:after="0"/>
              <w:rPr>
                <w:sz w:val="20"/>
                <w:szCs w:val="20"/>
                <w:color w:val="auto"/>
              </w:rPr>
            </w:pPr>
            <w:r>
              <w:rPr>
                <w:rFonts w:ascii="Arial" w:cs="Arial" w:eastAsia="Arial" w:hAnsi="Arial"/>
                <w:sz w:val="18"/>
                <w:szCs w:val="18"/>
                <w:color w:val="auto"/>
              </w:rPr>
              <w:t>accruing</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56,861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730,639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60,365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819,447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61,977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828,573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81,669</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1,061,240</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88,292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1,190,996</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89,169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1,193,148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Contracts with one extension, non-accrual</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11,473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non-accrual (4)</w:t>
            </w:r>
          </w:p>
        </w:tc>
        <w:tc>
          <w:tcPr>
            <w:tcW w:w="1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4,098</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53,318</w:t>
            </w:r>
          </w:p>
        </w:tc>
        <w:tc>
          <w:tcPr>
            <w:tcW w:w="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2,921</w:t>
            </w: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37,369</w:t>
            </w: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3,946</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86,674</w:t>
            </w:r>
          </w:p>
        </w:tc>
        <w:tc>
          <w:tcPr>
            <w:tcW w:w="1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1,126,031</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91,913</w:t>
            </w:r>
          </w:p>
        </w:tc>
        <w:tc>
          <w:tcPr>
            <w:tcW w:w="1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1,236,491</w:t>
            </w:r>
          </w:p>
        </w:tc>
        <w:tc>
          <w:tcPr>
            <w:tcW w:w="100" w:type="dxa"/>
            <w:vAlign w:val="bottom"/>
            <w:shd w:val="clear" w:color="auto" w:fill="EEEEEE"/>
          </w:tcPr>
          <w:p>
            <w:pPr>
              <w:spacing w:after="0"/>
              <w:rPr>
                <w:sz w:val="21"/>
                <w:szCs w:val="21"/>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93,913</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-154940</wp:posOffset>
            </wp:positionV>
            <wp:extent cx="4999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360" w:hanging="1"/>
        <w:spacing w:after="0" w:line="264" w:lineRule="auto"/>
        <w:tabs>
          <w:tab w:leader="none" w:pos="621"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2" w:lineRule="exact"/>
        <w:rPr>
          <w:rFonts w:ascii="Arial" w:cs="Arial" w:eastAsia="Arial" w:hAnsi="Arial"/>
          <w:sz w:val="17"/>
          <w:szCs w:val="17"/>
          <w:i w:val="1"/>
          <w:iCs w:val="1"/>
          <w:color w:val="auto"/>
        </w:rPr>
      </w:pPr>
    </w:p>
    <w:p>
      <w:pPr>
        <w:jc w:val="both"/>
        <w:ind w:left="360" w:hanging="1"/>
        <w:spacing w:after="0" w:line="250" w:lineRule="auto"/>
        <w:tabs>
          <w:tab w:leader="none" w:pos="618"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620" w:hanging="261"/>
        <w:spacing w:after="0"/>
        <w:tabs>
          <w:tab w:leader="none" w:pos="6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620" w:hanging="261"/>
        <w:spacing w:after="0"/>
        <w:tabs>
          <w:tab w:leader="none" w:pos="6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w w:val="87"/>
              </w:rPr>
              <w:t>(Dollars in thousands)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2,395,567</w:t>
            </w:r>
          </w:p>
        </w:tc>
        <w:tc>
          <w:tcPr>
            <w:tcW w:w="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2,330,937</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2,341,954</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 average servicing portfolio (2)</w:t>
            </w:r>
          </w:p>
        </w:tc>
        <w:tc>
          <w:tcPr>
            <w:tcW w:w="220" w:type="dxa"/>
            <w:vAlign w:val="bottom"/>
          </w:tcPr>
          <w:p>
            <w:pPr>
              <w:spacing w:after="0"/>
              <w:rPr>
                <w:sz w:val="17"/>
                <w:szCs w:val="17"/>
                <w:color w:val="auto"/>
              </w:rPr>
            </w:pP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7.9%</w:t>
            </w:r>
          </w:p>
        </w:tc>
        <w:tc>
          <w:tcPr>
            <w:tcW w:w="120" w:type="dxa"/>
            <w:vAlign w:val="bottom"/>
          </w:tcPr>
          <w:p>
            <w:pPr>
              <w:spacing w:after="0"/>
              <w:rPr>
                <w:sz w:val="17"/>
                <w:szCs w:val="17"/>
                <w:color w:val="auto"/>
              </w:rPr>
            </w:pP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7.7%</w:t>
            </w:r>
          </w:p>
        </w:tc>
      </w:tr>
      <w:tr>
        <w:trPr>
          <w:trHeight w:val="230"/>
        </w:trPr>
        <w:tc>
          <w:tcPr>
            <w:tcW w:w="6520" w:type="dxa"/>
            <w:vAlign w:val="bottom"/>
          </w:tcPr>
          <w:p>
            <w:pPr>
              <w:jc w:val="right"/>
              <w:ind w:right="4130"/>
              <w:spacing w:after="0"/>
              <w:rPr>
                <w:sz w:val="20"/>
                <w:szCs w:val="20"/>
                <w:color w:val="auto"/>
              </w:rPr>
            </w:pPr>
            <w:r>
              <w:rPr>
                <w:rFonts w:ascii="Arial" w:cs="Arial" w:eastAsia="Arial" w:hAnsi="Arial"/>
                <w:sz w:val="18"/>
                <w:szCs w:val="18"/>
                <w:i w:val="1"/>
                <w:iCs w:val="1"/>
                <w:color w:val="auto"/>
                <w:w w:val="91"/>
              </w:rPr>
              <w:t>_________________________</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60" w:hanging="1"/>
        <w:spacing w:after="0" w:line="250" w:lineRule="auto"/>
        <w:tabs>
          <w:tab w:leader="none" w:pos="623"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left="360" w:hanging="1"/>
        <w:spacing w:after="0" w:line="273" w:lineRule="auto"/>
        <w:tabs>
          <w:tab w:leader="none" w:pos="639"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2019 and June 30, 2018 percentages represent three months ended June 30, 2019 and June 30, 2018 annualized. December 31, 2018 represents 12 months ended December 31,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ind w:right="80" w:firstLine="162"/>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2019, for accounts that received extensions from 2008 through 2017 (2018 extension data are not included at this time due to insufficient passage of time for meaningful evaluation of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Avg</w:t>
            </w:r>
          </w:p>
        </w:tc>
        <w:tc>
          <w:tcPr>
            <w:tcW w:w="320" w:type="dxa"/>
            <w:vAlign w:val="bottom"/>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1"/>
              </w:rPr>
              <w:t>Active or</w:t>
            </w:r>
          </w:p>
        </w:tc>
        <w:tc>
          <w:tcPr>
            <w:tcW w:w="600" w:type="dxa"/>
            <w:vAlign w:val="bottom"/>
            <w:gridSpan w:val="2"/>
          </w:tcPr>
          <w:p>
            <w:pPr>
              <w:spacing w:after="0"/>
              <w:rPr>
                <w:sz w:val="17"/>
                <w:szCs w:val="17"/>
                <w:color w:val="auto"/>
              </w:rPr>
            </w:pPr>
          </w:p>
        </w:tc>
        <w:tc>
          <w:tcPr>
            <w:tcW w:w="7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 Active or</w:t>
            </w:r>
          </w:p>
        </w:tc>
        <w:tc>
          <w:tcPr>
            <w:tcW w:w="520" w:type="dxa"/>
            <w:vAlign w:val="bottom"/>
          </w:tcPr>
          <w:p>
            <w:pPr>
              <w:spacing w:after="0"/>
              <w:rPr>
                <w:sz w:val="17"/>
                <w:szCs w:val="17"/>
                <w:color w:val="auto"/>
              </w:rPr>
            </w:pPr>
          </w:p>
        </w:tc>
        <w:tc>
          <w:tcPr>
            <w:tcW w:w="82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87"/>
              </w:rPr>
              <w:t>Charged Off</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7"/>
          </w:tcPr>
          <w:p>
            <w:pPr>
              <w:jc w:val="center"/>
              <w:ind w:right="300"/>
              <w:spacing w:after="0" w:line="196" w:lineRule="exact"/>
              <w:rPr>
                <w:sz w:val="20"/>
                <w:szCs w:val="20"/>
                <w:color w:val="auto"/>
              </w:rPr>
            </w:pPr>
            <w:r>
              <w:rPr>
                <w:rFonts w:ascii="Arial" w:cs="Arial" w:eastAsia="Arial" w:hAnsi="Arial"/>
                <w:sz w:val="18"/>
                <w:szCs w:val="18"/>
                <w:color w:val="auto"/>
                <w:w w:val="88"/>
              </w:rPr>
              <w:t>% Charged</w:t>
            </w:r>
          </w:p>
        </w:tc>
        <w:tc>
          <w:tcPr>
            <w:tcW w:w="200" w:type="dxa"/>
            <w:vAlign w:val="bottom"/>
          </w:tcPr>
          <w:p>
            <w:pPr>
              <w:spacing w:after="0"/>
              <w:rPr>
                <w:sz w:val="17"/>
                <w:szCs w:val="17"/>
                <w:color w:val="auto"/>
              </w:rPr>
            </w:pPr>
          </w:p>
        </w:tc>
        <w:tc>
          <w:tcPr>
            <w:tcW w:w="1300" w:type="dxa"/>
            <w:vAlign w:val="bottom"/>
            <w:gridSpan w:val="5"/>
          </w:tcPr>
          <w:p>
            <w:pPr>
              <w:jc w:val="center"/>
              <w:ind w:right="400"/>
              <w:spacing w:after="0" w:line="196" w:lineRule="exact"/>
              <w:rPr>
                <w:sz w:val="20"/>
                <w:szCs w:val="20"/>
                <w:color w:val="auto"/>
              </w:rPr>
            </w:pPr>
            <w:r>
              <w:rPr>
                <w:rFonts w:ascii="Arial" w:cs="Arial" w:eastAsia="Arial" w:hAnsi="Arial"/>
                <w:sz w:val="18"/>
                <w:szCs w:val="18"/>
                <w:color w:val="auto"/>
                <w:w w:val="91"/>
              </w:rPr>
              <w:t>Charged Off</w:t>
            </w:r>
          </w:p>
        </w:tc>
        <w:tc>
          <w:tcPr>
            <w:tcW w:w="80" w:type="dxa"/>
            <w:vAlign w:val="bottom"/>
          </w:tcPr>
          <w:p>
            <w:pPr>
              <w:spacing w:after="0"/>
              <w:rPr>
                <w:sz w:val="17"/>
                <w:szCs w:val="17"/>
                <w:color w:val="auto"/>
              </w:rPr>
            </w:pPr>
          </w:p>
        </w:tc>
        <w:tc>
          <w:tcPr>
            <w:tcW w:w="1340" w:type="dxa"/>
            <w:vAlign w:val="bottom"/>
            <w:gridSpan w:val="5"/>
          </w:tcPr>
          <w:p>
            <w:pPr>
              <w:jc w:val="center"/>
              <w:ind w:right="540"/>
              <w:spacing w:after="0" w:line="196" w:lineRule="exact"/>
              <w:rPr>
                <w:sz w:val="20"/>
                <w:szCs w:val="20"/>
                <w:color w:val="auto"/>
              </w:rPr>
            </w:pPr>
            <w:r>
              <w:rPr>
                <w:rFonts w:ascii="Arial" w:cs="Arial" w:eastAsia="Arial" w:hAnsi="Arial"/>
                <w:sz w:val="18"/>
                <w:szCs w:val="18"/>
                <w:color w:val="auto"/>
                <w:w w:val="88"/>
              </w:rPr>
              <w:t>% Charged</w:t>
            </w:r>
          </w:p>
        </w:tc>
        <w:tc>
          <w:tcPr>
            <w:tcW w:w="780" w:type="dxa"/>
            <w:vAlign w:val="bottom"/>
            <w:gridSpan w:val="4"/>
          </w:tcPr>
          <w:p>
            <w:pPr>
              <w:jc w:val="center"/>
              <w:ind w:right="100"/>
              <w:spacing w:after="0" w:line="196" w:lineRule="exact"/>
              <w:rPr>
                <w:sz w:val="20"/>
                <w:szCs w:val="20"/>
                <w:color w:val="auto"/>
              </w:rPr>
            </w:pPr>
            <w:r>
              <w:rPr>
                <w:rFonts w:ascii="Arial" w:cs="Arial" w:eastAsia="Arial" w:hAnsi="Arial"/>
                <w:sz w:val="18"/>
                <w:szCs w:val="18"/>
                <w:color w:val="auto"/>
                <w:w w:val="85"/>
              </w:rPr>
              <w:t>Months to</w:t>
            </w:r>
          </w:p>
        </w:tc>
      </w:tr>
      <w:tr>
        <w:trPr>
          <w:trHeight w:val="20"/>
        </w:trPr>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gridSpan w:val="5"/>
          </w:tcPr>
          <w:p>
            <w:pPr>
              <w:jc w:val="center"/>
              <w:ind w:right="520"/>
              <w:spacing w:after="0" w:line="196" w:lineRule="exact"/>
              <w:rPr>
                <w:sz w:val="20"/>
                <w:szCs w:val="20"/>
                <w:color w:val="auto"/>
              </w:rPr>
            </w:pPr>
            <w:r>
              <w:rPr>
                <w:rFonts w:ascii="Arial" w:cs="Arial" w:eastAsia="Arial" w:hAnsi="Arial"/>
                <w:sz w:val="18"/>
                <w:szCs w:val="18"/>
                <w:color w:val="auto"/>
                <w:w w:val="79"/>
              </w:rPr>
              <w:t>Paid Off at</w:t>
            </w:r>
          </w:p>
        </w:tc>
        <w:tc>
          <w:tcPr>
            <w:tcW w:w="1300" w:type="dxa"/>
            <w:vAlign w:val="bottom"/>
            <w:gridSpan w:val="5"/>
          </w:tcPr>
          <w:p>
            <w:pPr>
              <w:jc w:val="center"/>
              <w:ind w:right="520"/>
              <w:spacing w:after="0" w:line="196" w:lineRule="exact"/>
              <w:rPr>
                <w:sz w:val="20"/>
                <w:szCs w:val="20"/>
                <w:color w:val="auto"/>
              </w:rPr>
            </w:pPr>
            <w:r>
              <w:rPr>
                <w:rFonts w:ascii="Arial" w:cs="Arial" w:eastAsia="Arial" w:hAnsi="Arial"/>
                <w:sz w:val="18"/>
                <w:szCs w:val="18"/>
                <w:color w:val="auto"/>
                <w:w w:val="91"/>
              </w:rPr>
              <w:t>Paid Off at</w:t>
            </w:r>
          </w:p>
        </w:tc>
        <w:tc>
          <w:tcPr>
            <w:tcW w:w="1260" w:type="dxa"/>
            <w:vAlign w:val="bottom"/>
            <w:gridSpan w:val="5"/>
          </w:tcPr>
          <w:p>
            <w:pPr>
              <w:jc w:val="center"/>
              <w:ind w:right="440"/>
              <w:spacing w:after="0" w:line="196" w:lineRule="exact"/>
              <w:rPr>
                <w:sz w:val="20"/>
                <w:szCs w:val="20"/>
                <w:color w:val="auto"/>
              </w:rPr>
            </w:pPr>
            <w:r>
              <w:rPr>
                <w:rFonts w:ascii="Arial" w:cs="Arial" w:eastAsia="Arial" w:hAnsi="Arial"/>
                <w:sz w:val="18"/>
                <w:szCs w:val="18"/>
                <w:color w:val="auto"/>
                <w:w w:val="91"/>
              </w:rPr>
              <w:t>&gt; 6 Months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6"/>
          </w:tcPr>
          <w:p>
            <w:pPr>
              <w:jc w:val="center"/>
              <w:ind w:right="400"/>
              <w:spacing w:after="0" w:line="196" w:lineRule="exact"/>
              <w:rPr>
                <w:sz w:val="20"/>
                <w:szCs w:val="20"/>
                <w:color w:val="auto"/>
              </w:rPr>
            </w:pPr>
            <w:r>
              <w:rPr>
                <w:rFonts w:ascii="Arial" w:cs="Arial" w:eastAsia="Arial" w:hAnsi="Arial"/>
                <w:sz w:val="18"/>
                <w:szCs w:val="18"/>
                <w:color w:val="auto"/>
                <w:w w:val="95"/>
              </w:rPr>
              <w:t>Off &gt; 6</w:t>
            </w:r>
          </w:p>
        </w:tc>
        <w:tc>
          <w:tcPr>
            <w:tcW w:w="1500" w:type="dxa"/>
            <w:vAlign w:val="bottom"/>
            <w:gridSpan w:val="6"/>
          </w:tcPr>
          <w:p>
            <w:pPr>
              <w:jc w:val="center"/>
              <w:ind w:right="220"/>
              <w:spacing w:after="0" w:line="196" w:lineRule="exact"/>
              <w:rPr>
                <w:sz w:val="20"/>
                <w:szCs w:val="20"/>
                <w:color w:val="auto"/>
              </w:rPr>
            </w:pPr>
            <w:r>
              <w:rPr>
                <w:rFonts w:ascii="Arial" w:cs="Arial" w:eastAsia="Arial" w:hAnsi="Arial"/>
                <w:sz w:val="18"/>
                <w:szCs w:val="18"/>
                <w:color w:val="auto"/>
                <w:w w:val="91"/>
              </w:rPr>
              <w:t>&lt;= 6 Months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620"/>
              <w:spacing w:after="0" w:line="196" w:lineRule="exact"/>
              <w:rPr>
                <w:sz w:val="20"/>
                <w:szCs w:val="20"/>
                <w:color w:val="auto"/>
              </w:rPr>
            </w:pPr>
            <w:r>
              <w:rPr>
                <w:rFonts w:ascii="Arial" w:cs="Arial" w:eastAsia="Arial" w:hAnsi="Arial"/>
                <w:sz w:val="18"/>
                <w:szCs w:val="18"/>
                <w:color w:val="auto"/>
                <w:w w:val="95"/>
              </w:rPr>
              <w:t>Off &lt;= 6</w:t>
            </w:r>
          </w:p>
        </w:tc>
        <w:tc>
          <w:tcPr>
            <w:tcW w:w="780" w:type="dxa"/>
            <w:vAlign w:val="bottom"/>
            <w:gridSpan w:val="4"/>
          </w:tcPr>
          <w:p>
            <w:pPr>
              <w:jc w:val="center"/>
              <w:ind w:right="60"/>
              <w:spacing w:after="0" w:line="196" w:lineRule="exact"/>
              <w:rPr>
                <w:sz w:val="20"/>
                <w:szCs w:val="20"/>
                <w:color w:val="auto"/>
              </w:rPr>
            </w:pPr>
            <w:r>
              <w:rPr>
                <w:rFonts w:ascii="Arial" w:cs="Arial" w:eastAsia="Arial" w:hAnsi="Arial"/>
                <w:sz w:val="18"/>
                <w:szCs w:val="18"/>
                <w:color w:val="auto"/>
                <w:w w:val="81"/>
              </w:rPr>
              <w:t>Charge Off</w:t>
            </w:r>
          </w:p>
        </w:tc>
      </w:tr>
      <w:tr>
        <w:trPr>
          <w:trHeight w:val="20"/>
        </w:trPr>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 w:type="dxa"/>
            <w:vAlign w:val="bottom"/>
          </w:tcPr>
          <w:p>
            <w:pPr>
              <w:spacing w:after="0" w:line="196" w:lineRule="exact"/>
              <w:rPr>
                <w:sz w:val="20"/>
                <w:szCs w:val="20"/>
                <w:color w:val="auto"/>
              </w:rPr>
            </w:pPr>
            <w:r>
              <w:rPr>
                <w:rFonts w:ascii="Arial" w:cs="Arial" w:eastAsia="Arial" w:hAnsi="Arial"/>
                <w:sz w:val="18"/>
                <w:szCs w:val="18"/>
                <w:color w:val="auto"/>
                <w:w w:val="85"/>
              </w:rPr>
              <w:t>Period of</w:t>
            </w:r>
          </w:p>
        </w:tc>
        <w:tc>
          <w:tcPr>
            <w:tcW w:w="560" w:type="dxa"/>
            <w:vAlign w:val="bottom"/>
            <w:gridSpan w:val="2"/>
          </w:tcPr>
          <w:p>
            <w:pPr>
              <w:spacing w:after="0"/>
              <w:rPr>
                <w:sz w:val="17"/>
                <w:szCs w:val="17"/>
                <w:color w:val="auto"/>
              </w:rPr>
            </w:pPr>
          </w:p>
        </w:tc>
        <w:tc>
          <w:tcPr>
            <w:tcW w:w="80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Extensions</w:t>
            </w:r>
          </w:p>
        </w:tc>
        <w:tc>
          <w:tcPr>
            <w:tcW w:w="600" w:type="dxa"/>
            <w:vAlign w:val="bottom"/>
          </w:tcPr>
          <w:p>
            <w:pPr>
              <w:spacing w:after="0"/>
              <w:rPr>
                <w:sz w:val="17"/>
                <w:szCs w:val="17"/>
                <w:color w:val="auto"/>
              </w:rPr>
            </w:pPr>
          </w:p>
        </w:tc>
        <w:tc>
          <w:tcPr>
            <w:tcW w:w="1200" w:type="dxa"/>
            <w:vAlign w:val="bottom"/>
            <w:gridSpan w:val="5"/>
          </w:tcPr>
          <w:p>
            <w:pPr>
              <w:jc w:val="center"/>
              <w:ind w:right="600"/>
              <w:spacing w:after="0" w:line="196" w:lineRule="exact"/>
              <w:rPr>
                <w:sz w:val="20"/>
                <w:szCs w:val="20"/>
                <w:color w:val="auto"/>
              </w:rPr>
            </w:pPr>
            <w:r>
              <w:rPr>
                <w:rFonts w:ascii="Arial" w:cs="Arial" w:eastAsia="Arial" w:hAnsi="Arial"/>
                <w:sz w:val="18"/>
                <w:szCs w:val="18"/>
                <w:color w:val="auto"/>
                <w:w w:val="86"/>
              </w:rPr>
              <w:t>June 30,</w:t>
            </w:r>
          </w:p>
        </w:tc>
        <w:tc>
          <w:tcPr>
            <w:tcW w:w="1300" w:type="dxa"/>
            <w:vAlign w:val="bottom"/>
            <w:gridSpan w:val="5"/>
          </w:tcPr>
          <w:p>
            <w:pPr>
              <w:jc w:val="center"/>
              <w:ind w:right="540"/>
              <w:spacing w:after="0" w:line="196" w:lineRule="exact"/>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7"/>
                <w:szCs w:val="17"/>
                <w:color w:val="auto"/>
              </w:rPr>
            </w:pPr>
          </w:p>
        </w:tc>
        <w:tc>
          <w:tcPr>
            <w:tcW w:w="1160" w:type="dxa"/>
            <w:vAlign w:val="bottom"/>
            <w:gridSpan w:val="4"/>
          </w:tcPr>
          <w:p>
            <w:pPr>
              <w:jc w:val="center"/>
              <w:ind w:right="540"/>
              <w:spacing w:after="0" w:line="196" w:lineRule="exact"/>
              <w:rPr>
                <w:sz w:val="20"/>
                <w:szCs w:val="20"/>
                <w:color w:val="auto"/>
              </w:rPr>
            </w:pPr>
            <w:r>
              <w:rPr>
                <w:rFonts w:ascii="Arial" w:cs="Arial" w:eastAsia="Arial" w:hAnsi="Arial"/>
                <w:sz w:val="18"/>
                <w:szCs w:val="18"/>
                <w:color w:val="auto"/>
                <w:w w:val="99"/>
              </w:rPr>
              <w:t>After</w:t>
            </w:r>
          </w:p>
        </w:tc>
        <w:tc>
          <w:tcPr>
            <w:tcW w:w="1180" w:type="dxa"/>
            <w:vAlign w:val="bottom"/>
            <w:gridSpan w:val="8"/>
          </w:tcPr>
          <w:p>
            <w:pPr>
              <w:jc w:val="center"/>
              <w:ind w:right="200"/>
              <w:spacing w:after="0" w:line="196" w:lineRule="exact"/>
              <w:rPr>
                <w:sz w:val="20"/>
                <w:szCs w:val="20"/>
                <w:color w:val="auto"/>
              </w:rPr>
            </w:pPr>
            <w:r>
              <w:rPr>
                <w:rFonts w:ascii="Arial" w:cs="Arial" w:eastAsia="Arial" w:hAnsi="Arial"/>
                <w:sz w:val="18"/>
                <w:szCs w:val="18"/>
                <w:color w:val="auto"/>
                <w:w w:val="95"/>
              </w:rPr>
              <w:t>Months After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660"/>
              <w:spacing w:after="0" w:line="196" w:lineRule="exact"/>
              <w:rPr>
                <w:sz w:val="20"/>
                <w:szCs w:val="20"/>
                <w:color w:val="auto"/>
              </w:rPr>
            </w:pPr>
            <w:r>
              <w:rPr>
                <w:rFonts w:ascii="Arial" w:cs="Arial" w:eastAsia="Arial" w:hAnsi="Arial"/>
                <w:sz w:val="18"/>
                <w:szCs w:val="18"/>
                <w:color w:val="auto"/>
                <w:w w:val="99"/>
              </w:rPr>
              <w:t>After</w:t>
            </w:r>
          </w:p>
        </w:tc>
        <w:tc>
          <w:tcPr>
            <w:tcW w:w="1420" w:type="dxa"/>
            <w:vAlign w:val="bottom"/>
            <w:gridSpan w:val="6"/>
          </w:tcPr>
          <w:p>
            <w:pPr>
              <w:jc w:val="center"/>
              <w:ind w:right="460"/>
              <w:spacing w:after="0" w:line="196" w:lineRule="exact"/>
              <w:rPr>
                <w:sz w:val="20"/>
                <w:szCs w:val="20"/>
                <w:color w:val="auto"/>
              </w:rPr>
            </w:pPr>
            <w:r>
              <w:rPr>
                <w:rFonts w:ascii="Arial" w:cs="Arial" w:eastAsia="Arial" w:hAnsi="Arial"/>
                <w:sz w:val="18"/>
                <w:szCs w:val="18"/>
                <w:color w:val="auto"/>
                <w:w w:val="94"/>
              </w:rPr>
              <w:t>Months After</w:t>
            </w:r>
          </w:p>
        </w:tc>
        <w:tc>
          <w:tcPr>
            <w:tcW w:w="160" w:type="dxa"/>
            <w:vAlign w:val="bottom"/>
          </w:tcPr>
          <w:p>
            <w:pPr>
              <w:spacing w:after="0"/>
              <w:rPr>
                <w:sz w:val="17"/>
                <w:szCs w:val="17"/>
                <w:color w:val="auto"/>
              </w:rPr>
            </w:pPr>
          </w:p>
        </w:tc>
        <w:tc>
          <w:tcPr>
            <w:tcW w:w="620" w:type="dxa"/>
            <w:vAlign w:val="bottom"/>
            <w:gridSpan w:val="3"/>
          </w:tcPr>
          <w:p>
            <w:pPr>
              <w:jc w:val="right"/>
              <w:ind w:right="320"/>
              <w:spacing w:after="0" w:line="196" w:lineRule="exact"/>
              <w:rPr>
                <w:sz w:val="20"/>
                <w:szCs w:val="20"/>
                <w:color w:val="auto"/>
              </w:rPr>
            </w:pPr>
            <w:r>
              <w:rPr>
                <w:rFonts w:ascii="Arial" w:cs="Arial" w:eastAsia="Arial" w:hAnsi="Arial"/>
                <w:sz w:val="18"/>
                <w:szCs w:val="18"/>
                <w:color w:val="auto"/>
                <w:w w:val="77"/>
              </w:rPr>
              <w:t>Post</w:t>
            </w: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Extension</w:t>
            </w:r>
          </w:p>
        </w:tc>
        <w:tc>
          <w:tcPr>
            <w:tcW w:w="160" w:type="dxa"/>
            <w:vAlign w:val="bottom"/>
          </w:tcPr>
          <w:p>
            <w:pPr>
              <w:spacing w:after="0"/>
              <w:rPr>
                <w:sz w:val="21"/>
                <w:szCs w:val="21"/>
                <w:color w:val="auto"/>
              </w:rPr>
            </w:pPr>
          </w:p>
        </w:tc>
        <w:tc>
          <w:tcPr>
            <w:tcW w:w="1240" w:type="dxa"/>
            <w:vAlign w:val="bottom"/>
            <w:gridSpan w:val="4"/>
          </w:tcPr>
          <w:p>
            <w:pPr>
              <w:jc w:val="right"/>
              <w:ind w:right="660"/>
              <w:spacing w:after="0"/>
              <w:rPr>
                <w:sz w:val="20"/>
                <w:szCs w:val="20"/>
                <w:color w:val="auto"/>
              </w:rPr>
            </w:pPr>
            <w:r>
              <w:rPr>
                <w:rFonts w:ascii="Arial" w:cs="Arial" w:eastAsia="Arial" w:hAnsi="Arial"/>
                <w:sz w:val="18"/>
                <w:szCs w:val="18"/>
                <w:color w:val="auto"/>
                <w:w w:val="86"/>
              </w:rPr>
              <w:t>Granted</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color w:val="auto"/>
              </w:rPr>
              <w:t>Extension</w:t>
            </w:r>
          </w:p>
        </w:tc>
        <w:tc>
          <w:tcPr>
            <w:tcW w:w="80" w:type="dxa"/>
            <w:vAlign w:val="bottom"/>
          </w:tcPr>
          <w:p>
            <w:pPr>
              <w:spacing w:after="0"/>
              <w:rPr>
                <w:sz w:val="21"/>
                <w:szCs w:val="21"/>
                <w:color w:val="auto"/>
              </w:rPr>
            </w:pPr>
          </w:p>
        </w:tc>
        <w:tc>
          <w:tcPr>
            <w:tcW w:w="1100" w:type="dxa"/>
            <w:vAlign w:val="bottom"/>
            <w:gridSpan w:val="7"/>
          </w:tcPr>
          <w:p>
            <w:pPr>
              <w:jc w:val="right"/>
              <w:ind w:right="280"/>
              <w:spacing w:after="0"/>
              <w:rPr>
                <w:sz w:val="20"/>
                <w:szCs w:val="20"/>
                <w:color w:val="auto"/>
              </w:rPr>
            </w:pPr>
            <w:r>
              <w:rPr>
                <w:rFonts w:ascii="Arial" w:cs="Arial" w:eastAsia="Arial" w:hAnsi="Arial"/>
                <w:sz w:val="18"/>
                <w:szCs w:val="18"/>
                <w:color w:val="auto"/>
              </w:rPr>
              <w:t>Extension</w:t>
            </w:r>
          </w:p>
        </w:tc>
        <w:tc>
          <w:tcPr>
            <w:tcW w:w="200" w:type="dxa"/>
            <w:vAlign w:val="bottom"/>
          </w:tcPr>
          <w:p>
            <w:pPr>
              <w:spacing w:after="0"/>
              <w:rPr>
                <w:sz w:val="21"/>
                <w:szCs w:val="21"/>
                <w:color w:val="auto"/>
              </w:rPr>
            </w:pPr>
          </w:p>
        </w:tc>
        <w:tc>
          <w:tcPr>
            <w:tcW w:w="1300" w:type="dxa"/>
            <w:vAlign w:val="bottom"/>
            <w:gridSpan w:val="5"/>
          </w:tcPr>
          <w:p>
            <w:pPr>
              <w:jc w:val="right"/>
              <w:ind w:right="440"/>
              <w:spacing w:after="0"/>
              <w:rPr>
                <w:sz w:val="20"/>
                <w:szCs w:val="20"/>
                <w:color w:val="auto"/>
              </w:rPr>
            </w:pPr>
            <w:r>
              <w:rPr>
                <w:rFonts w:ascii="Arial" w:cs="Arial" w:eastAsia="Arial" w:hAnsi="Arial"/>
                <w:sz w:val="18"/>
                <w:szCs w:val="18"/>
                <w:color w:val="auto"/>
              </w:rPr>
              <w:t>Extension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8"/>
                <w:szCs w:val="18"/>
                <w:color w:val="auto"/>
                <w:w w:val="88"/>
              </w:rPr>
              <w:t>Extension</w:t>
            </w:r>
          </w:p>
        </w:tc>
        <w:tc>
          <w:tcPr>
            <w:tcW w:w="780" w:type="dxa"/>
            <w:vAlign w:val="bottom"/>
            <w:gridSpan w:val="4"/>
          </w:tcPr>
          <w:p>
            <w:pPr>
              <w:spacing w:after="0"/>
              <w:rPr>
                <w:sz w:val="20"/>
                <w:szCs w:val="20"/>
                <w:color w:val="auto"/>
              </w:rPr>
            </w:pPr>
            <w:r>
              <w:rPr>
                <w:rFonts w:ascii="Arial" w:cs="Arial" w:eastAsia="Arial" w:hAnsi="Arial"/>
                <w:sz w:val="18"/>
                <w:szCs w:val="18"/>
                <w:color w:val="auto"/>
                <w:w w:val="96"/>
              </w:rPr>
              <w:t>Extension</w:t>
            </w: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20" w:type="dxa"/>
            <w:vAlign w:val="bottom"/>
            <w:tcBorders>
              <w:bottom w:val="single" w:sz="8" w:color="EEEEEE"/>
            </w:tcBorders>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2008</w:t>
            </w:r>
          </w:p>
        </w:tc>
        <w:tc>
          <w:tcPr>
            <w:tcW w:w="80" w:type="dxa"/>
            <w:vAlign w:val="bottom"/>
            <w:tcBorders>
              <w:bottom w:val="single" w:sz="8" w:color="EEEEEE"/>
            </w:tcBorders>
            <w:shd w:val="clear" w:color="auto" w:fill="EEEEEE"/>
          </w:tcPr>
          <w:p>
            <w:pPr>
              <w:spacing w:after="0"/>
              <w:rPr>
                <w:sz w:val="21"/>
                <w:szCs w:val="21"/>
                <w:color w:val="auto"/>
              </w:rPr>
            </w:pPr>
          </w:p>
        </w:tc>
        <w:tc>
          <w:tcPr>
            <w:tcW w:w="480" w:type="dxa"/>
            <w:vAlign w:val="bottom"/>
            <w:tcBorders>
              <w:bottom w:val="single" w:sz="8" w:color="EEEEEE"/>
            </w:tcBorders>
            <w:shd w:val="clear" w:color="auto" w:fill="EEEEEE"/>
          </w:tcPr>
          <w:p>
            <w:pPr>
              <w:spacing w:after="0"/>
              <w:rPr>
                <w:sz w:val="21"/>
                <w:szCs w:val="21"/>
                <w:color w:val="auto"/>
              </w:rPr>
            </w:pPr>
          </w:p>
        </w:tc>
        <w:tc>
          <w:tcPr>
            <w:tcW w:w="1400" w:type="dxa"/>
            <w:vAlign w:val="bottom"/>
            <w:tcBorders>
              <w:bottom w:val="single" w:sz="8" w:color="EEEEEE"/>
              <w:right w:val="single" w:sz="8" w:color="EEEEEE"/>
            </w:tcBorders>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35,588</w:t>
            </w:r>
          </w:p>
        </w:tc>
        <w:tc>
          <w:tcPr>
            <w:tcW w:w="12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10,710</w:t>
            </w:r>
          </w:p>
        </w:tc>
        <w:tc>
          <w:tcPr>
            <w:tcW w:w="13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30.1%</w:t>
            </w:r>
          </w:p>
        </w:tc>
        <w:tc>
          <w:tcPr>
            <w:tcW w:w="1260" w:type="dxa"/>
            <w:vAlign w:val="bottom"/>
            <w:tcBorders>
              <w:bottom w:val="single" w:sz="8" w:color="EEEEEE"/>
            </w:tcBorders>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20,059</w:t>
            </w:r>
          </w:p>
        </w:tc>
        <w:tc>
          <w:tcPr>
            <w:tcW w:w="1180" w:type="dxa"/>
            <w:vAlign w:val="bottom"/>
            <w:tcBorders>
              <w:bottom w:val="single" w:sz="8" w:color="EEEEEE"/>
            </w:tcBorders>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56.4%</w:t>
            </w:r>
          </w:p>
        </w:tc>
        <w:tc>
          <w:tcPr>
            <w:tcW w:w="1500" w:type="dxa"/>
            <w:vAlign w:val="bottom"/>
            <w:tcBorders>
              <w:bottom w:val="single" w:sz="8" w:color="EEEEEE"/>
            </w:tcBorders>
            <w:gridSpan w:val="6"/>
            <w:shd w:val="clear" w:color="auto" w:fill="EEEEEE"/>
          </w:tcPr>
          <w:p>
            <w:pPr>
              <w:jc w:val="right"/>
              <w:ind w:right="360"/>
              <w:spacing w:after="0"/>
              <w:rPr>
                <w:sz w:val="20"/>
                <w:szCs w:val="20"/>
                <w:color w:val="auto"/>
              </w:rPr>
            </w:pPr>
            <w:r>
              <w:rPr>
                <w:rFonts w:ascii="Arial" w:cs="Arial" w:eastAsia="Arial" w:hAnsi="Arial"/>
                <w:sz w:val="18"/>
                <w:szCs w:val="18"/>
                <w:color w:val="auto"/>
              </w:rPr>
              <w:t>4,819</w:t>
            </w:r>
          </w:p>
        </w:tc>
        <w:tc>
          <w:tcPr>
            <w:tcW w:w="1420" w:type="dxa"/>
            <w:vAlign w:val="bottom"/>
            <w:tcBorders>
              <w:bottom w:val="single" w:sz="8" w:color="EEEEEE"/>
              <w:right w:val="single" w:sz="8" w:color="EEEEEE"/>
            </w:tcBorders>
            <w:gridSpan w:val="6"/>
            <w:shd w:val="clear" w:color="auto" w:fill="EEEEEE"/>
          </w:tcPr>
          <w:p>
            <w:pPr>
              <w:jc w:val="right"/>
              <w:ind w:right="440"/>
              <w:spacing w:after="0"/>
              <w:rPr>
                <w:sz w:val="20"/>
                <w:szCs w:val="20"/>
                <w:color w:val="auto"/>
              </w:rPr>
            </w:pPr>
            <w:r>
              <w:rPr>
                <w:rFonts w:ascii="Arial" w:cs="Arial" w:eastAsia="Arial" w:hAnsi="Arial"/>
                <w:sz w:val="18"/>
                <w:szCs w:val="18"/>
                <w:color w:val="auto"/>
              </w:rPr>
              <w:t>13.5%</w:t>
            </w: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EEEEEE"/>
            </w:tcBorders>
            <w:shd w:val="clear" w:color="auto" w:fill="EEEEEE"/>
          </w:tcPr>
          <w:p>
            <w:pPr>
              <w:spacing w:after="0"/>
              <w:rPr>
                <w:sz w:val="21"/>
                <w:szCs w:val="21"/>
                <w:color w:val="auto"/>
              </w:rPr>
            </w:pPr>
          </w:p>
        </w:tc>
        <w:tc>
          <w:tcPr>
            <w:tcW w:w="100" w:type="dxa"/>
            <w:vAlign w:val="bottom"/>
            <w:tcBorders>
              <w:left w:val="single" w:sz="8" w:color="EEEEEE"/>
              <w:bottom w:val="single" w:sz="8" w:color="EEEEEE"/>
            </w:tcBorders>
            <w:shd w:val="clear" w:color="auto" w:fill="EEEEEE"/>
          </w:tcPr>
          <w:p>
            <w:pPr>
              <w:spacing w:after="0"/>
              <w:rPr>
                <w:sz w:val="21"/>
                <w:szCs w:val="21"/>
                <w:color w:val="auto"/>
              </w:rPr>
            </w:pPr>
          </w:p>
        </w:tc>
      </w:tr>
      <w:tr>
        <w:trPr>
          <w:trHeight w:val="243"/>
        </w:trPr>
        <w:tc>
          <w:tcPr>
            <w:tcW w:w="8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2009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8"/>
                <w:szCs w:val="18"/>
                <w:color w:val="auto"/>
              </w:rPr>
              <w:t>32,226</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10,274</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31.9%</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16,168</w:t>
            </w: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50.2%</w:t>
            </w:r>
          </w:p>
        </w:tc>
        <w:tc>
          <w:tcPr>
            <w:tcW w:w="1500" w:type="dxa"/>
            <w:vAlign w:val="bottom"/>
            <w:gridSpan w:val="6"/>
          </w:tcPr>
          <w:p>
            <w:pPr>
              <w:jc w:val="right"/>
              <w:ind w:right="360"/>
              <w:spacing w:after="0"/>
              <w:rPr>
                <w:sz w:val="20"/>
                <w:szCs w:val="20"/>
                <w:color w:val="auto"/>
              </w:rPr>
            </w:pPr>
            <w:r>
              <w:rPr>
                <w:rFonts w:ascii="Arial" w:cs="Arial" w:eastAsia="Arial" w:hAnsi="Arial"/>
                <w:sz w:val="18"/>
                <w:szCs w:val="18"/>
                <w:color w:val="auto"/>
              </w:rPr>
              <w:t>5,783</w:t>
            </w:r>
          </w:p>
        </w:tc>
        <w:tc>
          <w:tcPr>
            <w:tcW w:w="1420" w:type="dxa"/>
            <w:vAlign w:val="bottom"/>
            <w:gridSpan w:val="6"/>
          </w:tcPr>
          <w:p>
            <w:pPr>
              <w:jc w:val="right"/>
              <w:ind w:right="440"/>
              <w:spacing w:after="0"/>
              <w:rPr>
                <w:sz w:val="20"/>
                <w:szCs w:val="20"/>
                <w:color w:val="auto"/>
              </w:rPr>
            </w:pPr>
            <w:r>
              <w:rPr>
                <w:rFonts w:ascii="Arial" w:cs="Arial" w:eastAsia="Arial" w:hAnsi="Arial"/>
                <w:sz w:val="18"/>
                <w:szCs w:val="18"/>
                <w:color w:val="auto"/>
              </w:rPr>
              <w:t>17.9%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0" w:type="dxa"/>
            <w:vAlign w:val="bottom"/>
            <w:tcBorders>
              <w:bottom w:val="single" w:sz="8" w:color="EEEEEE"/>
            </w:tcBorders>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2010</w:t>
            </w:r>
          </w:p>
        </w:tc>
        <w:tc>
          <w:tcPr>
            <w:tcW w:w="80" w:type="dxa"/>
            <w:vAlign w:val="bottom"/>
            <w:tcBorders>
              <w:bottom w:val="single" w:sz="8" w:color="EEEEEE"/>
            </w:tcBorders>
            <w:shd w:val="clear" w:color="auto" w:fill="EEEEEE"/>
          </w:tcPr>
          <w:p>
            <w:pPr>
              <w:spacing w:after="0"/>
              <w:rPr>
                <w:sz w:val="21"/>
                <w:szCs w:val="21"/>
                <w:color w:val="auto"/>
              </w:rPr>
            </w:pPr>
          </w:p>
        </w:tc>
        <w:tc>
          <w:tcPr>
            <w:tcW w:w="480" w:type="dxa"/>
            <w:vAlign w:val="bottom"/>
            <w:tcBorders>
              <w:bottom w:val="single" w:sz="8" w:color="EEEEEE"/>
            </w:tcBorders>
            <w:shd w:val="clear" w:color="auto" w:fill="EEEEEE"/>
          </w:tcPr>
          <w:p>
            <w:pPr>
              <w:spacing w:after="0"/>
              <w:rPr>
                <w:sz w:val="21"/>
                <w:szCs w:val="21"/>
                <w:color w:val="auto"/>
              </w:rPr>
            </w:pPr>
          </w:p>
        </w:tc>
        <w:tc>
          <w:tcPr>
            <w:tcW w:w="1400" w:type="dxa"/>
            <w:vAlign w:val="bottom"/>
            <w:tcBorders>
              <w:bottom w:val="single" w:sz="8" w:color="EEEEEE"/>
              <w:right w:val="single" w:sz="8" w:color="EEEEEE"/>
            </w:tcBorders>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26,167</w:t>
            </w:r>
          </w:p>
        </w:tc>
        <w:tc>
          <w:tcPr>
            <w:tcW w:w="12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12,165</w:t>
            </w:r>
          </w:p>
        </w:tc>
        <w:tc>
          <w:tcPr>
            <w:tcW w:w="13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46.5%</w:t>
            </w:r>
          </w:p>
        </w:tc>
        <w:tc>
          <w:tcPr>
            <w:tcW w:w="1260" w:type="dxa"/>
            <w:vAlign w:val="bottom"/>
            <w:tcBorders>
              <w:bottom w:val="single" w:sz="8" w:color="EEEEEE"/>
            </w:tcBorders>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12,003</w:t>
            </w:r>
          </w:p>
        </w:tc>
        <w:tc>
          <w:tcPr>
            <w:tcW w:w="1180" w:type="dxa"/>
            <w:vAlign w:val="bottom"/>
            <w:tcBorders>
              <w:bottom w:val="single" w:sz="8" w:color="EEEEEE"/>
            </w:tcBorders>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45.9%</w:t>
            </w:r>
          </w:p>
        </w:tc>
        <w:tc>
          <w:tcPr>
            <w:tcW w:w="1500" w:type="dxa"/>
            <w:vAlign w:val="bottom"/>
            <w:tcBorders>
              <w:bottom w:val="single" w:sz="8" w:color="EEEEEE"/>
            </w:tcBorders>
            <w:gridSpan w:val="6"/>
            <w:shd w:val="clear" w:color="auto" w:fill="EEEEEE"/>
          </w:tcPr>
          <w:p>
            <w:pPr>
              <w:jc w:val="right"/>
              <w:ind w:right="360"/>
              <w:spacing w:after="0"/>
              <w:rPr>
                <w:sz w:val="20"/>
                <w:szCs w:val="20"/>
                <w:color w:val="auto"/>
              </w:rPr>
            </w:pPr>
            <w:r>
              <w:rPr>
                <w:rFonts w:ascii="Arial" w:cs="Arial" w:eastAsia="Arial" w:hAnsi="Arial"/>
                <w:sz w:val="18"/>
                <w:szCs w:val="18"/>
                <w:color w:val="auto"/>
              </w:rPr>
              <w:t>1,999</w:t>
            </w:r>
          </w:p>
        </w:tc>
        <w:tc>
          <w:tcPr>
            <w:tcW w:w="1420" w:type="dxa"/>
            <w:vAlign w:val="bottom"/>
            <w:tcBorders>
              <w:bottom w:val="single" w:sz="8" w:color="EEEEEE"/>
              <w:right w:val="single" w:sz="8" w:color="EEEEEE"/>
            </w:tcBorders>
            <w:gridSpan w:val="6"/>
            <w:shd w:val="clear" w:color="auto" w:fill="EEEEEE"/>
          </w:tcPr>
          <w:p>
            <w:pPr>
              <w:jc w:val="right"/>
              <w:ind w:right="44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EEEEEE"/>
            </w:tcBorders>
            <w:shd w:val="clear" w:color="auto" w:fill="EEEEEE"/>
          </w:tcPr>
          <w:p>
            <w:pPr>
              <w:spacing w:after="0"/>
              <w:rPr>
                <w:sz w:val="21"/>
                <w:szCs w:val="21"/>
                <w:color w:val="auto"/>
              </w:rPr>
            </w:pPr>
          </w:p>
        </w:tc>
        <w:tc>
          <w:tcPr>
            <w:tcW w:w="100" w:type="dxa"/>
            <w:vAlign w:val="bottom"/>
            <w:tcBorders>
              <w:left w:val="single" w:sz="8" w:color="EEEEEE"/>
              <w:bottom w:val="single" w:sz="8" w:color="EEEEEE"/>
            </w:tcBorders>
            <w:shd w:val="clear" w:color="auto" w:fill="EEEEEE"/>
          </w:tcPr>
          <w:p>
            <w:pPr>
              <w:spacing w:after="0"/>
              <w:rPr>
                <w:sz w:val="21"/>
                <w:szCs w:val="21"/>
                <w:color w:val="auto"/>
              </w:rPr>
            </w:pPr>
          </w:p>
        </w:tc>
      </w:tr>
      <w:tr>
        <w:trPr>
          <w:trHeight w:val="243"/>
        </w:trPr>
        <w:tc>
          <w:tcPr>
            <w:tcW w:w="8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8"/>
                <w:szCs w:val="18"/>
                <w:color w:val="auto"/>
              </w:rPr>
              <w:t>18,786</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10,975</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58.4%</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6,879</w:t>
            </w: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36.6%</w:t>
            </w:r>
          </w:p>
        </w:tc>
        <w:tc>
          <w:tcPr>
            <w:tcW w:w="1500" w:type="dxa"/>
            <w:vAlign w:val="bottom"/>
            <w:gridSpan w:val="6"/>
          </w:tcPr>
          <w:p>
            <w:pPr>
              <w:jc w:val="right"/>
              <w:ind w:right="360"/>
              <w:spacing w:after="0"/>
              <w:rPr>
                <w:sz w:val="20"/>
                <w:szCs w:val="20"/>
                <w:color w:val="auto"/>
              </w:rPr>
            </w:pPr>
            <w:r>
              <w:rPr>
                <w:rFonts w:ascii="Arial" w:cs="Arial" w:eastAsia="Arial" w:hAnsi="Arial"/>
                <w:sz w:val="18"/>
                <w:szCs w:val="18"/>
                <w:color w:val="auto"/>
              </w:rPr>
              <w:t>932</w:t>
            </w:r>
          </w:p>
        </w:tc>
        <w:tc>
          <w:tcPr>
            <w:tcW w:w="1420" w:type="dxa"/>
            <w:vAlign w:val="bottom"/>
            <w:gridSpan w:val="6"/>
          </w:tcPr>
          <w:p>
            <w:pPr>
              <w:jc w:val="right"/>
              <w:ind w:right="440"/>
              <w:spacing w:after="0"/>
              <w:rPr>
                <w:sz w:val="20"/>
                <w:szCs w:val="20"/>
                <w:color w:val="auto"/>
              </w:rPr>
            </w:pPr>
            <w:r>
              <w:rPr>
                <w:rFonts w:ascii="Arial" w:cs="Arial" w:eastAsia="Arial" w:hAnsi="Arial"/>
                <w:sz w:val="18"/>
                <w:szCs w:val="18"/>
                <w:color w:val="auto"/>
              </w:rPr>
              <w:t>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0" w:type="dxa"/>
            <w:vAlign w:val="bottom"/>
            <w:tcBorders>
              <w:bottom w:val="single" w:sz="8" w:color="EEEEEE"/>
            </w:tcBorders>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EEEEEE"/>
            </w:tcBorders>
            <w:shd w:val="clear" w:color="auto" w:fill="EEEEEE"/>
          </w:tcPr>
          <w:p>
            <w:pPr>
              <w:spacing w:after="0"/>
              <w:rPr>
                <w:sz w:val="21"/>
                <w:szCs w:val="21"/>
                <w:color w:val="auto"/>
              </w:rPr>
            </w:pPr>
          </w:p>
        </w:tc>
        <w:tc>
          <w:tcPr>
            <w:tcW w:w="480" w:type="dxa"/>
            <w:vAlign w:val="bottom"/>
            <w:tcBorders>
              <w:bottom w:val="single" w:sz="8" w:color="EEEEEE"/>
            </w:tcBorders>
            <w:shd w:val="clear" w:color="auto" w:fill="EEEEEE"/>
          </w:tcPr>
          <w:p>
            <w:pPr>
              <w:spacing w:after="0"/>
              <w:rPr>
                <w:sz w:val="21"/>
                <w:szCs w:val="21"/>
                <w:color w:val="auto"/>
              </w:rPr>
            </w:pPr>
          </w:p>
        </w:tc>
        <w:tc>
          <w:tcPr>
            <w:tcW w:w="1400" w:type="dxa"/>
            <w:vAlign w:val="bottom"/>
            <w:tcBorders>
              <w:bottom w:val="single" w:sz="8" w:color="EEEEEE"/>
              <w:right w:val="single" w:sz="8" w:color="EEEEEE"/>
            </w:tcBorders>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18,783</w:t>
            </w:r>
          </w:p>
        </w:tc>
        <w:tc>
          <w:tcPr>
            <w:tcW w:w="12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11,336</w:t>
            </w:r>
          </w:p>
        </w:tc>
        <w:tc>
          <w:tcPr>
            <w:tcW w:w="13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60.4%</w:t>
            </w:r>
          </w:p>
        </w:tc>
        <w:tc>
          <w:tcPr>
            <w:tcW w:w="1260" w:type="dxa"/>
            <w:vAlign w:val="bottom"/>
            <w:tcBorders>
              <w:bottom w:val="single" w:sz="8" w:color="EEEEEE"/>
            </w:tcBorders>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6,651</w:t>
            </w:r>
          </w:p>
        </w:tc>
        <w:tc>
          <w:tcPr>
            <w:tcW w:w="1180" w:type="dxa"/>
            <w:vAlign w:val="bottom"/>
            <w:tcBorders>
              <w:bottom w:val="single" w:sz="8" w:color="EEEEEE"/>
            </w:tcBorders>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35.4%</w:t>
            </w:r>
          </w:p>
        </w:tc>
        <w:tc>
          <w:tcPr>
            <w:tcW w:w="1500" w:type="dxa"/>
            <w:vAlign w:val="bottom"/>
            <w:tcBorders>
              <w:bottom w:val="single" w:sz="8" w:color="EEEEEE"/>
            </w:tcBorders>
            <w:gridSpan w:val="6"/>
            <w:shd w:val="clear" w:color="auto" w:fill="EEEEEE"/>
          </w:tcPr>
          <w:p>
            <w:pPr>
              <w:jc w:val="right"/>
              <w:ind w:right="360"/>
              <w:spacing w:after="0"/>
              <w:rPr>
                <w:sz w:val="20"/>
                <w:szCs w:val="20"/>
                <w:color w:val="auto"/>
              </w:rPr>
            </w:pPr>
            <w:r>
              <w:rPr>
                <w:rFonts w:ascii="Arial" w:cs="Arial" w:eastAsia="Arial" w:hAnsi="Arial"/>
                <w:sz w:val="18"/>
                <w:szCs w:val="18"/>
                <w:color w:val="auto"/>
              </w:rPr>
              <w:t>796</w:t>
            </w:r>
          </w:p>
        </w:tc>
        <w:tc>
          <w:tcPr>
            <w:tcW w:w="1420" w:type="dxa"/>
            <w:vAlign w:val="bottom"/>
            <w:tcBorders>
              <w:bottom w:val="single" w:sz="8" w:color="EEEEEE"/>
              <w:right w:val="single" w:sz="8" w:color="EEEEEE"/>
            </w:tcBorders>
            <w:gridSpan w:val="6"/>
            <w:shd w:val="clear" w:color="auto" w:fill="EEEEEE"/>
          </w:tcPr>
          <w:p>
            <w:pPr>
              <w:jc w:val="right"/>
              <w:ind w:right="440"/>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EEEEEE"/>
            </w:tcBorders>
            <w:shd w:val="clear" w:color="auto" w:fill="EEEEEE"/>
          </w:tcPr>
          <w:p>
            <w:pPr>
              <w:spacing w:after="0"/>
              <w:rPr>
                <w:sz w:val="21"/>
                <w:szCs w:val="21"/>
                <w:color w:val="auto"/>
              </w:rPr>
            </w:pPr>
          </w:p>
        </w:tc>
        <w:tc>
          <w:tcPr>
            <w:tcW w:w="100" w:type="dxa"/>
            <w:vAlign w:val="bottom"/>
            <w:tcBorders>
              <w:left w:val="single" w:sz="8" w:color="EEEEEE"/>
              <w:bottom w:val="single" w:sz="8" w:color="EEEEEE"/>
            </w:tcBorders>
            <w:shd w:val="clear" w:color="auto" w:fill="EEEEEE"/>
          </w:tcPr>
          <w:p>
            <w:pPr>
              <w:spacing w:after="0"/>
              <w:rPr>
                <w:sz w:val="21"/>
                <w:szCs w:val="21"/>
                <w:color w:val="auto"/>
              </w:rPr>
            </w:pPr>
          </w:p>
        </w:tc>
      </w:tr>
      <w:tr>
        <w:trPr>
          <w:trHeight w:val="243"/>
        </w:trPr>
        <w:tc>
          <w:tcPr>
            <w:tcW w:w="8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8"/>
                <w:szCs w:val="18"/>
                <w:color w:val="auto"/>
              </w:rPr>
              <w:t>23,398</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11,375</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48.6%</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11,047</w:t>
            </w: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47.2%</w:t>
            </w:r>
          </w:p>
        </w:tc>
        <w:tc>
          <w:tcPr>
            <w:tcW w:w="1500" w:type="dxa"/>
            <w:vAlign w:val="bottom"/>
            <w:gridSpan w:val="6"/>
          </w:tcPr>
          <w:p>
            <w:pPr>
              <w:jc w:val="right"/>
              <w:ind w:right="360"/>
              <w:spacing w:after="0"/>
              <w:rPr>
                <w:sz w:val="20"/>
                <w:szCs w:val="20"/>
                <w:color w:val="auto"/>
              </w:rPr>
            </w:pPr>
            <w:r>
              <w:rPr>
                <w:rFonts w:ascii="Arial" w:cs="Arial" w:eastAsia="Arial" w:hAnsi="Arial"/>
                <w:sz w:val="18"/>
                <w:szCs w:val="18"/>
                <w:color w:val="auto"/>
              </w:rPr>
              <w:t>976</w:t>
            </w:r>
          </w:p>
        </w:tc>
        <w:tc>
          <w:tcPr>
            <w:tcW w:w="1420" w:type="dxa"/>
            <w:vAlign w:val="bottom"/>
            <w:gridSpan w:val="6"/>
          </w:tcPr>
          <w:p>
            <w:pPr>
              <w:jc w:val="right"/>
              <w:ind w:right="440"/>
              <w:spacing w:after="0"/>
              <w:rPr>
                <w:sz w:val="20"/>
                <w:szCs w:val="20"/>
                <w:color w:val="auto"/>
              </w:rPr>
            </w:pPr>
            <w:r>
              <w:rPr>
                <w:rFonts w:ascii="Arial" w:cs="Arial" w:eastAsia="Arial" w:hAnsi="Arial"/>
                <w:sz w:val="18"/>
                <w:szCs w:val="18"/>
                <w:color w:val="auto"/>
              </w:rPr>
              <w:t>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0" w:type="dxa"/>
            <w:vAlign w:val="bottom"/>
            <w:tcBorders>
              <w:bottom w:val="single" w:sz="8" w:color="EEEEEE"/>
            </w:tcBorders>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2014</w:t>
            </w:r>
          </w:p>
        </w:tc>
        <w:tc>
          <w:tcPr>
            <w:tcW w:w="80" w:type="dxa"/>
            <w:vAlign w:val="bottom"/>
            <w:tcBorders>
              <w:bottom w:val="single" w:sz="8" w:color="EEEEEE"/>
            </w:tcBorders>
            <w:shd w:val="clear" w:color="auto" w:fill="EEEEEE"/>
          </w:tcPr>
          <w:p>
            <w:pPr>
              <w:spacing w:after="0"/>
              <w:rPr>
                <w:sz w:val="21"/>
                <w:szCs w:val="21"/>
                <w:color w:val="auto"/>
              </w:rPr>
            </w:pPr>
          </w:p>
        </w:tc>
        <w:tc>
          <w:tcPr>
            <w:tcW w:w="480" w:type="dxa"/>
            <w:vAlign w:val="bottom"/>
            <w:tcBorders>
              <w:bottom w:val="single" w:sz="8" w:color="EEEEEE"/>
            </w:tcBorders>
            <w:shd w:val="clear" w:color="auto" w:fill="EEEEEE"/>
          </w:tcPr>
          <w:p>
            <w:pPr>
              <w:spacing w:after="0"/>
              <w:rPr>
                <w:sz w:val="21"/>
                <w:szCs w:val="21"/>
                <w:color w:val="auto"/>
              </w:rPr>
            </w:pPr>
          </w:p>
        </w:tc>
        <w:tc>
          <w:tcPr>
            <w:tcW w:w="1400" w:type="dxa"/>
            <w:vAlign w:val="bottom"/>
            <w:tcBorders>
              <w:bottom w:val="single" w:sz="8" w:color="EEEEEE"/>
              <w:right w:val="single" w:sz="8" w:color="EEEEEE"/>
            </w:tcBorders>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25,773</w:t>
            </w:r>
          </w:p>
        </w:tc>
        <w:tc>
          <w:tcPr>
            <w:tcW w:w="12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11,291</w:t>
            </w:r>
          </w:p>
        </w:tc>
        <w:tc>
          <w:tcPr>
            <w:tcW w:w="13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43.8%</w:t>
            </w:r>
          </w:p>
        </w:tc>
        <w:tc>
          <w:tcPr>
            <w:tcW w:w="1260" w:type="dxa"/>
            <w:vAlign w:val="bottom"/>
            <w:tcBorders>
              <w:bottom w:val="single" w:sz="8" w:color="EEEEEE"/>
            </w:tcBorders>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13,656</w:t>
            </w:r>
          </w:p>
        </w:tc>
        <w:tc>
          <w:tcPr>
            <w:tcW w:w="1180" w:type="dxa"/>
            <w:vAlign w:val="bottom"/>
            <w:tcBorders>
              <w:bottom w:val="single" w:sz="8" w:color="EEEEEE"/>
            </w:tcBorders>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53.0%</w:t>
            </w:r>
          </w:p>
        </w:tc>
        <w:tc>
          <w:tcPr>
            <w:tcW w:w="1500" w:type="dxa"/>
            <w:vAlign w:val="bottom"/>
            <w:tcBorders>
              <w:bottom w:val="single" w:sz="8" w:color="EEEEEE"/>
            </w:tcBorders>
            <w:gridSpan w:val="6"/>
            <w:shd w:val="clear" w:color="auto" w:fill="EEEEEE"/>
          </w:tcPr>
          <w:p>
            <w:pPr>
              <w:jc w:val="right"/>
              <w:ind w:right="360"/>
              <w:spacing w:after="0"/>
              <w:rPr>
                <w:sz w:val="20"/>
                <w:szCs w:val="20"/>
                <w:color w:val="auto"/>
              </w:rPr>
            </w:pPr>
            <w:r>
              <w:rPr>
                <w:rFonts w:ascii="Arial" w:cs="Arial" w:eastAsia="Arial" w:hAnsi="Arial"/>
                <w:sz w:val="18"/>
                <w:szCs w:val="18"/>
                <w:color w:val="auto"/>
              </w:rPr>
              <w:t>826</w:t>
            </w:r>
          </w:p>
        </w:tc>
        <w:tc>
          <w:tcPr>
            <w:tcW w:w="1420" w:type="dxa"/>
            <w:vAlign w:val="bottom"/>
            <w:tcBorders>
              <w:bottom w:val="single" w:sz="8" w:color="EEEEEE"/>
              <w:right w:val="single" w:sz="8" w:color="EEEEEE"/>
            </w:tcBorders>
            <w:gridSpan w:val="6"/>
            <w:shd w:val="clear" w:color="auto" w:fill="EEEEEE"/>
          </w:tcPr>
          <w:p>
            <w:pPr>
              <w:jc w:val="right"/>
              <w:ind w:right="440"/>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EEEEEE"/>
            </w:tcBorders>
            <w:shd w:val="clear" w:color="auto" w:fill="EEEEEE"/>
          </w:tcPr>
          <w:p>
            <w:pPr>
              <w:spacing w:after="0"/>
              <w:rPr>
                <w:sz w:val="21"/>
                <w:szCs w:val="21"/>
                <w:color w:val="auto"/>
              </w:rPr>
            </w:pPr>
          </w:p>
        </w:tc>
        <w:tc>
          <w:tcPr>
            <w:tcW w:w="100" w:type="dxa"/>
            <w:vAlign w:val="bottom"/>
            <w:tcBorders>
              <w:left w:val="single" w:sz="8" w:color="EEEEEE"/>
              <w:bottom w:val="single" w:sz="8" w:color="EEEEEE"/>
            </w:tcBorders>
            <w:shd w:val="clear" w:color="auto" w:fill="EEEEEE"/>
          </w:tcPr>
          <w:p>
            <w:pPr>
              <w:spacing w:after="0"/>
              <w:rPr>
                <w:sz w:val="21"/>
                <w:szCs w:val="21"/>
                <w:color w:val="auto"/>
              </w:rPr>
            </w:pPr>
          </w:p>
        </w:tc>
      </w:tr>
      <w:tr>
        <w:trPr>
          <w:trHeight w:val="243"/>
        </w:trPr>
        <w:tc>
          <w:tcPr>
            <w:tcW w:w="8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8"/>
                <w:szCs w:val="18"/>
                <w:color w:val="auto"/>
              </w:rPr>
              <w:t>53,319</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26,177</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49.1%</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26,060</w:t>
            </w: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48.9%</w:t>
            </w:r>
          </w:p>
        </w:tc>
        <w:tc>
          <w:tcPr>
            <w:tcW w:w="1500" w:type="dxa"/>
            <w:vAlign w:val="bottom"/>
            <w:gridSpan w:val="6"/>
          </w:tcPr>
          <w:p>
            <w:pPr>
              <w:jc w:val="right"/>
              <w:ind w:right="360"/>
              <w:spacing w:after="0"/>
              <w:rPr>
                <w:sz w:val="20"/>
                <w:szCs w:val="20"/>
                <w:color w:val="auto"/>
              </w:rPr>
            </w:pPr>
            <w:r>
              <w:rPr>
                <w:rFonts w:ascii="Arial" w:cs="Arial" w:eastAsia="Arial" w:hAnsi="Arial"/>
                <w:sz w:val="18"/>
                <w:szCs w:val="18"/>
                <w:color w:val="auto"/>
              </w:rPr>
              <w:t>1,082</w:t>
            </w:r>
          </w:p>
        </w:tc>
        <w:tc>
          <w:tcPr>
            <w:tcW w:w="1420" w:type="dxa"/>
            <w:vAlign w:val="bottom"/>
            <w:gridSpan w:val="6"/>
          </w:tcPr>
          <w:p>
            <w:pPr>
              <w:jc w:val="right"/>
              <w:ind w:right="440"/>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0" w:type="dxa"/>
            <w:vAlign w:val="bottom"/>
            <w:tcBorders>
              <w:bottom w:val="single" w:sz="8" w:color="EEEEEE"/>
            </w:tcBorders>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2016</w:t>
            </w:r>
          </w:p>
        </w:tc>
        <w:tc>
          <w:tcPr>
            <w:tcW w:w="80" w:type="dxa"/>
            <w:vAlign w:val="bottom"/>
            <w:tcBorders>
              <w:bottom w:val="single" w:sz="8" w:color="EEEEEE"/>
            </w:tcBorders>
            <w:shd w:val="clear" w:color="auto" w:fill="EEEEEE"/>
          </w:tcPr>
          <w:p>
            <w:pPr>
              <w:spacing w:after="0"/>
              <w:rPr>
                <w:sz w:val="21"/>
                <w:szCs w:val="21"/>
                <w:color w:val="auto"/>
              </w:rPr>
            </w:pPr>
          </w:p>
        </w:tc>
        <w:tc>
          <w:tcPr>
            <w:tcW w:w="480" w:type="dxa"/>
            <w:vAlign w:val="bottom"/>
            <w:tcBorders>
              <w:bottom w:val="single" w:sz="8" w:color="EEEEEE"/>
            </w:tcBorders>
            <w:shd w:val="clear" w:color="auto" w:fill="EEEEEE"/>
          </w:tcPr>
          <w:p>
            <w:pPr>
              <w:spacing w:after="0"/>
              <w:rPr>
                <w:sz w:val="21"/>
                <w:szCs w:val="21"/>
                <w:color w:val="auto"/>
              </w:rPr>
            </w:pPr>
          </w:p>
        </w:tc>
        <w:tc>
          <w:tcPr>
            <w:tcW w:w="1400" w:type="dxa"/>
            <w:vAlign w:val="bottom"/>
            <w:tcBorders>
              <w:bottom w:val="single" w:sz="8" w:color="EEEEEE"/>
              <w:right w:val="single" w:sz="8" w:color="EEEEEE"/>
            </w:tcBorders>
            <w:gridSpan w:val="5"/>
            <w:shd w:val="clear" w:color="auto" w:fill="EEEEEE"/>
          </w:tcPr>
          <w:p>
            <w:pPr>
              <w:jc w:val="right"/>
              <w:ind w:right="500"/>
              <w:spacing w:after="0"/>
              <w:rPr>
                <w:sz w:val="20"/>
                <w:szCs w:val="20"/>
                <w:color w:val="auto"/>
              </w:rPr>
            </w:pPr>
            <w:r>
              <w:rPr>
                <w:rFonts w:ascii="Arial" w:cs="Arial" w:eastAsia="Arial" w:hAnsi="Arial"/>
                <w:sz w:val="18"/>
                <w:szCs w:val="18"/>
                <w:color w:val="auto"/>
              </w:rPr>
              <w:t>80,897</w:t>
            </w:r>
          </w:p>
        </w:tc>
        <w:tc>
          <w:tcPr>
            <w:tcW w:w="12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47,726</w:t>
            </w:r>
          </w:p>
        </w:tc>
        <w:tc>
          <w:tcPr>
            <w:tcW w:w="1300" w:type="dxa"/>
            <w:vAlign w:val="bottom"/>
            <w:tcBorders>
              <w:bottom w:val="single" w:sz="8" w:color="EEEEEE"/>
              <w:right w:val="single" w:sz="8" w:color="EEEEEE"/>
            </w:tcBorders>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59.0%</w:t>
            </w:r>
          </w:p>
        </w:tc>
        <w:tc>
          <w:tcPr>
            <w:tcW w:w="1260" w:type="dxa"/>
            <w:vAlign w:val="bottom"/>
            <w:tcBorders>
              <w:bottom w:val="single" w:sz="8" w:color="EEEEEE"/>
            </w:tcBorders>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31,238</w:t>
            </w:r>
          </w:p>
        </w:tc>
        <w:tc>
          <w:tcPr>
            <w:tcW w:w="1180" w:type="dxa"/>
            <w:vAlign w:val="bottom"/>
            <w:tcBorders>
              <w:bottom w:val="single" w:sz="8" w:color="EEEEEE"/>
            </w:tcBorders>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38.6%</w:t>
            </w:r>
          </w:p>
        </w:tc>
        <w:tc>
          <w:tcPr>
            <w:tcW w:w="1500" w:type="dxa"/>
            <w:vAlign w:val="bottom"/>
            <w:tcBorders>
              <w:bottom w:val="single" w:sz="8" w:color="EEEEEE"/>
            </w:tcBorders>
            <w:gridSpan w:val="6"/>
            <w:shd w:val="clear" w:color="auto" w:fill="EEEEEE"/>
          </w:tcPr>
          <w:p>
            <w:pPr>
              <w:jc w:val="right"/>
              <w:ind w:right="360"/>
              <w:spacing w:after="0"/>
              <w:rPr>
                <w:sz w:val="20"/>
                <w:szCs w:val="20"/>
                <w:color w:val="auto"/>
              </w:rPr>
            </w:pPr>
            <w:r>
              <w:rPr>
                <w:rFonts w:ascii="Arial" w:cs="Arial" w:eastAsia="Arial" w:hAnsi="Arial"/>
                <w:sz w:val="18"/>
                <w:szCs w:val="18"/>
                <w:color w:val="auto"/>
              </w:rPr>
              <w:t>1,933</w:t>
            </w:r>
          </w:p>
        </w:tc>
        <w:tc>
          <w:tcPr>
            <w:tcW w:w="1420" w:type="dxa"/>
            <w:vAlign w:val="bottom"/>
            <w:tcBorders>
              <w:bottom w:val="single" w:sz="8" w:color="EEEEEE"/>
              <w:right w:val="single" w:sz="8" w:color="EEEEEE"/>
            </w:tcBorders>
            <w:gridSpan w:val="6"/>
            <w:shd w:val="clear" w:color="auto" w:fill="EEEEEE"/>
          </w:tcPr>
          <w:p>
            <w:pPr>
              <w:jc w:val="right"/>
              <w:ind w:right="44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EEEEEE"/>
            </w:tcBorders>
            <w:shd w:val="clear" w:color="auto" w:fill="EEEEEE"/>
          </w:tcPr>
          <w:p>
            <w:pPr>
              <w:spacing w:after="0"/>
              <w:rPr>
                <w:sz w:val="21"/>
                <w:szCs w:val="21"/>
                <w:color w:val="auto"/>
              </w:rPr>
            </w:pPr>
          </w:p>
        </w:tc>
        <w:tc>
          <w:tcPr>
            <w:tcW w:w="100" w:type="dxa"/>
            <w:vAlign w:val="bottom"/>
            <w:tcBorders>
              <w:left w:val="single" w:sz="8" w:color="EEEEEE"/>
              <w:bottom w:val="single" w:sz="8" w:color="EEEEEE"/>
            </w:tcBorders>
            <w:shd w:val="clear" w:color="auto" w:fill="EEEEEE"/>
          </w:tcPr>
          <w:p>
            <w:pPr>
              <w:spacing w:after="0"/>
              <w:rPr>
                <w:sz w:val="21"/>
                <w:szCs w:val="21"/>
                <w:color w:val="auto"/>
              </w:rPr>
            </w:pPr>
          </w:p>
        </w:tc>
      </w:tr>
      <w:tr>
        <w:trPr>
          <w:trHeight w:val="243"/>
        </w:trPr>
        <w:tc>
          <w:tcPr>
            <w:tcW w:w="8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8"/>
                <w:szCs w:val="18"/>
                <w:color w:val="auto"/>
              </w:rPr>
              <w:t>133,881</w:t>
            </w:r>
          </w:p>
        </w:tc>
        <w:tc>
          <w:tcPr>
            <w:tcW w:w="1200" w:type="dxa"/>
            <w:vAlign w:val="bottom"/>
            <w:gridSpan w:val="5"/>
          </w:tcPr>
          <w:p>
            <w:pPr>
              <w:jc w:val="right"/>
              <w:ind w:right="420"/>
              <w:spacing w:after="0"/>
              <w:rPr>
                <w:sz w:val="20"/>
                <w:szCs w:val="20"/>
                <w:color w:val="auto"/>
              </w:rPr>
            </w:pPr>
            <w:r>
              <w:rPr>
                <w:rFonts w:ascii="Arial" w:cs="Arial" w:eastAsia="Arial" w:hAnsi="Arial"/>
                <w:sz w:val="18"/>
                <w:szCs w:val="18"/>
                <w:color w:val="auto"/>
              </w:rPr>
              <w:t>88,919</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66.4%</w:t>
            </w:r>
          </w:p>
        </w:tc>
        <w:tc>
          <w:tcPr>
            <w:tcW w:w="1260" w:type="dxa"/>
            <w:vAlign w:val="bottom"/>
            <w:gridSpan w:val="5"/>
          </w:tcPr>
          <w:p>
            <w:pPr>
              <w:jc w:val="right"/>
              <w:ind w:right="340"/>
              <w:spacing w:after="0"/>
              <w:rPr>
                <w:sz w:val="20"/>
                <w:szCs w:val="20"/>
                <w:color w:val="auto"/>
              </w:rPr>
            </w:pPr>
            <w:r>
              <w:rPr>
                <w:rFonts w:ascii="Arial" w:cs="Arial" w:eastAsia="Arial" w:hAnsi="Arial"/>
                <w:sz w:val="18"/>
                <w:szCs w:val="18"/>
                <w:color w:val="auto"/>
              </w:rPr>
              <w:t>38,002</w:t>
            </w: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28.4%</w:t>
            </w:r>
          </w:p>
        </w:tc>
        <w:tc>
          <w:tcPr>
            <w:tcW w:w="1500" w:type="dxa"/>
            <w:vAlign w:val="bottom"/>
            <w:gridSpan w:val="6"/>
          </w:tcPr>
          <w:p>
            <w:pPr>
              <w:jc w:val="right"/>
              <w:ind w:right="360"/>
              <w:spacing w:after="0"/>
              <w:rPr>
                <w:sz w:val="20"/>
                <w:szCs w:val="20"/>
                <w:color w:val="auto"/>
              </w:rPr>
            </w:pPr>
            <w:r>
              <w:rPr>
                <w:rFonts w:ascii="Arial" w:cs="Arial" w:eastAsia="Arial" w:hAnsi="Arial"/>
                <w:sz w:val="18"/>
                <w:szCs w:val="18"/>
                <w:color w:val="auto"/>
              </w:rPr>
              <w:t>6,926</w:t>
            </w:r>
          </w:p>
        </w:tc>
        <w:tc>
          <w:tcPr>
            <w:tcW w:w="1420" w:type="dxa"/>
            <w:vAlign w:val="bottom"/>
            <w:gridSpan w:val="6"/>
          </w:tcPr>
          <w:p>
            <w:pPr>
              <w:jc w:val="right"/>
              <w:ind w:right="440"/>
              <w:spacing w:after="0"/>
              <w:rPr>
                <w:sz w:val="20"/>
                <w:szCs w:val="20"/>
                <w:color w:val="auto"/>
              </w:rPr>
            </w:pPr>
            <w:r>
              <w:rPr>
                <w:rFonts w:ascii="Arial" w:cs="Arial" w:eastAsia="Arial" w:hAnsi="Arial"/>
                <w:sz w:val="18"/>
                <w:szCs w:val="18"/>
                <w:color w:val="auto"/>
              </w:rPr>
              <w:t>5.2%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60.4% were either paid in full or active and performing at June 30, 2019.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6780" w:type="dxa"/>
            <w:vAlign w:val="bottom"/>
            <w:gridSpan w:val="4"/>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4040" w:type="dxa"/>
            <w:vAlign w:val="bottom"/>
          </w:tcPr>
          <w:p>
            <w:pPr>
              <w:spacing w:after="0"/>
              <w:rPr>
                <w:sz w:val="24"/>
                <w:szCs w:val="24"/>
                <w:color w:val="auto"/>
              </w:rPr>
            </w:pPr>
          </w:p>
        </w:tc>
        <w:tc>
          <w:tcPr>
            <w:tcW w:w="2740" w:type="dxa"/>
            <w:vAlign w:val="bottom"/>
            <w:gridSpan w:val="3"/>
          </w:tcPr>
          <w:p>
            <w:pPr>
              <w:jc w:val="center"/>
              <w:ind w:left="1130"/>
              <w:spacing w:after="0"/>
              <w:rPr>
                <w:sz w:val="20"/>
                <w:szCs w:val="20"/>
                <w:color w:val="auto"/>
              </w:rPr>
            </w:pPr>
            <w:r>
              <w:rPr>
                <w:rFonts w:ascii="Arial" w:cs="Arial" w:eastAsia="Arial" w:hAnsi="Arial"/>
                <w:sz w:val="18"/>
                <w:szCs w:val="18"/>
                <w:color w:val="auto"/>
                <w:w w:val="94"/>
              </w:rPr>
              <w:t>Six Months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Year Ended</w:t>
            </w:r>
          </w:p>
        </w:tc>
      </w:tr>
      <w:tr>
        <w:trPr>
          <w:trHeight w:val="230"/>
        </w:trPr>
        <w:tc>
          <w:tcPr>
            <w:tcW w:w="4040" w:type="dxa"/>
            <w:vAlign w:val="bottom"/>
          </w:tcPr>
          <w:p>
            <w:pPr>
              <w:spacing w:after="0"/>
              <w:rPr>
                <w:sz w:val="20"/>
                <w:szCs w:val="20"/>
                <w:color w:val="auto"/>
              </w:rPr>
            </w:pPr>
          </w:p>
        </w:tc>
        <w:tc>
          <w:tcPr>
            <w:tcW w:w="2740" w:type="dxa"/>
            <w:vAlign w:val="bottom"/>
            <w:tcBorders>
              <w:bottom w:val="single" w:sz="8" w:color="auto"/>
            </w:tcBorders>
            <w:gridSpan w:val="3"/>
          </w:tcPr>
          <w:p>
            <w:pPr>
              <w:jc w:val="center"/>
              <w:ind w:left="1190"/>
              <w:spacing w:after="0"/>
              <w:rPr>
                <w:sz w:val="20"/>
                <w:szCs w:val="20"/>
                <w:color w:val="auto"/>
              </w:rPr>
            </w:pPr>
            <w:r>
              <w:rPr>
                <w:rFonts w:ascii="Arial" w:cs="Arial" w:eastAsia="Arial" w:hAnsi="Arial"/>
                <w:sz w:val="18"/>
                <w:szCs w:val="18"/>
                <w:color w:val="auto"/>
                <w:w w:val="87"/>
              </w:rPr>
              <w:t>Ended June 30,</w:t>
            </w:r>
          </w:p>
        </w:tc>
        <w:tc>
          <w:tcPr>
            <w:tcW w:w="12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31,</w:t>
            </w:r>
          </w:p>
        </w:tc>
      </w:tr>
      <w:tr>
        <w:trPr>
          <w:trHeight w:val="223"/>
        </w:trPr>
        <w:tc>
          <w:tcPr>
            <w:tcW w:w="4040" w:type="dxa"/>
            <w:vAlign w:val="bottom"/>
          </w:tcPr>
          <w:p>
            <w:pPr>
              <w:spacing w:after="0"/>
              <w:rPr>
                <w:sz w:val="19"/>
                <w:szCs w:val="19"/>
                <w:color w:val="auto"/>
              </w:rPr>
            </w:pPr>
          </w:p>
        </w:tc>
        <w:tc>
          <w:tcPr>
            <w:tcW w:w="1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 w:lineRule="exact"/>
        <w:rPr>
          <w:sz w:val="20"/>
          <w:szCs w:val="20"/>
          <w:color w:val="auto"/>
        </w:rPr>
      </w:pPr>
    </w:p>
    <w:p>
      <w:pPr>
        <w:ind w:left="120" w:right="1340"/>
        <w:spacing w:after="0" w:line="563" w:lineRule="auto"/>
        <w:rPr>
          <w:sz w:val="20"/>
          <w:szCs w:val="20"/>
          <w:color w:val="auto"/>
        </w:rPr>
      </w:pPr>
      <w:r>
        <w:rPr>
          <w:rFonts w:ascii="Arial" w:cs="Arial" w:eastAsia="Arial" w:hAnsi="Arial"/>
          <w:sz w:val="16"/>
          <w:szCs w:val="16"/>
          <w:color w:val="auto"/>
        </w:rPr>
        <w:t>Average number of extensions granted per month Average number of outstanding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65176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651764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200" w:right="1660" w:hanging="89"/>
        <w:spacing w:after="0" w:line="258" w:lineRule="auto"/>
        <w:rPr>
          <w:sz w:val="20"/>
          <w:szCs w:val="20"/>
          <w:color w:val="auto"/>
        </w:rPr>
      </w:pPr>
      <w:r>
        <w:rPr>
          <w:rFonts w:ascii="Arial" w:cs="Arial" w:eastAsia="Arial" w:hAnsi="Arial"/>
          <w:sz w:val="18"/>
          <w:szCs w:val="18"/>
          <w:color w:val="auto"/>
        </w:rPr>
        <w:t>Average monthly extensions as % of average outstandings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Table excludes portfolios originated and owned by third parties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6"/>
          <w:szCs w:val="16"/>
          <w:color w:val="auto"/>
        </w:rPr>
        <w:t>4,994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176,885</w:t>
      </w:r>
    </w:p>
    <w:p>
      <w:pPr>
        <w:spacing w:after="0" w:line="356"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ind w:left="80"/>
        <w:spacing w:after="0"/>
        <w:tabs>
          <w:tab w:leader="none" w:pos="2200" w:val="left"/>
        </w:tabs>
        <w:rPr>
          <w:sz w:val="20"/>
          <w:szCs w:val="20"/>
          <w:color w:val="auto"/>
        </w:rPr>
      </w:pPr>
      <w:r>
        <w:rPr>
          <w:rFonts w:ascii="Arial" w:cs="Arial" w:eastAsia="Arial" w:hAnsi="Arial"/>
          <w:sz w:val="16"/>
          <w:szCs w:val="16"/>
          <w:color w:val="auto"/>
        </w:rPr>
        <w:t>10,298</w:t>
      </w:r>
      <w:r>
        <w:rPr>
          <w:sz w:val="20"/>
          <w:szCs w:val="20"/>
          <w:color w:val="auto"/>
        </w:rPr>
        <w:tab/>
      </w:r>
      <w:r>
        <w:rPr>
          <w:rFonts w:ascii="Arial" w:cs="Arial" w:eastAsia="Arial" w:hAnsi="Arial"/>
          <w:sz w:val="16"/>
          <w:szCs w:val="16"/>
          <w:color w:val="auto"/>
        </w:rPr>
        <w:t>10,128</w:t>
      </w:r>
    </w:p>
    <w:p>
      <w:pPr>
        <w:spacing w:after="0" w:line="248" w:lineRule="exact"/>
        <w:rPr>
          <w:sz w:val="20"/>
          <w:szCs w:val="20"/>
          <w:color w:val="auto"/>
        </w:rPr>
      </w:pPr>
    </w:p>
    <w:p>
      <w:pPr>
        <w:spacing w:after="0"/>
        <w:tabs>
          <w:tab w:leader="none" w:pos="2120" w:val="left"/>
        </w:tabs>
        <w:rPr>
          <w:sz w:val="20"/>
          <w:szCs w:val="20"/>
          <w:color w:val="auto"/>
        </w:rPr>
      </w:pPr>
      <w:r>
        <w:rPr>
          <w:rFonts w:ascii="Arial" w:cs="Arial" w:eastAsia="Arial" w:hAnsi="Arial"/>
          <w:sz w:val="16"/>
          <w:szCs w:val="16"/>
          <w:color w:val="auto"/>
        </w:rPr>
        <w:t>174,415</w:t>
      </w:r>
      <w:r>
        <w:rPr>
          <w:sz w:val="20"/>
          <w:szCs w:val="20"/>
          <w:color w:val="auto"/>
        </w:rPr>
        <w:tab/>
      </w:r>
      <w:r>
        <w:rPr>
          <w:rFonts w:ascii="Arial" w:cs="Arial" w:eastAsia="Arial" w:hAnsi="Arial"/>
          <w:sz w:val="16"/>
          <w:szCs w:val="16"/>
          <w:color w:val="auto"/>
        </w:rPr>
        <w:t>174,738</w:t>
      </w:r>
    </w:p>
    <w:p>
      <w:pPr>
        <w:spacing w:after="0" w:line="356"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5.8%</w:t>
      </w:r>
    </w:p>
    <w:p>
      <w:pPr>
        <w:spacing w:after="0" w:line="731" w:lineRule="exact"/>
        <w:rPr>
          <w:sz w:val="20"/>
          <w:szCs w:val="20"/>
          <w:color w:val="auto"/>
        </w:rPr>
      </w:pPr>
    </w:p>
    <w:p>
      <w:pPr>
        <w:sectPr>
          <w:pgSz w:w="11900" w:h="16838" w:orient="portrait"/>
          <w:cols w:equalWidth="0" w:num="3">
            <w:col w:w="5020" w:space="300"/>
            <w:col w:w="1420" w:space="720"/>
            <w:col w:w="3960"/>
          </w:cols>
          <w:pgMar w:left="240" w:top="800" w:right="2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9"/>
          </w:tcPr>
          <w:p>
            <w:pPr>
              <w:jc w:val="right"/>
              <w:ind w:right="1060"/>
              <w:spacing w:after="0"/>
              <w:rPr>
                <w:sz w:val="20"/>
                <w:szCs w:val="20"/>
                <w:color w:val="auto"/>
              </w:rPr>
            </w:pPr>
            <w:r>
              <w:rPr>
                <w:rFonts w:ascii="Arial" w:cs="Arial" w:eastAsia="Arial" w:hAnsi="Arial"/>
                <w:sz w:val="18"/>
                <w:szCs w:val="18"/>
                <w:color w:val="auto"/>
              </w:rPr>
              <w:t>June 30, 2019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gridSpan w:val="10"/>
          </w:tcPr>
          <w:p>
            <w:pPr>
              <w:jc w:val="center"/>
              <w:ind w:right="500"/>
              <w:spacing w:after="0"/>
              <w:rPr>
                <w:sz w:val="20"/>
                <w:szCs w:val="20"/>
                <w:color w:val="auto"/>
              </w:rPr>
            </w:pPr>
            <w:r>
              <w:rPr>
                <w:rFonts w:ascii="Arial" w:cs="Arial" w:eastAsia="Arial" w:hAnsi="Arial"/>
                <w:sz w:val="18"/>
                <w:szCs w:val="18"/>
                <w:color w:val="auto"/>
                <w:w w:val="89"/>
              </w:rPr>
              <w:t>June 30, 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10"/>
          </w:tcPr>
          <w:p>
            <w:pPr>
              <w:ind w:left="30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center"/>
              <w:spacing w:after="0" w:line="170" w:lineRule="exact"/>
              <w:rPr>
                <w:sz w:val="20"/>
                <w:szCs w:val="20"/>
                <w:color w:val="auto"/>
              </w:rPr>
            </w:pPr>
            <w:r>
              <w:rPr>
                <w:rFonts w:ascii="Arial" w:cs="Arial" w:eastAsia="Arial" w:hAnsi="Arial"/>
                <w:sz w:val="18"/>
                <w:szCs w:val="18"/>
                <w:color w:val="auto"/>
                <w:w w:val="95"/>
              </w:rPr>
              <w:t>Number of</w:t>
            </w:r>
          </w:p>
        </w:tc>
        <w:tc>
          <w:tcPr>
            <w:tcW w:w="300" w:type="dxa"/>
            <w:vAlign w:val="bottom"/>
            <w:tcBorders>
              <w:top w:val="single" w:sz="8" w:color="auto"/>
            </w:tcBorders>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center"/>
              <w:spacing w:after="0" w:line="170" w:lineRule="exact"/>
              <w:rPr>
                <w:sz w:val="20"/>
                <w:szCs w:val="20"/>
                <w:color w:val="auto"/>
              </w:rPr>
            </w:pPr>
            <w:r>
              <w:rPr>
                <w:rFonts w:ascii="Arial" w:cs="Arial" w:eastAsia="Arial" w:hAnsi="Arial"/>
                <w:sz w:val="18"/>
                <w:szCs w:val="18"/>
                <w:color w:val="auto"/>
                <w:w w:val="95"/>
              </w:rPr>
              <w:t>Number of</w:t>
            </w:r>
          </w:p>
        </w:tc>
        <w:tc>
          <w:tcPr>
            <w:tcW w:w="300" w:type="dxa"/>
            <w:vAlign w:val="bottom"/>
            <w:tcBorders>
              <w:top w:val="single" w:sz="8" w:color="auto"/>
            </w:tcBorders>
            <w:gridSpan w:val="2"/>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5"/>
          </w:tcPr>
          <w:p>
            <w:pPr>
              <w:jc w:val="center"/>
              <w:ind w:right="280"/>
              <w:spacing w:after="0" w:line="170"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center"/>
              <w:ind w:right="60"/>
              <w:spacing w:after="0" w:line="196" w:lineRule="exact"/>
              <w:rPr>
                <w:sz w:val="20"/>
                <w:szCs w:val="20"/>
                <w:color w:val="auto"/>
              </w:rPr>
            </w:pPr>
            <w:r>
              <w:rPr>
                <w:rFonts w:ascii="Arial" w:cs="Arial" w:eastAsia="Arial" w:hAnsi="Arial"/>
                <w:sz w:val="18"/>
                <w:szCs w:val="18"/>
                <w:color w:val="auto"/>
                <w:w w:val="88"/>
              </w:rPr>
              <w:t>Contracts</w:t>
            </w:r>
          </w:p>
        </w:tc>
        <w:tc>
          <w:tcPr>
            <w:tcW w:w="3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580"/>
              <w:spacing w:after="0" w:line="196" w:lineRule="exact"/>
              <w:rPr>
                <w:sz w:val="20"/>
                <w:szCs w:val="20"/>
                <w:color w:val="auto"/>
              </w:rPr>
            </w:pPr>
            <w:r>
              <w:rPr>
                <w:rFonts w:ascii="Arial" w:cs="Arial" w:eastAsia="Arial" w:hAnsi="Arial"/>
                <w:sz w:val="18"/>
                <w:szCs w:val="18"/>
                <w:color w:val="auto"/>
                <w:w w:val="90"/>
              </w:rPr>
              <w:t>Amount</w:t>
            </w: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center"/>
              <w:ind w:right="60"/>
              <w:spacing w:after="0" w:line="196" w:lineRule="exact"/>
              <w:rPr>
                <w:sz w:val="20"/>
                <w:szCs w:val="20"/>
                <w:color w:val="auto"/>
              </w:rPr>
            </w:pPr>
            <w:r>
              <w:rPr>
                <w:rFonts w:ascii="Arial" w:cs="Arial" w:eastAsia="Arial" w:hAnsi="Arial"/>
                <w:sz w:val="18"/>
                <w:szCs w:val="18"/>
                <w:color w:val="auto"/>
                <w:w w:val="88"/>
              </w:rPr>
              <w:t>Contracts</w:t>
            </w:r>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4"/>
          </w:tcPr>
          <w:p>
            <w:pPr>
              <w:ind w:left="60"/>
              <w:spacing w:after="0" w:line="196"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7"/>
                <w:szCs w:val="17"/>
                <w:color w:val="auto"/>
              </w:rPr>
            </w:pPr>
          </w:p>
        </w:tc>
        <w:tc>
          <w:tcPr>
            <w:tcW w:w="78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0"/>
              </w:rPr>
              <w:t>Contracts</w:t>
            </w:r>
          </w:p>
        </w:tc>
        <w:tc>
          <w:tcPr>
            <w:tcW w:w="2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gridSpan w:val="10"/>
          </w:tcPr>
          <w:p>
            <w:pPr>
              <w:jc w:val="center"/>
              <w:ind w:right="520"/>
              <w:spacing w:after="0"/>
              <w:rPr>
                <w:sz w:val="20"/>
                <w:szCs w:val="20"/>
                <w:color w:val="auto"/>
              </w:rPr>
            </w:pPr>
            <w:r>
              <w:rPr>
                <w:rFonts w:ascii="Arial" w:cs="Arial" w:eastAsia="Arial" w:hAnsi="Arial"/>
                <w:sz w:val="18"/>
                <w:szCs w:val="18"/>
                <w:color w:val="auto"/>
                <w:w w:val="91"/>
              </w:rPr>
              <w:t>(Dollars in thousands)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25,715</w:t>
            </w:r>
          </w:p>
        </w:tc>
        <w:tc>
          <w:tcPr>
            <w:tcW w:w="4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342,074</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28,627</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379,675</w:t>
            </w:r>
          </w:p>
        </w:tc>
        <w:tc>
          <w:tcPr>
            <w:tcW w:w="118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27,991</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374,116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18,807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244,288</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21,977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297,413</w:t>
            </w:r>
          </w:p>
        </w:tc>
        <w:tc>
          <w:tcPr>
            <w:tcW w:w="1180" w:type="dxa"/>
            <w:vAlign w:val="bottom"/>
            <w:gridSpan w:val="6"/>
          </w:tcPr>
          <w:p>
            <w:pPr>
              <w:jc w:val="right"/>
              <w:ind w:right="160"/>
              <w:spacing w:after="0"/>
              <w:rPr>
                <w:sz w:val="20"/>
                <w:szCs w:val="20"/>
                <w:color w:val="auto"/>
              </w:rPr>
            </w:pPr>
            <w:r>
              <w:rPr>
                <w:rFonts w:ascii="Arial" w:cs="Arial" w:eastAsia="Arial" w:hAnsi="Arial"/>
                <w:sz w:val="18"/>
                <w:szCs w:val="18"/>
                <w:color w:val="auto"/>
              </w:rPr>
              <w:t>20,789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277,497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15,430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201,324</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17,736</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243,588</w:t>
            </w:r>
          </w:p>
        </w:tc>
        <w:tc>
          <w:tcPr>
            <w:tcW w:w="118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17,210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231,905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12,740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166,119</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12,255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168,623</w:t>
            </w:r>
          </w:p>
        </w:tc>
        <w:tc>
          <w:tcPr>
            <w:tcW w:w="1180" w:type="dxa"/>
            <w:vAlign w:val="bottom"/>
            <w:gridSpan w:val="6"/>
          </w:tcPr>
          <w:p>
            <w:pPr>
              <w:jc w:val="right"/>
              <w:ind w:right="160"/>
              <w:spacing w:after="0"/>
              <w:rPr>
                <w:sz w:val="20"/>
                <w:szCs w:val="20"/>
                <w:color w:val="auto"/>
              </w:rPr>
            </w:pPr>
            <w:r>
              <w:rPr>
                <w:rFonts w:ascii="Arial" w:cs="Arial" w:eastAsia="Arial" w:hAnsi="Arial"/>
                <w:sz w:val="18"/>
                <w:szCs w:val="18"/>
                <w:color w:val="auto"/>
              </w:rPr>
              <w:t>13,583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185,114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8,717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110,251</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7,395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98,319</w:t>
            </w:r>
          </w:p>
        </w:tc>
        <w:tc>
          <w:tcPr>
            <w:tcW w:w="118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9,189</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121,836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5,265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61,975</w:t>
            </w:r>
          </w:p>
        </w:tc>
        <w:tc>
          <w:tcPr>
            <w:tcW w:w="1220" w:type="dxa"/>
            <w:vAlign w:val="bottom"/>
            <w:gridSpan w:val="6"/>
          </w:tcPr>
          <w:p>
            <w:pPr>
              <w:jc w:val="right"/>
              <w:ind w:right="180"/>
              <w:spacing w:after="0"/>
              <w:rPr>
                <w:sz w:val="20"/>
                <w:szCs w:val="20"/>
                <w:color w:val="auto"/>
              </w:rPr>
            </w:pPr>
            <w:r>
              <w:rPr>
                <w:rFonts w:ascii="Arial" w:cs="Arial" w:eastAsia="Arial" w:hAnsi="Arial"/>
                <w:sz w:val="18"/>
                <w:szCs w:val="18"/>
                <w:color w:val="auto"/>
              </w:rPr>
              <w:t>3,923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48,873</w:t>
            </w:r>
          </w:p>
        </w:tc>
        <w:tc>
          <w:tcPr>
            <w:tcW w:w="1180" w:type="dxa"/>
            <w:vAlign w:val="bottom"/>
            <w:gridSpan w:val="6"/>
          </w:tcPr>
          <w:p>
            <w:pPr>
              <w:jc w:val="right"/>
              <w:ind w:right="160"/>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64,134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gridSpan w:val="5"/>
            <w:shd w:val="clear" w:color="auto" w:fill="EEEEEE"/>
          </w:tcPr>
          <w:p>
            <w:pPr>
              <w:jc w:val="right"/>
              <w:spacing w:after="0"/>
              <w:rPr>
                <w:sz w:val="20"/>
                <w:szCs w:val="20"/>
                <w:color w:val="auto"/>
              </w:rPr>
            </w:pPr>
            <w:r>
              <w:rPr>
                <w:rFonts w:ascii="Arial" w:cs="Arial" w:eastAsia="Arial" w:hAnsi="Arial"/>
                <w:sz w:val="18"/>
                <w:szCs w:val="18"/>
                <w:color w:val="auto"/>
              </w:rPr>
              <w:t>86,674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w w:val="97"/>
              </w:rPr>
              <w:t>1,126,031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gridSpan w:val="5"/>
            <w:shd w:val="clear" w:color="auto" w:fill="EEEEEE"/>
          </w:tcPr>
          <w:p>
            <w:pPr>
              <w:jc w:val="right"/>
              <w:spacing w:after="0"/>
              <w:rPr>
                <w:sz w:val="20"/>
                <w:szCs w:val="20"/>
                <w:color w:val="auto"/>
              </w:rPr>
            </w:pPr>
            <w:r>
              <w:rPr>
                <w:rFonts w:ascii="Arial" w:cs="Arial" w:eastAsia="Arial" w:hAnsi="Arial"/>
                <w:sz w:val="18"/>
                <w:szCs w:val="18"/>
                <w:color w:val="auto"/>
              </w:rPr>
              <w:t>91,913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1,236,491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gridSpan w:val="5"/>
            <w:shd w:val="clear" w:color="auto" w:fill="EEEEEE"/>
          </w:tcPr>
          <w:p>
            <w:pPr>
              <w:jc w:val="right"/>
              <w:spacing w:after="0"/>
              <w:rPr>
                <w:sz w:val="20"/>
                <w:szCs w:val="20"/>
                <w:color w:val="auto"/>
              </w:rPr>
            </w:pPr>
            <w:r>
              <w:rPr>
                <w:rFonts w:ascii="Arial" w:cs="Arial" w:eastAsia="Arial" w:hAnsi="Arial"/>
                <w:sz w:val="18"/>
                <w:szCs w:val="18"/>
                <w:color w:val="auto"/>
              </w:rPr>
              <w:t>93,914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1,254,602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 originated</w:t>
            </w: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80"/>
              <w:spacing w:after="0"/>
              <w:rPr>
                <w:sz w:val="20"/>
                <w:szCs w:val="20"/>
                <w:color w:val="auto"/>
              </w:rPr>
            </w:pPr>
            <w:r>
              <w:rPr>
                <w:rFonts w:ascii="Arial" w:cs="Arial" w:eastAsia="Arial" w:hAnsi="Arial"/>
                <w:sz w:val="18"/>
                <w:szCs w:val="18"/>
                <w:color w:val="auto"/>
              </w:rPr>
              <w:t>and owned by 3rd parties)</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177,115</w:t>
            </w:r>
          </w:p>
        </w:tc>
        <w:tc>
          <w:tcPr>
            <w:tcW w:w="4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w w:val="97"/>
              </w:rPr>
              <w:t>2,399,221</w:t>
            </w:r>
          </w:p>
        </w:tc>
        <w:tc>
          <w:tcPr>
            <w:tcW w:w="12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174,563</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2,329,179</w:t>
            </w:r>
          </w:p>
        </w:tc>
        <w:tc>
          <w:tcPr>
            <w:tcW w:w="320" w:type="dxa"/>
            <w:vAlign w:val="bottom"/>
            <w:shd w:val="clear" w:color="auto" w:fill="EEEEEE"/>
          </w:tcPr>
          <w:p>
            <w:pPr>
              <w:spacing w:after="0"/>
              <w:rPr>
                <w:sz w:val="20"/>
                <w:szCs w:val="20"/>
                <w:color w:val="auto"/>
              </w:rPr>
            </w:pPr>
          </w:p>
        </w:tc>
        <w:tc>
          <w:tcPr>
            <w:tcW w:w="118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176,042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2,380,847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11" w:lineRule="exact"/>
        <w:rPr>
          <w:sz w:val="20"/>
          <w:szCs w:val="20"/>
          <w:color w:val="auto"/>
        </w:rPr>
      </w:pPr>
    </w:p>
    <w:p>
      <w:pPr>
        <w:jc w:val="both"/>
        <w:ind w:firstLine="180"/>
        <w:spacing w:after="0" w:line="271"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9" w:lineRule="exact"/>
        <w:rPr>
          <w:sz w:val="20"/>
          <w:szCs w:val="20"/>
          <w:color w:val="auto"/>
        </w:rPr>
      </w:pPr>
    </w:p>
    <w:p>
      <w:pPr>
        <w:jc w:val="both"/>
        <w:ind w:firstLine="130"/>
        <w:spacing w:after="0" w:line="312" w:lineRule="auto"/>
        <w:rPr>
          <w:sz w:val="20"/>
          <w:szCs w:val="20"/>
          <w:color w:val="auto"/>
        </w:rPr>
      </w:pPr>
      <w:r>
        <w:rPr>
          <w:rFonts w:ascii="Arial" w:cs="Arial" w:eastAsia="Arial" w:hAnsi="Arial"/>
          <w:sz w:val="16"/>
          <w:szCs w:val="16"/>
          <w:color w:val="auto"/>
        </w:rPr>
        <w:t>Net cash provided by operating activities for the six-month period ended June 30, 2019 was $112.4 million, an increase of $11.1 million, compared to net cash provided by operating activities for the six-month period ended June 30, 2018 of $101.3 million. Net cash from operating activities is generally provided by net income from operations adjusted for significant non-cash items such as our provision for credit losses and interest accretion on fair value receivables.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Net cash used in investing activities for the six-month period ended June 30, 2019 was $115.4 million compared to net cash used in investing activities of $93.1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$494.6 million and $430.6 million during the first six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 w:name="page41"/>
    <w:bookmarkEnd w:id="40"/>
    <w:p>
      <w:pPr>
        <w:jc w:val="both"/>
        <w:ind w:firstLine="162"/>
        <w:spacing w:after="0" w:line="272" w:lineRule="auto"/>
        <w:rPr>
          <w:sz w:val="20"/>
          <w:szCs w:val="20"/>
          <w:color w:val="auto"/>
        </w:rPr>
      </w:pPr>
      <w:r>
        <w:rPr>
          <w:rFonts w:ascii="Arial" w:cs="Arial" w:eastAsia="Arial" w:hAnsi="Arial"/>
          <w:sz w:val="17"/>
          <w:szCs w:val="17"/>
          <w:color w:val="auto"/>
        </w:rPr>
        <w:t>Net cash provided by financing activities for the six months ended June 30, 2019 was $8.1 million compared to $4.5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2019, we issued $482.7 million in new securitization trust debt compared to $391.8 million in the same period of 2018. We repaid $468.9 million in securitization trust debt in the six months ended June 30, 2019 compared to repayments of securitization trust debt of $444.8 million in the prior year period. In the six months ended June 30, 2019, we had net advances on warehouse lines of credit of $2.7 million, compared to net advances of $24.8 million in the prior year’s period. On May 16, 2018, we completed a $40.0 million securitization of residual interests from previously issued securitizations.</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June 30, 2019, we had unrestricted cash of $9.7 million and $160.8 million aggregate available borrowings under our three warehouse credit facilities (assuming the availability of sufficient eligible collateral). As of June 30, 2019, we had approximately $16.3 million of such eligible collateral. During the six-month period ended June 30, 2019, we completed two securitizations aggregating $482.7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6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2019,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1" w:name="page42"/>
    <w:bookmarkEnd w:id="41"/>
    <w:p>
      <w:pPr>
        <w:jc w:val="both"/>
        <w:ind w:firstLine="130"/>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2019, we had approximately $2,270.2 million of debt outstanding. Such debt consisted primarily of $2,077.3 million of securitization trust debt and $139.2 million of debt from warehouse lines of credit. Our securitization trust debt has increased by $46.6 million while our warehouse lines of credit debt has increased by $1.3 million since June 30, 2018 (each net of deferred financing costs). Since 2005, we have offered renewable subordinated notes to the public on a continuous basis, and such notes have maturities that range from six months to 10 years. We had $14.4 million and $15.8 million in subordinated renewable notes outstanding at June 30, 2019 and 2018, respectively. On May 16, 2018, we completed a $40.0 million securitization of residual interests from previously issued securitizations. At June 30, 2019, $40.0 million of this residual interest financing debt remains outstanding ($39.3 million net of deferred financing costs).</w:t>
      </w:r>
    </w:p>
    <w:p>
      <w:pPr>
        <w:spacing w:after="0" w:line="178"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13, 2019.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June 30, 2019, we had approximately $2,270.2 million of debt outstanding. Such debt consisted primarily of $2,077.3 million of securitization trust debt and $139.2 million of debt from warehouse lines of credit. Our securitization trust debt has increased by $46.6 million while our warehouse lines of credit debt has increased by $1.3 million since June 30, 2018 (each net of deferred financing costs). Since 2005, we have offered renewable subordinated notes to the public on a continuous basis, and such notes have maturities that range from six months to 10 years. We had $14.4 million and $15.8 million in subordinated renewable notes outstanding at June 30, 2019 and 2018, respectively. On May 16, 2018, we completed a $40.0 million securitization of residual interests from previously issued securitizations. At June 30, 2019, $40.0 million of this residual interest financing debt remains outstanding ($39.3 million net of deferred financing costs). Our substantial indebtedness could adversely affect our financial condition by, among other things:</w:t>
      </w:r>
    </w:p>
    <w:p>
      <w:pPr>
        <w:spacing w:after="0" w:line="179" w:lineRule="exact"/>
        <w:rPr>
          <w:sz w:val="20"/>
          <w:szCs w:val="20"/>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3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2019, we did not repurchase shares in the open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4"/>
          </w:tcPr>
          <w:p>
            <w:pPr>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 Purchased as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Price Paid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3"/>
          </w:tcPr>
          <w:p>
            <w:pPr>
              <w:ind w:left="660"/>
              <w:spacing w:after="0"/>
              <w:rPr>
                <w:sz w:val="20"/>
                <w:szCs w:val="20"/>
                <w:color w:val="auto"/>
              </w:rPr>
            </w:pPr>
            <w:r>
              <w:rPr>
                <w:rFonts w:ascii="Arial" w:cs="Arial" w:eastAsia="Arial" w:hAnsi="Arial"/>
                <w:sz w:val="18"/>
                <w:szCs w:val="18"/>
                <w:b w:val="1"/>
                <w:bCs w:val="1"/>
                <w:color w:val="auto"/>
              </w:rPr>
              <w:t>Period(1)</w:t>
            </w: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per Share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Programs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April 2019</w:t>
            </w:r>
          </w:p>
        </w:tc>
        <w:tc>
          <w:tcPr>
            <w:tcW w:w="1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1430"/>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May 2019</w:t>
            </w:r>
          </w:p>
        </w:tc>
        <w:tc>
          <w:tcPr>
            <w:tcW w:w="120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24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June 2019</w:t>
            </w:r>
          </w:p>
        </w:tc>
        <w:tc>
          <w:tcPr>
            <w:tcW w:w="1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1430"/>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tcBorders>
              <w:bottom w:val="single" w:sz="8" w:color="EEEEEE"/>
            </w:tcBorders>
            <w:gridSpan w:val="2"/>
          </w:tcPr>
          <w:p>
            <w:pPr>
              <w:ind w:left="10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EEEEEE"/>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14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EEEEEE"/>
            </w:tcBorders>
          </w:tcPr>
          <w:p>
            <w:pPr>
              <w:spacing w:after="0"/>
              <w:rPr>
                <w:sz w:val="22"/>
                <w:szCs w:val="22"/>
                <w:color w:val="auto"/>
              </w:rPr>
            </w:pPr>
          </w:p>
        </w:tc>
        <w:tc>
          <w:tcPr>
            <w:tcW w:w="18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8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i w:val="1"/>
                <w:iCs w:val="1"/>
                <w:color w:val="auto"/>
              </w:rPr>
              <w:t>____________________</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7"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2019,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4.14</w:t>
            </w: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380" w:type="dxa"/>
            <w:vAlign w:val="bottom"/>
          </w:tcPr>
          <w:p>
            <w:pPr>
              <w:jc w:val="right"/>
              <w:ind w:right="970"/>
              <w:spacing w:after="0" w:line="190" w:lineRule="exact"/>
              <w:rPr>
                <w:sz w:val="20"/>
                <w:szCs w:val="20"/>
                <w:color w:val="auto"/>
              </w:rPr>
            </w:pPr>
            <w:r>
              <w:rPr>
                <w:rFonts w:ascii="Arial" w:cs="Arial" w:eastAsia="Arial" w:hAnsi="Arial"/>
                <w:sz w:val="18"/>
                <w:szCs w:val="18"/>
                <w:color w:val="auto"/>
                <w:w w:val="85"/>
              </w:rPr>
              <w:t>31.1</w:t>
            </w:r>
          </w:p>
        </w:tc>
        <w:tc>
          <w:tcPr>
            <w:tcW w:w="10040" w:type="dxa"/>
            <w:vAlign w:val="bottom"/>
            <w:gridSpan w:val="3"/>
          </w:tcPr>
          <w:p>
            <w:pPr>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Rule 13a-14(a) Certification of the Chief Executive Officer of the registrant.</w:t>
              </w:r>
            </w:hyperlink>
          </w:p>
        </w:tc>
      </w:tr>
      <w:tr>
        <w:trPr>
          <w:trHeight w:val="196"/>
        </w:trPr>
        <w:tc>
          <w:tcPr>
            <w:tcW w:w="1380" w:type="dxa"/>
            <w:vAlign w:val="bottom"/>
          </w:tcPr>
          <w:p>
            <w:pPr>
              <w:jc w:val="right"/>
              <w:ind w:right="970"/>
              <w:spacing w:after="0" w:line="196" w:lineRule="exact"/>
              <w:rPr>
                <w:sz w:val="20"/>
                <w:szCs w:val="20"/>
                <w:color w:val="auto"/>
              </w:rPr>
            </w:pPr>
            <w:r>
              <w:rPr>
                <w:rFonts w:ascii="Arial" w:cs="Arial" w:eastAsia="Arial" w:hAnsi="Arial"/>
                <w:sz w:val="18"/>
                <w:szCs w:val="18"/>
                <w:color w:val="auto"/>
                <w:w w:val="85"/>
              </w:rPr>
              <w:t>31.2</w:t>
            </w: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17"/>
        </w:numPr>
        <w:rPr>
          <w:rFonts w:ascii="Arial" w:cs="Arial" w:eastAsia="Arial" w:hAnsi="Arial"/>
          <w:sz w:val="18"/>
          <w:szCs w:val="18"/>
          <w:color w:val="0000EE"/>
        </w:rPr>
      </w:pPr>
      <w:hyperlink w:anchor="page49">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jc w:val="both"/>
        <w:ind w:left="260" w:firstLine="311"/>
        <w:spacing w:after="0" w:line="259" w:lineRule="auto"/>
        <w:rPr>
          <w:rFonts w:ascii="Arial" w:cs="Arial" w:eastAsia="Arial" w:hAnsi="Arial"/>
          <w:sz w:val="18"/>
          <w:szCs w:val="18"/>
          <w:color w:val="0000EE"/>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-19050</wp:posOffset>
            </wp:positionV>
            <wp:extent cx="22586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586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-19050</wp:posOffset>
            </wp:positionV>
            <wp:extent cx="2117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6" w:name="page47"/>
    <w:bookmarkEnd w:id="46"/>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30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00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605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2019,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0" w:lineRule="exact"/>
        <w:rPr>
          <w:rFonts w:ascii="Arial" w:cs="Arial" w:eastAsia="Arial" w:hAnsi="Arial"/>
          <w:sz w:val="18"/>
          <w:szCs w:val="18"/>
          <w:color w:val="auto"/>
        </w:rPr>
      </w:pPr>
    </w:p>
    <w:p>
      <w:pPr>
        <w:ind w:right="260" w:firstLine="359"/>
        <w:spacing w:after="0" w:line="684" w:lineRule="auto"/>
        <w:tabs>
          <w:tab w:leader="none" w:pos="7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2019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30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301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0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2"/>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2019-12-28T08:25:21Z</dcterms:created>
  <dcterms:modified xsi:type="dcterms:W3CDTF">2019-12-28T08:25:21Z</dcterms:modified>
</cp:coreProperties>
</file>