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3" w:lineRule="exact"/>
        <w:rPr>
          <w:sz w:val="24"/>
          <w:szCs w:val="24"/>
          <w:color w:val="auto"/>
        </w:rPr>
      </w:pPr>
    </w:p>
    <w:p>
      <w:pPr>
        <w:ind w:left="3900" w:right="1700" w:hanging="3892"/>
        <w:spacing w:after="0" w:line="266" w:lineRule="auto"/>
        <w:tabs>
          <w:tab w:leader="none" w:pos="57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p</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p</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8" w:lineRule="exact"/>
        <w:rPr>
          <w:sz w:val="24"/>
          <w:szCs w:val="24"/>
          <w:color w:val="auto"/>
        </w:rPr>
      </w:pPr>
    </w:p>
    <w:p>
      <w:pPr>
        <w:ind w:left="3980"/>
        <w:spacing w:after="0" w:line="207" w:lineRule="exact"/>
        <w:tabs>
          <w:tab w:leader="none" w:pos="5960" w:val="left"/>
        </w:tabs>
        <w:rPr>
          <w:sz w:val="20"/>
          <w:szCs w:val="20"/>
          <w:color w:val="auto"/>
        </w:rPr>
      </w:pPr>
      <w:r>
        <w:rPr>
          <w:rFonts w:ascii="Arial" w:cs="Arial" w:eastAsia="Arial" w:hAnsi="Arial"/>
          <w:sz w:val="18"/>
          <w:szCs w:val="18"/>
          <w:color w:val="auto"/>
        </w:rPr>
        <w:t>Large Accelerated Filer p</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8" w:lineRule="exact"/>
        <w:rPr>
          <w:sz w:val="24"/>
          <w:szCs w:val="24"/>
          <w:color w:val="auto"/>
        </w:rPr>
      </w:pPr>
    </w:p>
    <w:p>
      <w:pPr>
        <w:ind w:left="3580"/>
        <w:spacing w:after="0"/>
        <w:tabs>
          <w:tab w:leader="none" w:pos="5480" w:val="left"/>
        </w:tabs>
        <w:rPr>
          <w:sz w:val="20"/>
          <w:szCs w:val="20"/>
          <w:color w:val="auto"/>
        </w:rPr>
      </w:pPr>
      <w:r>
        <w:rPr>
          <w:rFonts w:ascii="Arial" w:cs="Arial" w:eastAsia="Arial" w:hAnsi="Arial"/>
          <w:sz w:val="18"/>
          <w:szCs w:val="18"/>
          <w:color w:val="auto"/>
        </w:rPr>
        <w:t>Non-Accelerated Filer p</w:t>
      </w:r>
      <w:r>
        <w:rPr>
          <w:sz w:val="20"/>
          <w:szCs w:val="20"/>
          <w:color w:val="auto"/>
        </w:rPr>
        <w:tab/>
      </w:r>
      <w:r>
        <w:rPr>
          <w:rFonts w:ascii="Arial" w:cs="Arial" w:eastAsia="Arial" w:hAnsi="Arial"/>
          <w:sz w:val="16"/>
          <w:szCs w:val="16"/>
          <w:color w:val="auto"/>
        </w:rPr>
        <w:t>Smaller Reporting Company p</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p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25, 2014 the registrant had 24,829,994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PART I. FINANCIAL INFORMATION</w:t>
            </w:r>
          </w:p>
        </w:tc>
        <w:tc>
          <w:tcPr>
            <w:tcW w:w="86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Financial Statements</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Unaudited Condensed Consolidated Balance Sheets as of March 31, 2014 and December 31, 2013</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4"/>
              </w:rPr>
              <w:t>Unaudited Condensed Consolidated Statements of Operations for the three-month periods ended March 31, 2014 and 2013</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960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2"/>
              </w:rPr>
              <w:t>Unaudited Condensed Consolidated Statements of Comprehensive Income for the three-month periods ended March 31, 2014</w:t>
            </w:r>
          </w:p>
        </w:tc>
        <w:tc>
          <w:tcPr>
            <w:tcW w:w="2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and 2013</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3"/>
              </w:rPr>
              <w:t>Unaudited Condensed Consolidated Statements of Cash Flows for the three-month periods ended March 31, 2014 and 2013</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Notes to Unaudited Condensed Consolidated Financial Statements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9"/>
              </w:rPr>
              <w:t>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24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Controls and Procedures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0" w:type="dxa"/>
            <w:vAlign w:val="bottom"/>
          </w:tcPr>
          <w:p>
            <w:pPr>
              <w:jc w:val="center"/>
              <w:spacing w:after="0"/>
              <w:rPr>
                <w:sz w:val="20"/>
                <w:szCs w:val="20"/>
                <w:color w:val="auto"/>
              </w:rPr>
            </w:pPr>
            <w:r>
              <w:rPr>
                <w:rFonts w:ascii="Arial" w:cs="Arial" w:eastAsia="Arial" w:hAnsi="Arial"/>
                <w:sz w:val="18"/>
                <w:szCs w:val="18"/>
                <w:b w:val="1"/>
                <w:bCs w:val="1"/>
                <w:color w:val="auto"/>
              </w:rPr>
              <w:t>PART II. OTHER INFORMATION</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Legal Proceedings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Risk Factors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Exhibits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96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Signatures</w:t>
            </w:r>
          </w:p>
        </w:tc>
        <w:tc>
          <w:tcPr>
            <w:tcW w:w="60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89"/>
              </w:rPr>
              <w:t>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14,567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22,112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147,596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132,284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1,226,769</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1,155,063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(44,652)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1,182,117</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1,115,437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9,058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14,476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10,965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11,071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54,156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59,215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17,562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22,646</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21,481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1,459,949</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24,865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41,527</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15,582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19,096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8,576</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1,247,380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1,177,559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38,559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tcPr>
          <w:p>
            <w:pPr>
              <w:spacing w:after="0"/>
              <w:rPr>
                <w:sz w:val="19"/>
                <w:szCs w:val="19"/>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18,585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19,142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1,356,515</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1,301,764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rPr>
              <w:t>Preferred stock, $1 par value;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authorized 4,998,130 shares; none issued</w:t>
            </w:r>
          </w:p>
        </w:tc>
        <w:tc>
          <w:tcPr>
            <w:tcW w:w="24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Series A preferred stock, $1 par value;</w:t>
            </w: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authorized 5,000,000 shares; none issued</w:t>
            </w:r>
          </w:p>
        </w:tc>
        <w:tc>
          <w:tcPr>
            <w:tcW w:w="24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rPr>
              <w:t>Series B preferred stock, $1 par value;</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authorized 1,870 shares; none issued</w:t>
            </w:r>
          </w:p>
        </w:tc>
        <w:tc>
          <w:tcPr>
            <w:tcW w:w="24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no par value; authorized</w:t>
            </w: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75,000,000 shares; 24,755,456 and 24,015,585</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shares issued and outstanding at March 31, 2014 and</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December 31, 2013, respectively</w:t>
            </w:r>
          </w:p>
        </w:tc>
        <w:tc>
          <w:tcPr>
            <w:tcW w:w="24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75,549</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73,422</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28,980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103,434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36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1,459,949</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64,996</w:t>
            </w:r>
          </w:p>
        </w:tc>
        <w:tc>
          <w:tcPr>
            <w:tcW w:w="58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2,637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68,146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54,594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10,890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3,603</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13,381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23,880</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3,846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56,382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48,066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11,764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5,059</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0.28</w:t>
            </w:r>
          </w:p>
        </w:tc>
        <w:tc>
          <w:tcPr>
            <w:tcW w:w="58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24,355</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02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6,705</w:t>
            </w:r>
          </w:p>
        </w:tc>
        <w:tc>
          <w:tcPr>
            <w:tcW w:w="1060" w:type="dxa"/>
            <w:vAlign w:val="bottom"/>
            <w:gridSpan w:val="2"/>
            <w:shd w:val="clear" w:color="auto" w:fill="EEEEEE"/>
          </w:tcPr>
          <w:p>
            <w:pPr>
              <w:jc w:val="right"/>
              <w:ind w:right="93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3,785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1080" w:type="dxa"/>
            <w:vAlign w:val="bottom"/>
            <w:shd w:val="clear" w:color="auto" w:fill="EEEEEE"/>
          </w:tcPr>
          <w:p>
            <w:pPr>
              <w:spacing w:after="0"/>
              <w:rPr>
                <w:sz w:val="22"/>
                <w:szCs w:val="22"/>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2"/>
                <w:szCs w:val="22"/>
                <w:color w:val="auto"/>
              </w:rPr>
            </w:pPr>
          </w:p>
        </w:tc>
        <w:tc>
          <w:tcPr>
            <w:tcW w:w="1040" w:type="dxa"/>
            <w:vAlign w:val="bottom"/>
            <w:shd w:val="clear" w:color="auto" w:fill="EEEEEE"/>
          </w:tcPr>
          <w:p>
            <w:pPr>
              <w:spacing w:after="0"/>
              <w:rPr>
                <w:sz w:val="22"/>
                <w:szCs w:val="22"/>
                <w:color w:val="auto"/>
              </w:rPr>
            </w:pPr>
          </w:p>
        </w:tc>
        <w:tc>
          <w:tcPr>
            <w:tcW w:w="6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6,705</w:t>
            </w:r>
          </w:p>
        </w:tc>
        <w:tc>
          <w:tcPr>
            <w:tcW w:w="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(4,610)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1,684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23,880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1,213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5,059</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36,155</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(189,886)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103,936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5,664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(15,312)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(97,041</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(115,353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proceeds from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32,075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(3,514)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(110,220)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(5,039)</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(39,182)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(1,578)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1,356</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36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869"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(7,545)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12,966</w:t>
            </w:r>
          </w:p>
        </w:tc>
      </w:tr>
      <w:tr>
        <w:trPr>
          <w:trHeight w:val="223"/>
        </w:trPr>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13,866</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640"/>
          </w:cols>
          <w:pgMar w:left="240" w:top="661" w:right="239" w:bottom="869"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720" w:type="dxa"/>
            <w:vAlign w:val="bottom"/>
            <w:shd w:val="clear" w:color="auto" w:fill="EEEEEE"/>
          </w:tcPr>
          <w:p>
            <w:pPr>
              <w:spacing w:after="0"/>
              <w:rPr>
                <w:sz w:val="17"/>
                <w:szCs w:val="17"/>
                <w:color w:val="auto"/>
              </w:rPr>
            </w:pPr>
          </w:p>
        </w:tc>
        <w:tc>
          <w:tcPr>
            <w:tcW w:w="16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during the period for:</w:t>
            </w:r>
          </w:p>
        </w:tc>
        <w:tc>
          <w:tcPr>
            <w:tcW w:w="1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672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11,506</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16,064</w:t>
            </w:r>
          </w:p>
        </w:tc>
      </w:tr>
      <w:tr>
        <w:trPr>
          <w:trHeight w:val="216"/>
        </w:trPr>
        <w:tc>
          <w:tcPr>
            <w:tcW w:w="6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Income taxes</w:t>
            </w:r>
          </w:p>
        </w:tc>
        <w:tc>
          <w:tcPr>
            <w:tcW w:w="1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261</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990</w:t>
            </w:r>
          </w:p>
        </w:tc>
      </w:tr>
      <w:tr>
        <w:trPr>
          <w:trHeight w:val="216"/>
        </w:trPr>
        <w:tc>
          <w:tcPr>
            <w:tcW w:w="6720" w:type="dxa"/>
            <w:vAlign w:val="bottom"/>
          </w:tcPr>
          <w:p>
            <w:pPr>
              <w:ind w:left="200"/>
              <w:spacing w:after="0"/>
              <w:rPr>
                <w:sz w:val="20"/>
                <w:szCs w:val="20"/>
                <w:color w:val="auto"/>
              </w:rPr>
            </w:pPr>
            <w:r>
              <w:rPr>
                <w:rFonts w:ascii="Arial" w:cs="Arial" w:eastAsia="Arial" w:hAnsi="Arial"/>
                <w:sz w:val="18"/>
                <w:szCs w:val="18"/>
                <w:color w:val="auto"/>
              </w:rPr>
              <w:t>Non-cash financing activities:</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Derivative warrants reclassified from accounts payable to common stock</w:t>
            </w:r>
          </w:p>
        </w:tc>
        <w:tc>
          <w:tcPr>
            <w:tcW w:w="1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583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869"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low incomes or past credit problems (“sub-prime customers”). We serve as an alternative source of financing for dealers, allowing sales to customers who otherwise might not be able to obtain financing. In addition to purchasing installment purchase contracts directly from dealers, we have also</w:t>
      </w:r>
    </w:p>
    <w:p>
      <w:pPr>
        <w:spacing w:after="0" w:line="2" w:lineRule="exact"/>
        <w:rPr>
          <w:sz w:val="20"/>
          <w:szCs w:val="20"/>
          <w:color w:val="auto"/>
        </w:rPr>
      </w:pPr>
    </w:p>
    <w:p>
      <w:pPr>
        <w:jc w:val="both"/>
        <w:ind w:firstLine="8"/>
        <w:spacing w:after="0" w:line="255"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2014 are not necessarily indicative of the operating results to be expected for the full year.</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valuing residual interest in securitizations, accreting net acquisition fees, amortizing deferred costs, valuing stock options and warrants issued, and recording deferred tax assets and reserves for uncertain tax positions. These are material estimates that could be susceptible to changes in the near term and, accordingly,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Direct mail revenues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1,852</w:t>
            </w:r>
          </w:p>
        </w:tc>
        <w:tc>
          <w:tcPr>
            <w:tcW w:w="600" w:type="dxa"/>
            <w:vAlign w:val="bottom"/>
            <w:gridSpan w:val="2"/>
            <w:shd w:val="clear" w:color="auto" w:fill="EEEEEE"/>
          </w:tcPr>
          <w:p>
            <w:pPr>
              <w:jc w:val="right"/>
              <w:ind w:right="47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Convenience fee revenue</w:t>
            </w:r>
          </w:p>
        </w:tc>
        <w:tc>
          <w:tcPr>
            <w:tcW w:w="3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Recoveries on previously charged-off contracts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00"/>
              <w:spacing w:after="0"/>
              <w:rPr>
                <w:sz w:val="20"/>
                <w:szCs w:val="20"/>
                <w:color w:val="auto"/>
              </w:rPr>
            </w:pPr>
            <w:r>
              <w:rPr>
                <w:rFonts w:ascii="Arial" w:cs="Arial" w:eastAsia="Arial" w:hAnsi="Arial"/>
                <w:sz w:val="18"/>
                <w:szCs w:val="18"/>
                <w:color w:val="auto"/>
              </w:rPr>
              <w:t>Sales tax refunds</w:t>
            </w:r>
          </w:p>
        </w:tc>
        <w:tc>
          <w:tcPr>
            <w:tcW w:w="3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(162)</w:t>
            </w:r>
          </w:p>
        </w:tc>
        <w:tc>
          <w:tcPr>
            <w:tcW w:w="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(68)</w:t>
            </w:r>
          </w:p>
        </w:tc>
      </w:tr>
      <w:tr>
        <w:trPr>
          <w:trHeight w:val="223"/>
        </w:trPr>
        <w:tc>
          <w:tcPr>
            <w:tcW w:w="7780" w:type="dxa"/>
            <w:vAlign w:val="bottom"/>
          </w:tcPr>
          <w:p>
            <w:pPr>
              <w:ind w:left="100"/>
              <w:spacing w:after="0"/>
              <w:rPr>
                <w:sz w:val="20"/>
                <w:szCs w:val="20"/>
                <w:color w:val="auto"/>
              </w:rPr>
            </w:pPr>
            <w:r>
              <w:rPr>
                <w:rFonts w:ascii="Arial" w:cs="Arial" w:eastAsia="Arial" w:hAnsi="Arial"/>
                <w:sz w:val="18"/>
                <w:szCs w:val="18"/>
                <w:color w:val="auto"/>
              </w:rPr>
              <w:t>Other income for the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For the three months ended March 31, 2014 and 2013, we recorded stock-based compensation costs in the amount of $771,000 and $676,000, respectively. As of March 31, 2014, unrecognized stock-based compensation costs to be recognized over future periods equaled $11.7 million. This amount will be recognized as expense over a weighted-average period of 3.2 years.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represents stock option activity for the three months ended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ind w:lef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2.70</w:t>
            </w:r>
          </w:p>
        </w:tc>
        <w:tc>
          <w:tcPr>
            <w:tcW w:w="1700" w:type="dxa"/>
            <w:vAlign w:val="bottom"/>
            <w:shd w:val="clear" w:color="auto" w:fill="EEEEEE"/>
          </w:tcPr>
          <w:p>
            <w:pPr>
              <w:jc w:val="center"/>
              <w:ind w:lef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1700" w:type="dxa"/>
            <w:vAlign w:val="bottom"/>
          </w:tcPr>
          <w:p>
            <w:pPr>
              <w:jc w:val="center"/>
              <w:ind w:left="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9,451</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EEEEEE"/>
            </w:tcBorders>
            <w:shd w:val="clear" w:color="auto" w:fill="EEEEEE"/>
          </w:tcPr>
          <w:p>
            <w:pPr>
              <w:jc w:val="center"/>
              <w:ind w:left="70"/>
              <w:spacing w:after="0"/>
              <w:rPr>
                <w:sz w:val="20"/>
                <w:szCs w:val="20"/>
                <w:color w:val="auto"/>
              </w:rPr>
            </w:pPr>
            <w:r>
              <w:rPr>
                <w:rFonts w:ascii="Arial" w:cs="Arial" w:eastAsia="Arial" w:hAnsi="Arial"/>
                <w:sz w:val="18"/>
                <w:szCs w:val="18"/>
                <w:color w:val="auto"/>
                <w:w w:val="87"/>
              </w:rPr>
              <w:t>6.33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5,433</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w:t>
            </w:r>
          </w:p>
        </w:tc>
        <w:tc>
          <w:tcPr>
            <w:tcW w:w="1700" w:type="dxa"/>
            <w:vAlign w:val="bottom"/>
            <w:shd w:val="clear" w:color="auto" w:fill="EEEEEE"/>
          </w:tcPr>
          <w:p>
            <w:pPr>
              <w:jc w:val="center"/>
              <w:ind w:left="70"/>
              <w:spacing w:after="0"/>
              <w:rPr>
                <w:sz w:val="20"/>
                <w:szCs w:val="20"/>
                <w:color w:val="auto"/>
              </w:rPr>
            </w:pPr>
            <w:r>
              <w:rPr>
                <w:rFonts w:ascii="Arial" w:cs="Arial" w:eastAsia="Arial" w:hAnsi="Arial"/>
                <w:sz w:val="18"/>
                <w:szCs w:val="18"/>
                <w:color w:val="auto"/>
                <w:w w:val="87"/>
              </w:rPr>
              <w:t>4.93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At March 31, 2014, the aggregate intrinsic value of options outstanding and exercisable was $34.9 million and $24.8 million, respectively. There were 574,000 options exercised for the three months ended March 31, 2014 compared to 356,000 for the comparable period in 2013. There were 3.5 million shares available for future stock option grants under existing plans as of March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During the three-month period ended March 31, 2014 and 2013, we re-purchased 64,430 and 15,213 shares, respectively, of our common stock, at average prices of $7.97 and $7.88, respectively. All purchases were related to net exercises of outstanding options and warrants. In transactions during the three-month period ended March 31, 2014, the holder of options and warrants to purchase 365,000 shares of our common stock paid the aggregate $513,400 exercise price by surrender to us of 64,430 of such 365,000 shares. There were no open market purchases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2014,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Related Debt Measured at Fair Value</w:t>
      </w:r>
    </w:p>
    <w:p>
      <w:pPr>
        <w:spacing w:after="0" w:line="229"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and the related acquisition debt are recorded on our balance sheet at fair value. There are no level 1 or level 2 inputs (as described by ASC 820) available to us for measurement of such receivables, or for the related debt. Our level 3, unobservable inputs reflect our own assumptions about the factors that market participants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have recorded a liability as of March 31, 2014,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400" w:hanging="26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2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00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Automobile finance receivables, net of unearned interest</w:t>
            </w:r>
          </w:p>
        </w:tc>
        <w:tc>
          <w:tcPr>
            <w:tcW w:w="30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1,252,326</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1,182,950</w:t>
            </w:r>
          </w:p>
        </w:tc>
        <w:tc>
          <w:tcPr>
            <w:tcW w:w="0" w:type="dxa"/>
            <w:vAlign w:val="bottom"/>
          </w:tcPr>
          <w:p>
            <w:pPr>
              <w:spacing w:after="0"/>
              <w:rPr>
                <w:sz w:val="1"/>
                <w:szCs w:val="1"/>
                <w:color w:val="auto"/>
              </w:rPr>
            </w:pPr>
          </w:p>
        </w:tc>
      </w:tr>
      <w:tr>
        <w:trPr>
          <w:trHeight w:val="230"/>
        </w:trPr>
        <w:tc>
          <w:tcPr>
            <w:tcW w:w="5000" w:type="dxa"/>
            <w:vAlign w:val="bottom"/>
          </w:tcPr>
          <w:p>
            <w:pPr>
              <w:ind w:left="400"/>
              <w:spacing w:after="0"/>
              <w:rPr>
                <w:sz w:val="20"/>
                <w:szCs w:val="20"/>
                <w:color w:val="auto"/>
              </w:rPr>
            </w:pPr>
            <w:r>
              <w:rPr>
                <w:rFonts w:ascii="Arial" w:cs="Arial" w:eastAsia="Arial" w:hAnsi="Arial"/>
                <w:sz w:val="18"/>
                <w:szCs w:val="18"/>
                <w:color w:val="auto"/>
              </w:rPr>
              <w:t>Less: Unearned acquisition fees and originations costs</w:t>
            </w: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(25,557)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23"/>
        </w:trPr>
        <w:tc>
          <w:tcPr>
            <w:tcW w:w="5000" w:type="dxa"/>
            <w:vAlign w:val="bottom"/>
            <w:tcBorders>
              <w:top w:val="single" w:sz="8" w:color="EEEEEE"/>
              <w:bottom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Finance Receivables</w:t>
            </w:r>
          </w:p>
        </w:tc>
        <w:tc>
          <w:tcPr>
            <w:tcW w:w="27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1,226,769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1,155,063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780" w:type="dxa"/>
            <w:vAlign w:val="bottom"/>
            <w:vMerge w:val="restart"/>
          </w:tcPr>
          <w:p>
            <w:pPr>
              <w:jc w:val="right"/>
              <w:ind w:right="19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jc w:val="both"/>
        <w:ind w:firstLine="13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2014 and December 31,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1,199,747</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1,125,926</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26,781</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21,421</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19,149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24,663</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6,649</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10,940</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1,252,326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Finance receivables totaling $6.6 million and $10.9 million at March 31, 2014 and December 31, 2013,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credit losses that can be reasonably estimated in our portfolio of automobile contracts. The estimate for probable credit losses is reduced by our estimate for future recoveries on previously incurred losses. Provision for losses is charged to our consolidated statement of operations. Net losses incurred on finance receivables are charged to the allowance. For finance receivables originated through December 31, 2010 we established the allowance at the time of the acquisition of the receivable. Beginning January 1, 2011, we establish the allowance for new receivables over the 12-month period following their acquisition.</w:t>
      </w:r>
    </w:p>
    <w:p>
      <w:pPr>
        <w:spacing w:after="0" w:line="18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2014 and 2013:</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credit losses on finance receivables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r>
      <w:tr>
        <w:trPr>
          <w:trHeight w:val="195"/>
        </w:trPr>
        <w:tc>
          <w:tcPr>
            <w:tcW w:w="360" w:type="dxa"/>
            <w:vAlign w:val="bottom"/>
          </w:tcPr>
          <w:p>
            <w:pPr>
              <w:spacing w:after="0"/>
              <w:rPr>
                <w:sz w:val="16"/>
                <w:szCs w:val="16"/>
                <w:color w:val="auto"/>
              </w:rPr>
            </w:pPr>
          </w:p>
        </w:tc>
        <w:tc>
          <w:tcPr>
            <w:tcW w:w="2080" w:type="dxa"/>
            <w:vAlign w:val="bottom"/>
            <w:gridSpan w:val="4"/>
          </w:tcPr>
          <w:p>
            <w:pPr>
              <w:jc w:val="right"/>
              <w:ind w:right="70"/>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39,626</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19,594</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23,880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15,147</w:t>
            </w: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(23,541)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(12,915)</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4,687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w:t>
            </w:r>
          </w:p>
        </w:tc>
        <w:tc>
          <w:tcPr>
            <w:tcW w:w="60" w:type="dxa"/>
            <w:vAlign w:val="bottom"/>
          </w:tcPr>
          <w:p>
            <w:pPr>
              <w:spacing w:after="0"/>
              <w:rPr>
                <w:sz w:val="20"/>
                <w:szCs w:val="20"/>
                <w:color w:val="auto"/>
              </w:rPr>
            </w:pP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24,881</w:t>
            </w:r>
          </w:p>
        </w:tc>
        <w:tc>
          <w:tcPr>
            <w:tcW w:w="60" w:type="dxa"/>
            <w:vAlign w:val="bottom"/>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-736600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8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0" w:name="page11"/>
    <w:bookmarkEnd w:id="10"/>
    <w:p>
      <w:pPr>
        <w:jc w:val="both"/>
        <w:ind w:right="20" w:firstLine="130"/>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31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Finance Receivables Measured at Fair Value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40" w:type="dxa"/>
            <w:vAlign w:val="bottom"/>
          </w:tcPr>
          <w:p>
            <w:pPr>
              <w:spacing w:after="0"/>
              <w:rPr>
                <w:sz w:val="16"/>
                <w:szCs w:val="16"/>
                <w:color w:val="auto"/>
              </w:rPr>
            </w:pPr>
          </w:p>
        </w:tc>
        <w:tc>
          <w:tcPr>
            <w:tcW w:w="330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27,961</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24,743</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(16,197)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(14,779)</w:t>
            </w:r>
          </w:p>
        </w:tc>
      </w:tr>
      <w:tr>
        <w:trPr>
          <w:trHeight w:val="223"/>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9,964</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7060" w:space="720"/>
            <w:col w:w="3640"/>
          </w:cols>
          <w:pgMar w:left="240" w:top="881" w:right="239" w:bottom="1440" w:gutter="0" w:footer="0" w:header="0"/>
          <w:type w:val="continuous"/>
        </w:sectPr>
      </w:pPr>
    </w:p>
    <w:p>
      <w:pPr>
        <w:spacing w:after="0" w:line="60"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The following table presents the components of Finance Receivables measured at fair value:</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234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Finance receivables and accrued interest, net of unearned interest</w:t>
            </w:r>
          </w:p>
        </w:tc>
        <w:tc>
          <w:tcPr>
            <w:tcW w:w="1200" w:type="dxa"/>
            <w:vAlign w:val="bottom"/>
            <w:shd w:val="clear" w:color="auto" w:fill="EEEEEE"/>
          </w:tcPr>
          <w:p>
            <w:pPr>
              <w:jc w:val="right"/>
              <w:ind w:right="103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84"/>
              </w:rPr>
              <w:t>9,122</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Less: Fair value adjustment</w:t>
            </w:r>
          </w:p>
        </w:tc>
        <w:tc>
          <w:tcPr>
            <w:tcW w:w="1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Finance receivables measured at fair value</w:t>
            </w:r>
          </w:p>
        </w:tc>
        <w:tc>
          <w:tcPr>
            <w:tcW w:w="1200" w:type="dxa"/>
            <w:vAlign w:val="bottom"/>
            <w:tcBorders>
              <w:top w:val="single" w:sz="8" w:color="auto"/>
              <w:bottom w:val="single" w:sz="8" w:color="auto"/>
            </w:tcBorders>
            <w:shd w:val="clear" w:color="auto" w:fill="EEEEEE"/>
          </w:tcPr>
          <w:p>
            <w:pPr>
              <w:jc w:val="right"/>
              <w:ind w:right="103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4"/>
              </w:rPr>
              <w:t>9,058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summarizes the delinquency status of finance receivables measured at fair value as of March 31, 2014 and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5420" w:type="dxa"/>
            <w:vAlign w:val="bottom"/>
            <w:gridSpan w:val="2"/>
          </w:tcPr>
          <w:p>
            <w:pPr>
              <w:jc w:val="right"/>
              <w:ind w:right="137"/>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5"/>
          </w:tcPr>
          <w:p>
            <w:pPr>
              <w:jc w:val="right"/>
              <w:ind w:right="1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Delinquency Status</w:t>
            </w:r>
          </w:p>
        </w:tc>
        <w:tc>
          <w:tcPr>
            <w:tcW w:w="4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Arial" w:cs="Arial" w:eastAsia="Arial" w:hAnsi="Arial"/>
                <w:sz w:val="18"/>
                <w:szCs w:val="18"/>
                <w:color w:val="auto"/>
              </w:rPr>
              <w:t>Current</w:t>
            </w:r>
          </w:p>
        </w:tc>
        <w:tc>
          <w:tcPr>
            <w:tcW w:w="5420" w:type="dxa"/>
            <w:vAlign w:val="bottom"/>
            <w:gridSpan w:val="2"/>
          </w:tcPr>
          <w:p>
            <w:pPr>
              <w:jc w:val="right"/>
              <w:ind w:right="103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8,343</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13,421</w:t>
            </w:r>
          </w:p>
        </w:tc>
        <w:tc>
          <w:tcPr>
            <w:tcW w:w="0" w:type="dxa"/>
            <w:vAlign w:val="bottom"/>
          </w:tcPr>
          <w:p>
            <w:pPr>
              <w:spacing w:after="0"/>
              <w:rPr>
                <w:sz w:val="1"/>
                <w:szCs w:val="1"/>
                <w:color w:val="auto"/>
              </w:rPr>
            </w:pPr>
          </w:p>
        </w:tc>
      </w:tr>
      <w:tr>
        <w:trPr>
          <w:trHeight w:val="216"/>
        </w:trPr>
        <w:tc>
          <w:tcPr>
            <w:tcW w:w="35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31-60 days</w:t>
            </w:r>
          </w:p>
        </w:tc>
        <w:tc>
          <w:tcPr>
            <w:tcW w:w="422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Arial" w:cs="Arial" w:eastAsia="Arial" w:hAnsi="Arial"/>
                <w:sz w:val="18"/>
                <w:szCs w:val="18"/>
                <w:color w:val="auto"/>
              </w:rPr>
              <w:t>61-90 days</w:t>
            </w:r>
          </w:p>
        </w:tc>
        <w:tc>
          <w:tcPr>
            <w:tcW w:w="4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35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91+ days</w:t>
            </w:r>
          </w:p>
        </w:tc>
        <w:tc>
          <w:tcPr>
            <w:tcW w:w="4220" w:type="dxa"/>
            <w:vAlign w:val="bottom"/>
            <w:shd w:val="clear" w:color="auto" w:fill="EEEEEE"/>
          </w:tcPr>
          <w:p>
            <w:pPr>
              <w:spacing w:after="0"/>
              <w:rPr>
                <w:sz w:val="19"/>
                <w:szCs w:val="19"/>
                <w:color w:val="auto"/>
              </w:rPr>
            </w:pPr>
          </w:p>
        </w:tc>
        <w:tc>
          <w:tcPr>
            <w:tcW w:w="1200" w:type="dxa"/>
            <w:vAlign w:val="bottom"/>
            <w:shd w:val="clear" w:color="auto" w:fill="EEEEEE"/>
          </w:tcPr>
          <w:p>
            <w:pPr>
              <w:spacing w:after="0"/>
              <w:rPr>
                <w:sz w:val="19"/>
                <w:szCs w:val="19"/>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3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9,122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220" w:type="dxa"/>
            <w:vAlign w:val="bottom"/>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type w:val="continuous"/>
        </w:sectPr>
      </w:pPr>
    </w:p>
    <w:bookmarkStart w:id="11" w:name="page12"/>
    <w:bookmarkEnd w:id="11"/>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We have completed a number of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Receivables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Scheduled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Pledged at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Rate at</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2300" w:type="dxa"/>
            <w:vAlign w:val="bottom"/>
            <w:gridSpan w:val="2"/>
          </w:tcPr>
          <w:p>
            <w:pPr>
              <w:ind w:left="820"/>
              <w:spacing w:after="0"/>
              <w:rPr>
                <w:sz w:val="20"/>
                <w:szCs w:val="20"/>
                <w:color w:val="auto"/>
              </w:rPr>
            </w:pPr>
            <w:r>
              <w:rPr>
                <w:rFonts w:ascii="Arial" w:cs="Arial" w:eastAsia="Arial" w:hAnsi="Arial"/>
                <w:sz w:val="18"/>
                <w:szCs w:val="18"/>
                <w:b w:val="1"/>
                <w:bCs w:val="1"/>
                <w:color w:val="auto"/>
              </w:rPr>
              <w:t>Series</w:t>
            </w: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Date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2014 (2)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Principal</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Page Five Funding</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January 2018</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9,127</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46,058</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9,358</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2011-A</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April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104,546</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24,526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2011-B</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2018</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38,515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111,046</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38,278</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44,433</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2011-C</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March 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48,755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119,400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48,834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56,271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2012-A</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2019</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57,195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56,734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65,051</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2012-B</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September 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76,341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141,500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76,882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86,254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2012-C</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2019</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82,919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147,000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83,241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93,006</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2012-D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March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99,059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99,670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108,815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2013-A</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138,365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185,000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133,058</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142,842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2013-B</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September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164,325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155,259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172,499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2013-C</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2020</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181,314</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205,000</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177,367</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191,504</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CPS 2013-D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March 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173,351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183,000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170,667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183,000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 (3)</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2021</w:t>
            </w: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109,910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1,202,811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1,942,550</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1,247,380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1,177,559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2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54"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$365.6 million in 2014, $407.5 million in 2015, $263.6 million in 2016, $145.6 million in 2017, $58.3 million in 2018 and $6.8 million in 2019.</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$68.8 million of receivables were pledged to CPS 2014-A in April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162"/>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March 31, 2014, we were in compliance with all such covenants.</w:t>
      </w:r>
    </w:p>
    <w:p>
      <w:pPr>
        <w:spacing w:after="0" w:line="188"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2014, restricted cash under the various agreements totaled approximately $147.6 million, of which $68.8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and amounts of our other debt outstanding at March 31, 2014 and December 31, 2013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5"/>
          </w:tcPr>
          <w:p>
            <w:pPr>
              <w:ind w:left="64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2"/>
          </w:tcPr>
          <w:p>
            <w:pPr>
              <w:jc w:val="right"/>
              <w:ind w:right="760"/>
              <w:spacing w:after="0" w:line="205" w:lineRule="exact"/>
              <w:rPr>
                <w:sz w:val="20"/>
                <w:szCs w:val="20"/>
                <w:color w:val="auto"/>
              </w:rPr>
            </w:pPr>
            <w:r>
              <w:rPr>
                <w:rFonts w:ascii="Arial" w:cs="Arial" w:eastAsia="Arial" w:hAnsi="Arial"/>
                <w:sz w:val="18"/>
                <w:szCs w:val="18"/>
                <w:b w:val="1"/>
                <w:bCs w:val="1"/>
                <w:color w:val="auto"/>
              </w:rPr>
              <w:t>March 31,</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w w:val="97"/>
              </w:rPr>
              <w:t>December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Description</w:t>
            </w:r>
          </w:p>
        </w:tc>
        <w:tc>
          <w:tcPr>
            <w:tcW w:w="2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Interest Rate</w:t>
            </w:r>
          </w:p>
        </w:tc>
        <w:tc>
          <w:tcPr>
            <w:tcW w:w="3340" w:type="dxa"/>
            <w:vAlign w:val="bottom"/>
            <w:gridSpan w:val="4"/>
            <w:vMerge w:val="restart"/>
          </w:tcPr>
          <w:p>
            <w:pPr>
              <w:jc w:val="center"/>
              <w:ind w:right="245"/>
              <w:spacing w:after="0"/>
              <w:rPr>
                <w:sz w:val="20"/>
                <w:szCs w:val="20"/>
                <w:color w:val="auto"/>
              </w:rPr>
            </w:pPr>
            <w:r>
              <w:rPr>
                <w:rFonts w:ascii="Arial" w:cs="Arial" w:eastAsia="Arial" w:hAnsi="Arial"/>
                <w:sz w:val="18"/>
                <w:szCs w:val="18"/>
                <w:color w:val="auto"/>
                <w:w w:val="96"/>
              </w:rPr>
              <w:t>Maturity</w:t>
            </w: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360" w:type="dxa"/>
            <w:vAlign w:val="bottom"/>
            <w:gridSpan w:val="3"/>
            <w:vMerge w:val="continue"/>
          </w:tcPr>
          <w:p>
            <w:pPr>
              <w:spacing w:after="0"/>
              <w:rPr>
                <w:sz w:val="13"/>
                <w:szCs w:val="13"/>
                <w:color w:val="auto"/>
              </w:rPr>
            </w:pPr>
          </w:p>
        </w:tc>
        <w:tc>
          <w:tcPr>
            <w:tcW w:w="3340" w:type="dxa"/>
            <w:vAlign w:val="bottom"/>
            <w:gridSpan w:val="4"/>
            <w:vMerge w:val="continue"/>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3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5.73% over one month</w:t>
            </w:r>
          </w:p>
        </w:tc>
        <w:tc>
          <w:tcPr>
            <w:tcW w:w="3340" w:type="dxa"/>
            <w:vAlign w:val="bottom"/>
            <w:gridSpan w:val="4"/>
            <w:shd w:val="clear" w:color="auto" w:fill="EEEEEE"/>
          </w:tcPr>
          <w:p>
            <w:pPr>
              <w:jc w:val="center"/>
              <w:ind w:right="225"/>
              <w:spacing w:after="0" w:line="201" w:lineRule="exact"/>
              <w:rPr>
                <w:sz w:val="20"/>
                <w:szCs w:val="20"/>
                <w:color w:val="auto"/>
              </w:rPr>
            </w:pPr>
            <w:r>
              <w:rPr>
                <w:rFonts w:ascii="Arial" w:cs="Arial" w:eastAsia="Arial" w:hAnsi="Arial"/>
                <w:sz w:val="18"/>
                <w:szCs w:val="18"/>
                <w:color w:val="auto"/>
                <w:w w:val="92"/>
              </w:rPr>
              <w:t>March 2017</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36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6"/>
              </w:rPr>
              <w:t>Libor (Minimum 6.73%)</w:t>
            </w:r>
          </w:p>
        </w:tc>
        <w:tc>
          <w:tcPr>
            <w:tcW w:w="3340" w:type="dxa"/>
            <w:vAlign w:val="bottom"/>
            <w:gridSpan w:val="4"/>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25,737</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9,452</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3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6.00% over one month</w:t>
            </w:r>
          </w:p>
        </w:tc>
        <w:tc>
          <w:tcPr>
            <w:tcW w:w="3340" w:type="dxa"/>
            <w:vAlign w:val="bottom"/>
            <w:gridSpan w:val="4"/>
            <w:shd w:val="clear" w:color="auto" w:fill="EEEEEE"/>
          </w:tcPr>
          <w:p>
            <w:pPr>
              <w:jc w:val="center"/>
              <w:ind w:right="245"/>
              <w:spacing w:after="0" w:line="201" w:lineRule="exact"/>
              <w:rPr>
                <w:sz w:val="20"/>
                <w:szCs w:val="20"/>
                <w:color w:val="auto"/>
              </w:rPr>
            </w:pPr>
            <w:r>
              <w:rPr>
                <w:rFonts w:ascii="Arial" w:cs="Arial" w:eastAsia="Arial" w:hAnsi="Arial"/>
                <w:sz w:val="18"/>
                <w:szCs w:val="18"/>
                <w:color w:val="auto"/>
                <w:w w:val="87"/>
              </w:rPr>
              <w:t>June 2016</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36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6"/>
              </w:rPr>
              <w:t>Libor (Minimum 6.75%)</w:t>
            </w:r>
          </w:p>
        </w:tc>
        <w:tc>
          <w:tcPr>
            <w:tcW w:w="12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15,790</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Residual interest financing</w:t>
            </w:r>
          </w:p>
        </w:tc>
        <w:tc>
          <w:tcPr>
            <w:tcW w:w="23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11.75% over one month</w:t>
            </w:r>
          </w:p>
        </w:tc>
        <w:tc>
          <w:tcPr>
            <w:tcW w:w="3340" w:type="dxa"/>
            <w:vAlign w:val="bottom"/>
            <w:gridSpan w:val="4"/>
            <w:shd w:val="clear" w:color="auto" w:fill="EEEEEE"/>
          </w:tcPr>
          <w:p>
            <w:pPr>
              <w:jc w:val="center"/>
              <w:ind w:right="245"/>
              <w:spacing w:after="0" w:line="201" w:lineRule="exact"/>
              <w:rPr>
                <w:sz w:val="20"/>
                <w:szCs w:val="20"/>
                <w:color w:val="auto"/>
              </w:rPr>
            </w:pPr>
            <w:r>
              <w:rPr>
                <w:rFonts w:ascii="Arial" w:cs="Arial" w:eastAsia="Arial" w:hAnsi="Arial"/>
                <w:sz w:val="18"/>
                <w:szCs w:val="18"/>
                <w:color w:val="auto"/>
                <w:w w:val="96"/>
              </w:rPr>
              <w:t>April 2018</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center"/>
              <w:ind w:right="700"/>
              <w:spacing w:after="0"/>
              <w:rPr>
                <w:sz w:val="20"/>
                <w:szCs w:val="20"/>
                <w:color w:val="auto"/>
              </w:rPr>
            </w:pPr>
            <w:r>
              <w:rPr>
                <w:rFonts w:ascii="Arial" w:cs="Arial" w:eastAsia="Arial" w:hAnsi="Arial"/>
                <w:sz w:val="18"/>
                <w:szCs w:val="18"/>
                <w:color w:val="auto"/>
                <w:w w:val="99"/>
              </w:rPr>
              <w:t>Libor</w:t>
            </w:r>
          </w:p>
        </w:tc>
        <w:tc>
          <w:tcPr>
            <w:tcW w:w="12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15,582</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6"/>
              </w:rPr>
              <w:t>Debt secured by receivables</w:t>
            </w:r>
          </w:p>
        </w:tc>
        <w:tc>
          <w:tcPr>
            <w:tcW w:w="74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center"/>
              <w:ind w:right="720"/>
              <w:spacing w:after="0" w:line="201" w:lineRule="exact"/>
              <w:rPr>
                <w:sz w:val="20"/>
                <w:szCs w:val="20"/>
                <w:color w:val="auto"/>
              </w:rPr>
            </w:pPr>
            <w:r>
              <w:rPr>
                <w:rFonts w:ascii="Arial" w:cs="Arial" w:eastAsia="Arial" w:hAnsi="Arial"/>
                <w:sz w:val="18"/>
                <w:szCs w:val="18"/>
                <w:color w:val="auto"/>
                <w:w w:val="87"/>
              </w:rPr>
              <w:t>n/a</w:t>
            </w:r>
          </w:p>
        </w:tc>
        <w:tc>
          <w:tcPr>
            <w:tcW w:w="3340" w:type="dxa"/>
            <w:vAlign w:val="bottom"/>
            <w:gridSpan w:val="4"/>
            <w:shd w:val="clear" w:color="auto" w:fill="EEEEEE"/>
          </w:tcPr>
          <w:p>
            <w:pPr>
              <w:jc w:val="center"/>
              <w:ind w:right="225"/>
              <w:spacing w:after="0" w:line="201" w:lineRule="exact"/>
              <w:rPr>
                <w:sz w:val="20"/>
                <w:szCs w:val="20"/>
                <w:color w:val="auto"/>
              </w:rPr>
            </w:pPr>
            <w:r>
              <w:rPr>
                <w:rFonts w:ascii="Arial" w:cs="Arial" w:eastAsia="Arial" w:hAnsi="Arial"/>
                <w:sz w:val="18"/>
                <w:szCs w:val="18"/>
                <w:color w:val="auto"/>
                <w:w w:val="88"/>
              </w:rPr>
              <w:t>Repayment is based on payments</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7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340" w:type="dxa"/>
            <w:vAlign w:val="bottom"/>
            <w:gridSpan w:val="4"/>
            <w:shd w:val="clear" w:color="auto" w:fill="EEEEEE"/>
          </w:tcPr>
          <w:p>
            <w:pPr>
              <w:jc w:val="center"/>
              <w:ind w:right="245"/>
              <w:spacing w:after="0"/>
              <w:rPr>
                <w:sz w:val="20"/>
                <w:szCs w:val="20"/>
                <w:color w:val="auto"/>
              </w:rPr>
            </w:pPr>
            <w:r>
              <w:rPr>
                <w:rFonts w:ascii="Arial" w:cs="Arial" w:eastAsia="Arial" w:hAnsi="Arial"/>
                <w:sz w:val="18"/>
                <w:szCs w:val="18"/>
                <w:color w:val="auto"/>
                <w:w w:val="92"/>
              </w:rPr>
              <w:t>from underlying receivables. Final</w:t>
            </w:r>
          </w:p>
        </w:tc>
        <w:tc>
          <w:tcPr>
            <w:tcW w:w="1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340" w:type="dxa"/>
            <w:vAlign w:val="bottom"/>
            <w:gridSpan w:val="4"/>
            <w:shd w:val="clear" w:color="auto" w:fill="EEEEEE"/>
          </w:tcPr>
          <w:p>
            <w:pPr>
              <w:jc w:val="center"/>
              <w:ind w:right="245"/>
              <w:spacing w:after="0"/>
              <w:rPr>
                <w:sz w:val="20"/>
                <w:szCs w:val="20"/>
                <w:color w:val="auto"/>
              </w:rPr>
            </w:pPr>
            <w:r>
              <w:rPr>
                <w:rFonts w:ascii="Arial" w:cs="Arial" w:eastAsia="Arial" w:hAnsi="Arial"/>
                <w:sz w:val="18"/>
                <w:szCs w:val="18"/>
                <w:color w:val="auto"/>
                <w:w w:val="89"/>
              </w:rPr>
              <w:t>payment of the 8.00% loan was made</w:t>
            </w:r>
          </w:p>
        </w:tc>
        <w:tc>
          <w:tcPr>
            <w:tcW w:w="1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340" w:type="dxa"/>
            <w:vAlign w:val="bottom"/>
            <w:gridSpan w:val="4"/>
            <w:shd w:val="clear" w:color="auto" w:fill="EEEEEE"/>
          </w:tcPr>
          <w:p>
            <w:pPr>
              <w:jc w:val="center"/>
              <w:ind w:right="245"/>
              <w:spacing w:after="0"/>
              <w:rPr>
                <w:sz w:val="20"/>
                <w:szCs w:val="20"/>
                <w:color w:val="auto"/>
              </w:rPr>
            </w:pPr>
            <w:r>
              <w:rPr>
                <w:rFonts w:ascii="Arial" w:cs="Arial" w:eastAsia="Arial" w:hAnsi="Arial"/>
                <w:sz w:val="18"/>
                <w:szCs w:val="18"/>
                <w:color w:val="auto"/>
                <w:w w:val="90"/>
              </w:rPr>
              <w:t>in September 2013, with residual</w:t>
            </w:r>
          </w:p>
        </w:tc>
        <w:tc>
          <w:tcPr>
            <w:tcW w:w="1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340" w:type="dxa"/>
            <w:vAlign w:val="bottom"/>
            <w:gridSpan w:val="4"/>
            <w:shd w:val="clear" w:color="auto" w:fill="EEEEEE"/>
          </w:tcPr>
          <w:p>
            <w:pPr>
              <w:jc w:val="center"/>
              <w:ind w:right="245"/>
              <w:spacing w:after="0"/>
              <w:rPr>
                <w:sz w:val="20"/>
                <w:szCs w:val="20"/>
                <w:color w:val="auto"/>
              </w:rPr>
            </w:pPr>
            <w:r>
              <w:rPr>
                <w:rFonts w:ascii="Arial" w:cs="Arial" w:eastAsia="Arial" w:hAnsi="Arial"/>
                <w:sz w:val="18"/>
                <w:szCs w:val="18"/>
                <w:color w:val="auto"/>
                <w:w w:val="90"/>
              </w:rPr>
              <w:t>payments extending through 2016</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8,576</w:t>
            </w:r>
          </w:p>
        </w:tc>
        <w:tc>
          <w:tcPr>
            <w:tcW w:w="180" w:type="dxa"/>
            <w:vAlign w:val="bottom"/>
            <w:shd w:val="clear" w:color="auto" w:fill="EEEEEE"/>
          </w:tcPr>
          <w:p>
            <w:pPr>
              <w:spacing w:after="0"/>
              <w:rPr>
                <w:sz w:val="20"/>
                <w:szCs w:val="20"/>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7"/>
              </w:rPr>
              <w:t>Senior secured debt, related</w:t>
            </w:r>
          </w:p>
        </w:tc>
        <w:tc>
          <w:tcPr>
            <w:tcW w:w="1660" w:type="dxa"/>
            <w:vAlign w:val="bottom"/>
            <w:gridSpan w:val="2"/>
            <w:shd w:val="clear" w:color="auto" w:fill="EEEEEE"/>
          </w:tcPr>
          <w:p>
            <w:pPr>
              <w:jc w:val="right"/>
              <w:ind w:right="90"/>
              <w:spacing w:after="0" w:line="201" w:lineRule="exact"/>
              <w:rPr>
                <w:sz w:val="20"/>
                <w:szCs w:val="20"/>
                <w:color w:val="auto"/>
              </w:rPr>
            </w:pPr>
            <w:r>
              <w:rPr>
                <w:rFonts w:ascii="Arial" w:cs="Arial" w:eastAsia="Arial" w:hAnsi="Arial"/>
                <w:sz w:val="18"/>
                <w:szCs w:val="18"/>
                <w:color w:val="auto"/>
              </w:rPr>
              <w:t>13.00%</w:t>
            </w:r>
          </w:p>
        </w:tc>
        <w:tc>
          <w:tcPr>
            <w:tcW w:w="70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140" w:type="dxa"/>
            <w:vAlign w:val="bottom"/>
            <w:gridSpan w:val="3"/>
            <w:shd w:val="clear" w:color="auto" w:fill="EEEEEE"/>
          </w:tcPr>
          <w:p>
            <w:pPr>
              <w:jc w:val="center"/>
              <w:ind w:right="1445"/>
              <w:spacing w:after="0" w:line="201" w:lineRule="exact"/>
              <w:rPr>
                <w:sz w:val="20"/>
                <w:szCs w:val="20"/>
                <w:color w:val="auto"/>
              </w:rPr>
            </w:pPr>
            <w:r>
              <w:rPr>
                <w:rFonts w:ascii="Arial" w:cs="Arial" w:eastAsia="Arial" w:hAnsi="Arial"/>
                <w:sz w:val="18"/>
                <w:szCs w:val="18"/>
                <w:color w:val="auto"/>
                <w:w w:val="87"/>
              </w:rPr>
              <w:t>n/a</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party</w:t>
            </w:r>
          </w:p>
        </w:tc>
        <w:tc>
          <w:tcPr>
            <w:tcW w:w="74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5.00%</w:t>
            </w:r>
          </w:p>
        </w:tc>
        <w:tc>
          <w:tcPr>
            <w:tcW w:w="7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140" w:type="dxa"/>
            <w:vAlign w:val="bottom"/>
            <w:gridSpan w:val="3"/>
            <w:shd w:val="clear" w:color="auto" w:fill="EEEEEE"/>
          </w:tcPr>
          <w:p>
            <w:pPr>
              <w:jc w:val="center"/>
              <w:ind w:right="1445"/>
              <w:spacing w:after="0"/>
              <w:rPr>
                <w:sz w:val="20"/>
                <w:szCs w:val="20"/>
                <w:color w:val="auto"/>
              </w:rPr>
            </w:pPr>
            <w:r>
              <w:rPr>
                <w:rFonts w:ascii="Arial" w:cs="Arial" w:eastAsia="Arial" w:hAnsi="Arial"/>
                <w:sz w:val="18"/>
                <w:szCs w:val="18"/>
                <w:color w:val="auto"/>
                <w:w w:val="87"/>
              </w:rPr>
              <w:t>n/a</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w:t>
            </w:r>
          </w:p>
        </w:tc>
        <w:tc>
          <w:tcPr>
            <w:tcW w:w="236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Weighted average rate of</w:t>
            </w:r>
          </w:p>
        </w:tc>
        <w:tc>
          <w:tcPr>
            <w:tcW w:w="3340" w:type="dxa"/>
            <w:vAlign w:val="bottom"/>
            <w:gridSpan w:val="4"/>
            <w:shd w:val="clear" w:color="auto" w:fill="EEEEEE"/>
          </w:tcPr>
          <w:p>
            <w:pPr>
              <w:jc w:val="center"/>
              <w:ind w:right="245"/>
              <w:spacing w:after="0" w:line="201" w:lineRule="exact"/>
              <w:rPr>
                <w:sz w:val="20"/>
                <w:szCs w:val="20"/>
                <w:color w:val="auto"/>
              </w:rPr>
            </w:pPr>
            <w:r>
              <w:rPr>
                <w:rFonts w:ascii="Arial" w:cs="Arial" w:eastAsia="Arial" w:hAnsi="Arial"/>
                <w:sz w:val="18"/>
                <w:szCs w:val="18"/>
                <w:color w:val="auto"/>
                <w:w w:val="91"/>
              </w:rPr>
              <w:t>Weighted average maturity of</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notes</w:t>
            </w:r>
          </w:p>
        </w:tc>
        <w:tc>
          <w:tcPr>
            <w:tcW w:w="236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1"/>
              </w:rPr>
              <w:t>12.3% and 12.5% at March</w:t>
            </w:r>
          </w:p>
        </w:tc>
        <w:tc>
          <w:tcPr>
            <w:tcW w:w="3340" w:type="dxa"/>
            <w:vAlign w:val="bottom"/>
            <w:gridSpan w:val="4"/>
            <w:shd w:val="clear" w:color="auto" w:fill="EEEEEE"/>
          </w:tcPr>
          <w:p>
            <w:pPr>
              <w:jc w:val="center"/>
              <w:ind w:right="225"/>
              <w:spacing w:after="0"/>
              <w:rPr>
                <w:sz w:val="20"/>
                <w:szCs w:val="20"/>
                <w:color w:val="auto"/>
              </w:rPr>
            </w:pPr>
            <w:r>
              <w:rPr>
                <w:rFonts w:ascii="Arial" w:cs="Arial" w:eastAsia="Arial" w:hAnsi="Arial"/>
                <w:sz w:val="18"/>
                <w:szCs w:val="18"/>
                <w:color w:val="auto"/>
                <w:w w:val="88"/>
              </w:rPr>
              <w:t>September 2015 and July 2015 at</w:t>
            </w:r>
          </w:p>
        </w:tc>
        <w:tc>
          <w:tcPr>
            <w:tcW w:w="1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36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8"/>
              </w:rPr>
              <w:t>31, 2014 and December 31,</w:t>
            </w:r>
          </w:p>
        </w:tc>
        <w:tc>
          <w:tcPr>
            <w:tcW w:w="3340" w:type="dxa"/>
            <w:vAlign w:val="bottom"/>
            <w:gridSpan w:val="4"/>
            <w:shd w:val="clear" w:color="auto" w:fill="EEEEEE"/>
          </w:tcPr>
          <w:p>
            <w:pPr>
              <w:jc w:val="center"/>
              <w:ind w:right="245"/>
              <w:spacing w:after="0"/>
              <w:rPr>
                <w:sz w:val="20"/>
                <w:szCs w:val="20"/>
                <w:color w:val="auto"/>
              </w:rPr>
            </w:pPr>
            <w:r>
              <w:rPr>
                <w:rFonts w:ascii="Arial" w:cs="Arial" w:eastAsia="Arial" w:hAnsi="Arial"/>
                <w:sz w:val="18"/>
                <w:szCs w:val="18"/>
                <w:color w:val="auto"/>
                <w:w w:val="89"/>
              </w:rPr>
              <w:t>March 31, 2014 and December 31,</w:t>
            </w:r>
          </w:p>
        </w:tc>
        <w:tc>
          <w:tcPr>
            <w:tcW w:w="1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36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0"/>
              </w:rPr>
              <w:t>2013, respectively</w:t>
            </w:r>
          </w:p>
        </w:tc>
        <w:tc>
          <w:tcPr>
            <w:tcW w:w="3340" w:type="dxa"/>
            <w:vAlign w:val="bottom"/>
            <w:gridSpan w:val="4"/>
            <w:shd w:val="clear" w:color="auto" w:fill="EEEEEE"/>
          </w:tcPr>
          <w:p>
            <w:pPr>
              <w:jc w:val="center"/>
              <w:ind w:right="225"/>
              <w:spacing w:after="0"/>
              <w:rPr>
                <w:sz w:val="20"/>
                <w:szCs w:val="20"/>
                <w:color w:val="auto"/>
              </w:rPr>
            </w:pPr>
            <w:r>
              <w:rPr>
                <w:rFonts w:ascii="Arial" w:cs="Arial" w:eastAsia="Arial" w:hAnsi="Arial"/>
                <w:sz w:val="18"/>
                <w:szCs w:val="18"/>
                <w:color w:val="auto"/>
                <w:w w:val="90"/>
              </w:rPr>
              <w:t>2013, respectively</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18,585</w:t>
            </w:r>
          </w:p>
        </w:tc>
        <w:tc>
          <w:tcPr>
            <w:tcW w:w="18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760" w:type="dxa"/>
            <w:vAlign w:val="bottom"/>
            <w:tcBorders>
              <w:bottom w:val="single" w:sz="8" w:color="EEEEEE"/>
            </w:tcBorders>
          </w:tcPr>
          <w:p>
            <w:pPr>
              <w:spacing w:after="0"/>
              <w:rPr>
                <w:sz w:val="19"/>
                <w:szCs w:val="19"/>
                <w:color w:val="auto"/>
              </w:rPr>
            </w:pPr>
          </w:p>
        </w:tc>
        <w:tc>
          <w:tcPr>
            <w:tcW w:w="74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700" w:type="dxa"/>
            <w:vAlign w:val="bottom"/>
            <w:tcBorders>
              <w:bottom w:val="single" w:sz="8" w:color="EEEEEE"/>
            </w:tcBorders>
          </w:tcPr>
          <w:p>
            <w:pPr>
              <w:spacing w:after="0"/>
              <w:rPr>
                <w:sz w:val="19"/>
                <w:szCs w:val="19"/>
                <w:color w:val="auto"/>
              </w:rPr>
            </w:pPr>
          </w:p>
        </w:tc>
        <w:tc>
          <w:tcPr>
            <w:tcW w:w="120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128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760" w:type="dxa"/>
            <w:vAlign w:val="bottom"/>
            <w:tcBorders>
              <w:bottom w:val="single" w:sz="8" w:color="EEEEEE"/>
            </w:tcBorders>
            <w:shd w:val="clear" w:color="auto" w:fill="EEEEEE"/>
          </w:tcPr>
          <w:p>
            <w:pPr>
              <w:spacing w:after="0"/>
              <w:rPr>
                <w:sz w:val="19"/>
                <w:szCs w:val="19"/>
                <w:color w:val="auto"/>
              </w:rPr>
            </w:pPr>
          </w:p>
        </w:tc>
        <w:tc>
          <w:tcPr>
            <w:tcW w:w="74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EEEEEE"/>
            </w:tcBorders>
            <w:shd w:val="clear" w:color="auto" w:fill="EEEEEE"/>
          </w:tcPr>
          <w:p>
            <w:pPr>
              <w:spacing w:after="0"/>
              <w:rPr>
                <w:sz w:val="19"/>
                <w:szCs w:val="19"/>
                <w:color w:val="auto"/>
              </w:rPr>
            </w:pPr>
          </w:p>
        </w:tc>
        <w:tc>
          <w:tcPr>
            <w:tcW w:w="1200" w:type="dxa"/>
            <w:vAlign w:val="bottom"/>
            <w:tcBorders>
              <w:bottom w:val="single" w:sz="8" w:color="EEEEEE"/>
            </w:tcBorders>
            <w:shd w:val="clear" w:color="auto" w:fill="EEEEEE"/>
          </w:tcPr>
          <w:p>
            <w:pPr>
              <w:spacing w:after="0"/>
              <w:rPr>
                <w:sz w:val="19"/>
                <w:szCs w:val="19"/>
                <w:color w:val="auto"/>
              </w:rPr>
            </w:pPr>
          </w:p>
        </w:tc>
        <w:tc>
          <w:tcPr>
            <w:tcW w:w="620" w:type="dxa"/>
            <w:vAlign w:val="bottom"/>
            <w:tcBorders>
              <w:bottom w:val="single" w:sz="8" w:color="EEEEEE"/>
            </w:tcBorders>
            <w:shd w:val="clear" w:color="auto" w:fill="EEEEEE"/>
          </w:tcPr>
          <w:p>
            <w:pPr>
              <w:spacing w:after="0"/>
              <w:rPr>
                <w:sz w:val="19"/>
                <w:szCs w:val="19"/>
                <w:color w:val="auto"/>
              </w:rPr>
            </w:pPr>
          </w:p>
        </w:tc>
        <w:tc>
          <w:tcPr>
            <w:tcW w:w="12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84,270</w:t>
            </w:r>
          </w:p>
        </w:tc>
        <w:tc>
          <w:tcPr>
            <w:tcW w:w="34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99,366</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and March 2014 we prepaid, without penalty, $10 million and $28.4 million, respectively, of senior secured debt, related party. The debt was scheduled to mature in June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28"/>
        </w:trPr>
        <w:tc>
          <w:tcPr>
            <w:tcW w:w="360" w:type="dxa"/>
            <w:vAlign w:val="bottom"/>
          </w:tcPr>
          <w:p>
            <w:pPr>
              <w:spacing w:after="0"/>
              <w:rPr>
                <w:sz w:val="19"/>
                <w:szCs w:val="19"/>
                <w:color w:val="auto"/>
              </w:rPr>
            </w:pPr>
          </w:p>
        </w:tc>
        <w:tc>
          <w:tcPr>
            <w:tcW w:w="20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9"/>
                <w:szCs w:val="19"/>
                <w:color w:val="auto"/>
              </w:rPr>
            </w:pPr>
          </w:p>
        </w:tc>
      </w:tr>
      <w:tr>
        <w:trPr>
          <w:trHeight w:val="40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64,882</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51,159</w:t>
            </w: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060" w:space="720"/>
            <w:col w:w="3640"/>
          </w:cols>
          <w:pgMar w:left="240" w:top="881" w:right="239" w:bottom="1440" w:gutter="0" w:footer="0" w:header="0"/>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980" w:type="dxa"/>
            <w:vAlign w:val="bottom"/>
            <w:gridSpan w:val="5"/>
          </w:tcPr>
          <w:p>
            <w:pPr>
              <w:jc w:val="center"/>
              <w:ind w:left="457"/>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25"/>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40" w:type="dxa"/>
            <w:vAlign w:val="bottom"/>
            <w:gridSpan w:val="4"/>
          </w:tcPr>
          <w:p>
            <w:pPr>
              <w:jc w:val="center"/>
              <w:ind w:right="42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9,316</w:t>
            </w:r>
          </w:p>
        </w:tc>
        <w:tc>
          <w:tcPr>
            <w:tcW w:w="1200" w:type="dxa"/>
            <w:vAlign w:val="bottom"/>
            <w:gridSpan w:val="2"/>
            <w:shd w:val="clear" w:color="auto" w:fill="EEEEEE"/>
          </w:tcPr>
          <w:p>
            <w:pPr>
              <w:jc w:val="right"/>
              <w:ind w:right="8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13,381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16,346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Earnings per share for the three-month periods ended March 31, 2014 and 2013 were calculated using the weighted average number of shares outstanding for the related period. The following table reconciles the number of shares used in the computations of basic and diluted earnings per share for the three-month periods ended March 31, 2014 and 2013:</w:t>
      </w:r>
    </w:p>
    <w:p>
      <w:pPr>
        <w:sectPr>
          <w:pgSz w:w="11900" w:h="16838" w:orient="portrait"/>
          <w:cols w:equalWidth="0" w:num="1">
            <w:col w:w="11420"/>
          </w:cols>
          <w:pgMar w:left="240" w:top="88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620" w:hanging="197"/>
        <w:spacing w:after="0" w:line="277"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14605</wp:posOffset>
            </wp:positionV>
            <wp:extent cx="2246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-130810</wp:posOffset>
            </wp:positionV>
            <wp:extent cx="2246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4" w:lineRule="exact"/>
        <w:rPr>
          <w:sz w:val="20"/>
          <w:szCs w:val="20"/>
          <w:color w:val="auto"/>
        </w:rPr>
      </w:pPr>
    </w:p>
    <w:p>
      <w:pPr>
        <w:jc w:val="both"/>
        <w:ind w:left="480"/>
        <w:spacing w:after="0"/>
        <w:tabs>
          <w:tab w:leader="none" w:pos="2400" w:val="left"/>
        </w:tabs>
        <w:rPr>
          <w:sz w:val="20"/>
          <w:szCs w:val="20"/>
          <w:color w:val="auto"/>
        </w:rPr>
      </w:pPr>
      <w:r>
        <w:rPr>
          <w:rFonts w:ascii="Arial" w:cs="Arial" w:eastAsia="Arial" w:hAnsi="Arial"/>
          <w:sz w:val="18"/>
          <w:szCs w:val="18"/>
          <w:color w:val="auto"/>
        </w:rPr>
        <w:t>24,355</w:t>
      </w:r>
      <w:r>
        <w:rPr>
          <w:sz w:val="20"/>
          <w:szCs w:val="20"/>
          <w:color w:val="auto"/>
        </w:rPr>
        <w:tab/>
      </w:r>
      <w:r>
        <w:rPr>
          <w:rFonts w:ascii="Arial" w:cs="Arial" w:eastAsia="Arial" w:hAnsi="Arial"/>
          <w:sz w:val="18"/>
          <w:szCs w:val="18"/>
          <w:color w:val="auto"/>
        </w:rPr>
        <w:t>20,073</w:t>
      </w:r>
    </w:p>
    <w:p>
      <w:pPr>
        <w:spacing w:after="0" w:line="239" w:lineRule="exact"/>
        <w:rPr>
          <w:sz w:val="20"/>
          <w:szCs w:val="20"/>
          <w:color w:val="auto"/>
        </w:rPr>
      </w:pPr>
    </w:p>
    <w:p>
      <w:pPr>
        <w:jc w:val="both"/>
        <w:ind w:left="580"/>
        <w:spacing w:after="0"/>
        <w:tabs>
          <w:tab w:leader="none" w:pos="2400" w:val="left"/>
        </w:tabs>
        <w:rPr>
          <w:sz w:val="20"/>
          <w:szCs w:val="20"/>
          <w:color w:val="auto"/>
        </w:rPr>
      </w:pPr>
      <w:r>
        <w:rPr>
          <w:rFonts w:ascii="Arial" w:cs="Arial" w:eastAsia="Arial" w:hAnsi="Arial"/>
          <w:sz w:val="18"/>
          <w:szCs w:val="18"/>
          <w:color w:val="auto"/>
        </w:rPr>
        <w:t>7,656</w:t>
      </w:r>
      <w:r>
        <w:rPr>
          <w:sz w:val="20"/>
          <w:szCs w:val="20"/>
          <w:color w:val="auto"/>
        </w:rPr>
        <w:tab/>
      </w:r>
      <w:r>
        <w:rPr>
          <w:rFonts w:ascii="Arial" w:cs="Arial" w:eastAsia="Arial" w:hAnsi="Arial"/>
          <w:sz w:val="18"/>
          <w:szCs w:val="18"/>
          <w:color w:val="auto"/>
        </w:rPr>
        <w:t>11,551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14605</wp:posOffset>
            </wp:positionV>
            <wp:extent cx="2246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46" w:lineRule="exact"/>
        <w:rPr>
          <w:sz w:val="20"/>
          <w:szCs w:val="20"/>
          <w:color w:val="auto"/>
        </w:rPr>
      </w:pPr>
    </w:p>
    <w:p>
      <w:pPr>
        <w:jc w:val="both"/>
        <w:ind w:left="500"/>
        <w:spacing w:after="0"/>
        <w:tabs>
          <w:tab w:leader="none" w:pos="2400" w:val="left"/>
        </w:tabs>
        <w:rPr>
          <w:sz w:val="20"/>
          <w:szCs w:val="20"/>
          <w:color w:val="auto"/>
        </w:rPr>
      </w:pPr>
      <w:r>
        <w:rPr>
          <w:rFonts w:ascii="Arial" w:cs="Arial" w:eastAsia="Arial" w:hAnsi="Arial"/>
          <w:sz w:val="18"/>
          <w:szCs w:val="18"/>
          <w:color w:val="auto"/>
        </w:rPr>
        <w:t>32,011</w:t>
      </w:r>
      <w:r>
        <w:rPr>
          <w:sz w:val="20"/>
          <w:szCs w:val="20"/>
          <w:color w:val="auto"/>
        </w:rPr>
        <w:tab/>
      </w:r>
      <w:r>
        <w:rPr>
          <w:rFonts w:ascii="Arial" w:cs="Arial" w:eastAsia="Arial" w:hAnsi="Arial"/>
          <w:sz w:val="18"/>
          <w:szCs w:val="18"/>
          <w:color w:val="auto"/>
        </w:rPr>
        <w:t>31,624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31750</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3020"/>
          </w:cols>
          <w:pgMar w:left="240" w:top="881" w:right="239" w:bottom="1440" w:gutter="0" w:footer="0" w:header="0"/>
          <w:type w:val="continuous"/>
        </w:sectPr>
      </w:pPr>
    </w:p>
    <w:p>
      <w:pPr>
        <w:spacing w:after="0" w:line="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periods ended March 31, 2014 and 2013 would have included an additional 2.5 million and 1.3 million shares, respectively, attributable to the exercise of outstanding options and warrants.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5" w:name="page16"/>
    <w:bookmarkEnd w:id="15"/>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2010.</w:t>
      </w:r>
    </w:p>
    <w:p>
      <w:pPr>
        <w:spacing w:after="0" w:line="170"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As of March 31, 2014 and December 31, 2013, we had no unrecognized tax benefites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$54.2 million as of March 31, 2014 is more likely than not based on forecasted future net earnings. Our net deferred tax asset of $54.2 million consists of approximately $42.8 million of net U.S. federal deferred tax assets and $11.4 million of net state deferred tax assets. The major components of the deferred tax asset are $46.4 million in net operating loss carryforwards and built in losses and $19.8 million in net deductions which have not yet been taken on a tax return. We estimate that we would need to generate approximately $126 million of taxable income during the applicable carryforward periods to realize fully our federal and state net deferred tax assets.</w:t>
      </w:r>
    </w:p>
    <w:p>
      <w:pPr>
        <w:spacing w:after="0" w:line="17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Income tax expense was $5.1 million for the three months ended March 31, 2014 and represents an effective income tax rate of 43.0%, compared to income tax expense of $2.7 million for the three months ended March 31, 2013, representing a 42.0% effective income tax rate.</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 Angeles</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130"/>
        <w:spacing w:after="0" w:line="272" w:lineRule="auto"/>
        <w:rPr>
          <w:sz w:val="20"/>
          <w:szCs w:val="20"/>
          <w:color w:val="auto"/>
        </w:rPr>
      </w:pPr>
      <w:r>
        <w:rPr>
          <w:rFonts w:ascii="Arial" w:cs="Arial" w:eastAsia="Arial" w:hAnsi="Arial"/>
          <w:sz w:val="17"/>
          <w:szCs w:val="17"/>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matter has been set for trial, to commence September 9, 2014. The issues remaining for trial are the extent of our obligation to indemnify Mr. Pardee.</w:t>
      </w:r>
    </w:p>
    <w:p>
      <w:pPr>
        <w:spacing w:after="0" w:line="178"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March 31, 2014 with respect to such matters, in the aggregate.</w:t>
      </w:r>
    </w:p>
    <w:p>
      <w:pPr>
        <w:spacing w:after="0" w:line="193"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On July 17, 2013, the staff of the Federal Trade Commission (“FTC”) advised us that they are prepared to recommend that the FTC initiate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us relating to allegedly unfair trade practices, and simultaneously advised that settlement of such issues by consent decree may be possible. Based on our review of the FTC’s allegations, of past practices of the FTC, of our records of our collection and servicing activities, and of other companies’ settlements with the FTC, we expect that we will reach such a settlement, and that such a settlement will require that we make restitutionary payments and that we implement procedural changes under a consent decree. There can be no assurance, however, that we will reach agreement regarding any such settlement, and we may choose to contest the allegations of the FTC. Whether we reach such an agreement or not, the cost to us of contesting or settling the matter may be material. We have recorded a liability as of March 31, 2014 with respect to this matter.</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any of the matters referenced above. We have recorded a liability as of March 31, 2014,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March 31, 2014, and in excess of the liability we have recorded, is from $0 to $1.6 million.</w:t>
      </w:r>
    </w:p>
    <w:p>
      <w:pPr>
        <w:spacing w:after="0" w:line="18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periods ended March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60" w:type="dxa"/>
            <w:vAlign w:val="bottom"/>
            <w:gridSpan w:val="5"/>
          </w:tcPr>
          <w:p>
            <w:pPr>
              <w:jc w:val="center"/>
              <w:ind w:left="37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565"/>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60" w:type="dxa"/>
            <w:vAlign w:val="bottom"/>
            <w:gridSpan w:val="4"/>
          </w:tcPr>
          <w:p>
            <w:pPr>
              <w:jc w:val="center"/>
              <w:ind w:right="56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Service cost</w:t>
            </w:r>
          </w:p>
        </w:tc>
        <w:tc>
          <w:tcPr>
            <w:tcW w:w="1100" w:type="dxa"/>
            <w:vAlign w:val="bottom"/>
          </w:tcPr>
          <w:p>
            <w:pPr>
              <w:jc w:val="right"/>
              <w:ind w:right="93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9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1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23"/>
        </w:trPr>
        <w:tc>
          <w:tcPr>
            <w:tcW w:w="778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ind w:right="9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contributed $112,000 to the Plan during the three-month period ended March 31, 2014 and we anticipate making contributions in the amount of $374,000 for the remainder of 2014.</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$445,000 as of March 31, 2014 and $854,000 as of December 31, 2013 and is classified as level 3 in the three-level valuation hierarchy. We determine the value of that residual interest using a discounted cash flow model that includes estimates for prepayments and losses. We used a discount rate of 20% per annum and a cumulative net loss rate of 15% at March 31, 2014 and December 31, 2013. The assumptions we used are based on historical performance of automobile contracts we have originated and serviced in the past, adjusted for current market conditions.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ind w:firstLine="130"/>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940" w:type="dxa"/>
            <w:vAlign w:val="bottom"/>
            <w:gridSpan w:val="5"/>
          </w:tcPr>
          <w:p>
            <w:pPr>
              <w:jc w:val="center"/>
              <w:ind w:left="500"/>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385"/>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4"/>
          </w:tcPr>
          <w:p>
            <w:pPr>
              <w:jc w:val="center"/>
              <w:ind w:right="365"/>
              <w:spacing w:after="0"/>
              <w:rPr>
                <w:sz w:val="20"/>
                <w:szCs w:val="20"/>
                <w:color w:val="auto"/>
              </w:rPr>
            </w:pPr>
            <w:r>
              <w:rPr>
                <w:rFonts w:ascii="Arial" w:cs="Arial" w:eastAsia="Arial" w:hAnsi="Arial"/>
                <w:sz w:val="18"/>
                <w:szCs w:val="18"/>
                <w:b w:val="1"/>
                <w:bCs w:val="1"/>
                <w:color w:val="auto"/>
                <w:w w:val="88"/>
              </w:rPr>
              <w:t>(in thousands)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Pr>
          <w:p>
            <w:pPr>
              <w:jc w:val="right"/>
              <w:ind w:right="8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14,476</w:t>
            </w:r>
          </w:p>
        </w:tc>
        <w:tc>
          <w:tcPr>
            <w:tcW w:w="114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(5,321)</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5"/>
              </w:rPr>
              <w:t>(16,519)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bottom w:val="single" w:sz="8" w:color="auto"/>
            </w:tcBorders>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9,058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43,021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Debt Secured by Finance Receivables Measured at Fair Value:</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40" w:type="dxa"/>
            <w:vAlign w:val="bottom"/>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13,117</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Principal payments on debt at fair value</w:t>
            </w: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(5,039)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Premium accretion</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8,576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40,387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Reduction for payments collected and payable</w:t>
            </w:r>
          </w:p>
        </w:tc>
        <w:tc>
          <w:tcPr>
            <w:tcW w:w="10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Adjusted balance at end of period</w:t>
            </w:r>
          </w:p>
        </w:tc>
        <w:tc>
          <w:tcPr>
            <w:tcW w:w="1040" w:type="dxa"/>
            <w:vAlign w:val="bottom"/>
            <w:tcBorders>
              <w:top w:val="single" w:sz="8" w:color="auto"/>
              <w:bottom w:val="single" w:sz="8" w:color="auto"/>
            </w:tcBorders>
            <w:shd w:val="clear" w:color="auto" w:fill="EEEEEE"/>
          </w:tcPr>
          <w:p>
            <w:pPr>
              <w:jc w:val="right"/>
              <w:ind w:right="8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7,177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34,700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compares the fair values of the Fireside receivables and the related secured debt to their contractual balances for the periods shown: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w w:val="95"/>
              </w:rPr>
              <w:t>March 31, 2014</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6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1"/>
              </w:rPr>
              <w:t>Contractual</w:t>
            </w:r>
          </w:p>
        </w:tc>
        <w:tc>
          <w:tcPr>
            <w:tcW w:w="1400" w:type="dxa"/>
            <w:vAlign w:val="bottom"/>
          </w:tcPr>
          <w:p>
            <w:pPr>
              <w:jc w:val="center"/>
              <w:ind w:left="710"/>
              <w:spacing w:after="0" w:line="205" w:lineRule="exact"/>
              <w:rPr>
                <w:sz w:val="20"/>
                <w:szCs w:val="20"/>
                <w:color w:val="auto"/>
              </w:rPr>
            </w:pPr>
            <w:r>
              <w:rPr>
                <w:rFonts w:ascii="Arial" w:cs="Arial" w:eastAsia="Arial" w:hAnsi="Arial"/>
                <w:sz w:val="18"/>
                <w:szCs w:val="18"/>
                <w:b w:val="1"/>
                <w:bCs w:val="1"/>
                <w:color w:val="auto"/>
                <w:w w:val="96"/>
              </w:rPr>
              <w:t>Fair</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40" w:type="dxa"/>
            <w:vAlign w:val="bottom"/>
          </w:tcPr>
          <w:p>
            <w:pPr>
              <w:jc w:val="center"/>
              <w:ind w:left="375"/>
              <w:spacing w:after="0"/>
              <w:rPr>
                <w:sz w:val="20"/>
                <w:szCs w:val="20"/>
                <w:color w:val="auto"/>
              </w:rPr>
            </w:pPr>
            <w:r>
              <w:rPr>
                <w:rFonts w:ascii="Arial" w:cs="Arial" w:eastAsia="Arial" w:hAnsi="Arial"/>
                <w:sz w:val="18"/>
                <w:szCs w:val="18"/>
                <w:b w:val="1"/>
                <w:bCs w:val="1"/>
                <w:color w:val="auto"/>
                <w:w w:val="86"/>
              </w:rPr>
              <w:t>Balance</w:t>
            </w:r>
          </w:p>
        </w:tc>
        <w:tc>
          <w:tcPr>
            <w:tcW w:w="520" w:type="dxa"/>
            <w:vAlign w:val="bottom"/>
          </w:tcPr>
          <w:p>
            <w:pPr>
              <w:spacing w:after="0"/>
              <w:rPr>
                <w:sz w:val="20"/>
                <w:szCs w:val="20"/>
                <w:color w:val="auto"/>
              </w:rPr>
            </w:pPr>
          </w:p>
        </w:tc>
        <w:tc>
          <w:tcPr>
            <w:tcW w:w="1400" w:type="dxa"/>
            <w:vAlign w:val="bottom"/>
          </w:tcPr>
          <w:p>
            <w:pPr>
              <w:jc w:val="center"/>
              <w:ind w:left="710"/>
              <w:spacing w:after="0"/>
              <w:rPr>
                <w:sz w:val="20"/>
                <w:szCs w:val="20"/>
                <w:color w:val="auto"/>
              </w:rPr>
            </w:pPr>
            <w:r>
              <w:rPr>
                <w:rFonts w:ascii="Arial" w:cs="Arial" w:eastAsia="Arial" w:hAnsi="Arial"/>
                <w:sz w:val="18"/>
                <w:szCs w:val="18"/>
                <w:b w:val="1"/>
                <w:bCs w:val="1"/>
                <w:color w:val="auto"/>
                <w:w w:val="91"/>
              </w:rPr>
              <w:t>Value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140" w:type="dxa"/>
            <w:vAlign w:val="bottom"/>
            <w:shd w:val="clear" w:color="auto" w:fill="EEEEEE"/>
          </w:tcPr>
          <w:p>
            <w:pPr>
              <w:jc w:val="right"/>
              <w:ind w:right="97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9,122</w:t>
            </w:r>
          </w:p>
        </w:tc>
        <w:tc>
          <w:tcPr>
            <w:tcW w:w="1400" w:type="dxa"/>
            <w:vAlign w:val="bottom"/>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9,058</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14,786</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1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8,576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9" w:name="page20"/>
    <w:bookmarkEnd w:id="19"/>
    <w:p>
      <w:pPr>
        <w:jc w:val="both"/>
        <w:ind w:firstLine="130"/>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w:t>
      </w:r>
    </w:p>
    <w:p>
      <w:pPr>
        <w:spacing w:after="0" w:line="187"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2014, the finance receivables related to the repossessed vehicles in inventory totaled $28.0 million. We have applied a valuation adjustment, or loss allowance, of $16.2 million, which is based on a recovery rate of approximately 42%, resulting in an estimated fair value and carrying amount of $11.8 million. The fair value and carrying amount of the repossessed inventory at December 31, 2013 was $10.0 million after applying a valuation adjustment of $14.8 million.</w:t>
      </w:r>
    </w:p>
    <w:p>
      <w:pPr>
        <w:spacing w:after="0" w:line="173"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March 31, 2014 and 2013. We have no level 3 assets that are measured at fair value on a non-recurring basis. The table below presents a reconciliation for level 3 assets measured at fair value on a recurring basis using significant unobservable inputs: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Residual Interest in Securitizations: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Cash paid (received) during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20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854</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4,824</w:t>
            </w:r>
          </w:p>
        </w:tc>
        <w:tc>
          <w:tcPr>
            <w:tcW w:w="60" w:type="dxa"/>
            <w:vAlign w:val="bottom"/>
          </w:tcPr>
          <w:p>
            <w:pPr>
              <w:spacing w:after="0"/>
              <w:rPr>
                <w:sz w:val="24"/>
                <w:szCs w:val="24"/>
                <w:color w:val="auto"/>
              </w:rPr>
            </w:pP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60" w:type="dxa"/>
            <w:vAlign w:val="bottom"/>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-736600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8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0" w:name="page21"/>
    <w:bookmarkEnd w:id="20"/>
    <w:p>
      <w:pPr>
        <w:ind w:left="1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140" w:type="dxa"/>
            <w:vAlign w:val="bottom"/>
          </w:tcPr>
          <w:p>
            <w:pPr>
              <w:spacing w:after="0"/>
              <w:rPr>
                <w:sz w:val="20"/>
                <w:szCs w:val="20"/>
                <w:color w:val="auto"/>
              </w:rPr>
            </w:pPr>
          </w:p>
        </w:tc>
        <w:tc>
          <w:tcPr>
            <w:tcW w:w="28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9"/>
              </w:rPr>
              <w:t>Fair Values as of</w:t>
            </w: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8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2700" w:type="dxa"/>
            <w:vAlign w:val="bottom"/>
            <w:gridSpan w:val="4"/>
          </w:tcPr>
          <w:p>
            <w:pPr>
              <w:ind w:left="8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w w:val="96"/>
              </w:rPr>
              <w:t>March 31,</w:t>
            </w:r>
          </w:p>
        </w:tc>
        <w:tc>
          <w:tcPr>
            <w:tcW w:w="1320" w:type="dxa"/>
            <w:vAlign w:val="bottom"/>
            <w:tcBorders>
              <w:top w:val="single" w:sz="8" w:color="auto"/>
            </w:tcBorders>
            <w:gridSpan w:val="2"/>
          </w:tcPr>
          <w:p>
            <w:pPr>
              <w:jc w:val="center"/>
              <w:ind w:lef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3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46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March 31,</w:t>
            </w:r>
          </w:p>
        </w:tc>
        <w:tc>
          <w:tcPr>
            <w:tcW w:w="1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36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Techniques</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9,058</w:t>
            </w:r>
          </w:p>
        </w:tc>
        <w:tc>
          <w:tcPr>
            <w:tcW w:w="56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14,476</w:t>
            </w:r>
          </w:p>
        </w:tc>
        <w:tc>
          <w:tcPr>
            <w:tcW w:w="18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7"/>
              </w:rPr>
              <w:t>flows</w:t>
            </w:r>
          </w:p>
        </w:tc>
        <w:tc>
          <w:tcPr>
            <w:tcW w:w="18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Discount rate</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Cumulative net losses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2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1"/>
              </w:rPr>
              <w:t>Monthly average</w:t>
            </w: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prepayments</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in</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8"/>
              </w:rPr>
              <w:t>Discounted cash</w:t>
            </w:r>
          </w:p>
        </w:tc>
        <w:tc>
          <w:tcPr>
            <w:tcW w:w="1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securitizations</w:t>
            </w: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445</w:t>
            </w: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854</w:t>
            </w:r>
          </w:p>
        </w:tc>
        <w:tc>
          <w:tcPr>
            <w:tcW w:w="18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7"/>
              </w:rPr>
              <w:t>flows</w:t>
            </w:r>
          </w:p>
        </w:tc>
        <w:tc>
          <w:tcPr>
            <w:tcW w:w="18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Discount rate</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Cumulative net losses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20" w:type="dxa"/>
            <w:vAlign w:val="bottom"/>
            <w:gridSpan w:val="2"/>
            <w:shd w:val="clear" w:color="auto" w:fill="EEEEEE"/>
          </w:tcPr>
          <w:p>
            <w:pPr>
              <w:jc w:val="center"/>
              <w:ind w:right="200"/>
              <w:spacing w:after="0" w:line="201" w:lineRule="exact"/>
              <w:rPr>
                <w:sz w:val="20"/>
                <w:szCs w:val="20"/>
                <w:color w:val="auto"/>
              </w:rPr>
            </w:pPr>
            <w:r>
              <w:rPr>
                <w:rFonts w:ascii="Arial" w:cs="Arial" w:eastAsia="Arial" w:hAnsi="Arial"/>
                <w:sz w:val="18"/>
                <w:szCs w:val="18"/>
                <w:color w:val="auto"/>
                <w:w w:val="91"/>
              </w:rPr>
              <w:t>Monthly average</w:t>
            </w: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8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prepayments</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receivables measured at</w:t>
            </w: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Discounted cash</w:t>
            </w:r>
          </w:p>
        </w:tc>
        <w:tc>
          <w:tcPr>
            <w:tcW w:w="1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fair value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8,576</w:t>
            </w:r>
          </w:p>
        </w:tc>
        <w:tc>
          <w:tcPr>
            <w:tcW w:w="5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13,117</w:t>
            </w:r>
          </w:p>
        </w:tc>
        <w:tc>
          <w:tcPr>
            <w:tcW w:w="180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7"/>
              </w:rPr>
              <w:t>flows</w:t>
            </w:r>
          </w:p>
        </w:tc>
        <w:tc>
          <w:tcPr>
            <w:tcW w:w="182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2"/>
              </w:rPr>
              <w:t>Discount rate</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left="140"/>
        <w:spacing w:after="0"/>
        <w:rPr>
          <w:sz w:val="20"/>
          <w:szCs w:val="20"/>
          <w:color w:val="auto"/>
        </w:rPr>
      </w:pPr>
      <w:r>
        <w:rPr>
          <w:rFonts w:ascii="Arial" w:cs="Arial" w:eastAsia="Arial" w:hAnsi="Arial"/>
          <w:sz w:val="18"/>
          <w:szCs w:val="18"/>
          <w:color w:val="auto"/>
        </w:rPr>
        <w:t>The estimated fair values of financial assets and liabilities at March 31, 2014 and December 31,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As of March 31, 2014</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center"/>
              <w:ind w:right="10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14,567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14,567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147,596</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147,596</w:t>
            </w: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147,596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1,182,117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1,159,432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1,159,432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9,058</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9,058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17,562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17,562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41,527</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41,527</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41,527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15,582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15,582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15,582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1,247,380</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1,288,384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1,288,384</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18,585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18,585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431"/>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center"/>
              <w:ind w:right="10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22,112</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22,112</w:t>
            </w:r>
          </w:p>
        </w:tc>
        <w:tc>
          <w:tcPr>
            <w:tcW w:w="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132,284</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132,284</w:t>
            </w: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1,115,437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1,100,153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1,100,153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14,476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18,670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18,670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9,452</w:t>
            </w:r>
          </w:p>
        </w:tc>
        <w:tc>
          <w:tcPr>
            <w:tcW w:w="1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9,452</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19,096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13,117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1,189,086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1,189,086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Senior secured debt, related party</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38,559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38,559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19,142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19,142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648"/>
        </w:trPr>
        <w:tc>
          <w:tcPr>
            <w:tcW w:w="16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8" w:right="239" w:bottom="1440" w:gutter="0" w:footer="0" w:header="0"/>
        </w:sectPr>
      </w:pPr>
    </w:p>
    <w:bookmarkStart w:id="22" w:name="page23"/>
    <w:bookmarkEnd w:id="22"/>
    <w:p>
      <w:pPr>
        <w:jc w:val="both"/>
        <w:ind w:firstLine="130"/>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2014 and December 31, 2013,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Related Party and Subordinated Renewable Notes</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low incomes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2014, we have purchased a total of approximately $10.6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200" w:lineRule="exact"/>
        <w:rPr>
          <w:sz w:val="20"/>
          <w:szCs w:val="20"/>
          <w:color w:val="auto"/>
        </w:rPr>
      </w:pPr>
    </w:p>
    <w:p>
      <w:pPr>
        <w:spacing w:after="0" w:line="20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5"/>
          </w:tcPr>
          <w:p>
            <w:pPr>
              <w:ind w:left="960"/>
              <w:spacing w:after="0"/>
              <w:rPr>
                <w:sz w:val="20"/>
                <w:szCs w:val="20"/>
                <w:color w:val="auto"/>
              </w:rPr>
            </w:pPr>
            <w:r>
              <w:rPr>
                <w:rFonts w:ascii="Arial" w:cs="Arial" w:eastAsia="Arial" w:hAnsi="Arial"/>
                <w:sz w:val="18"/>
                <w:szCs w:val="18"/>
                <w:b w:val="1"/>
                <w:bCs w:val="1"/>
                <w:i w:val="1"/>
                <w:iCs w:val="1"/>
                <w:color w:val="auto"/>
              </w:rPr>
              <w:t>$ in thousands</w:t>
            </w:r>
          </w:p>
        </w:tc>
      </w:tr>
      <w:tr>
        <w:trPr>
          <w:trHeight w:val="191"/>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Contracts Purchased</w:t>
            </w:r>
          </w:p>
        </w:tc>
        <w:tc>
          <w:tcPr>
            <w:tcW w:w="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00" w:type="dxa"/>
            <w:vAlign w:val="bottom"/>
          </w:tcPr>
          <w:p>
            <w:pPr>
              <w:spacing w:after="0"/>
              <w:rPr>
                <w:sz w:val="16"/>
                <w:szCs w:val="16"/>
                <w:color w:val="auto"/>
              </w:rPr>
            </w:pPr>
          </w:p>
        </w:tc>
      </w:tr>
      <w:tr>
        <w:trPr>
          <w:trHeight w:val="234"/>
        </w:trPr>
        <w:tc>
          <w:tcPr>
            <w:tcW w:w="3740" w:type="dxa"/>
            <w:vAlign w:val="bottom"/>
            <w:gridSpan w:val="2"/>
          </w:tcPr>
          <w:p>
            <w:pPr>
              <w:ind w:left="1520"/>
              <w:spacing w:after="0"/>
              <w:rPr>
                <w:sz w:val="20"/>
                <w:szCs w:val="20"/>
                <w:color w:val="auto"/>
              </w:rPr>
            </w:pPr>
            <w:r>
              <w:rPr>
                <w:rFonts w:ascii="Arial" w:cs="Arial" w:eastAsia="Arial" w:hAnsi="Arial"/>
                <w:sz w:val="18"/>
                <w:szCs w:val="18"/>
                <w:b w:val="1"/>
                <w:bCs w:val="1"/>
                <w:color w:val="auto"/>
              </w:rPr>
              <w:t>Period</w:t>
            </w:r>
          </w:p>
        </w:tc>
        <w:tc>
          <w:tcPr>
            <w:tcW w:w="280" w:type="dxa"/>
            <w:vAlign w:val="bottom"/>
          </w:tcPr>
          <w:p>
            <w:pPr>
              <w:spacing w:after="0"/>
              <w:rPr>
                <w:sz w:val="20"/>
                <w:szCs w:val="20"/>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in Period</w:t>
            </w:r>
          </w:p>
        </w:tc>
        <w:tc>
          <w:tcPr>
            <w:tcW w:w="8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at Period End</w:t>
            </w:r>
          </w:p>
        </w:tc>
      </w:tr>
      <w:tr>
        <w:trPr>
          <w:trHeight w:val="210"/>
        </w:trPr>
        <w:tc>
          <w:tcPr>
            <w:tcW w:w="3540" w:type="dxa"/>
            <w:vAlign w:val="bottom"/>
            <w:tcBorders>
              <w:top w:val="single" w:sz="8" w:color="auto"/>
            </w:tcBorders>
            <w:shd w:val="clear" w:color="auto" w:fill="EEEEEE"/>
          </w:tcPr>
          <w:p>
            <w:pPr>
              <w:jc w:val="center"/>
              <w:ind w:left="10"/>
              <w:spacing w:after="0"/>
              <w:rPr>
                <w:sz w:val="20"/>
                <w:szCs w:val="20"/>
                <w:color w:val="auto"/>
              </w:rPr>
            </w:pPr>
            <w:r>
              <w:rPr>
                <w:rFonts w:ascii="Arial" w:cs="Arial" w:eastAsia="Arial" w:hAnsi="Arial"/>
                <w:sz w:val="18"/>
                <w:szCs w:val="18"/>
                <w:color w:val="333333"/>
                <w:w w:val="89"/>
              </w:rPr>
              <w:t>2008</w:t>
            </w:r>
          </w:p>
        </w:tc>
        <w:tc>
          <w:tcPr>
            <w:tcW w:w="2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540" w:type="dxa"/>
            <w:vAlign w:val="bottom"/>
          </w:tcPr>
          <w:p>
            <w:pPr>
              <w:jc w:val="center"/>
              <w:ind w:left="10"/>
              <w:spacing w:after="0"/>
              <w:rPr>
                <w:sz w:val="20"/>
                <w:szCs w:val="20"/>
                <w:color w:val="auto"/>
              </w:rPr>
            </w:pPr>
            <w:r>
              <w:rPr>
                <w:rFonts w:ascii="Arial" w:cs="Arial" w:eastAsia="Arial" w:hAnsi="Arial"/>
                <w:sz w:val="18"/>
                <w:szCs w:val="18"/>
                <w:color w:val="333333"/>
                <w:w w:val="89"/>
              </w:rPr>
              <w:t>2009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35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113,023</w:t>
            </w: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3540" w:type="dxa"/>
            <w:vAlign w:val="bottom"/>
          </w:tcPr>
          <w:p>
            <w:pPr>
              <w:jc w:val="center"/>
              <w:ind w:left="10"/>
              <w:spacing w:after="0"/>
              <w:rPr>
                <w:sz w:val="20"/>
                <w:szCs w:val="20"/>
                <w:color w:val="auto"/>
              </w:rPr>
            </w:pPr>
            <w:r>
              <w:rPr>
                <w:rFonts w:ascii="Arial" w:cs="Arial" w:eastAsia="Arial" w:hAnsi="Arial"/>
                <w:sz w:val="18"/>
                <w:szCs w:val="18"/>
                <w:color w:val="333333"/>
                <w:w w:val="89"/>
              </w:rPr>
              <w:t>2011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284,236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354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16"/>
        </w:trPr>
        <w:tc>
          <w:tcPr>
            <w:tcW w:w="3540" w:type="dxa"/>
            <w:vAlign w:val="bottom"/>
          </w:tcPr>
          <w:p>
            <w:pPr>
              <w:jc w:val="center"/>
              <w:ind w:left="10"/>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764,087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374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9"/>
              </w:rPr>
              <w:t>Three months ended March 31, 2014</w:t>
            </w: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189,886</w:t>
            </w:r>
          </w:p>
        </w:tc>
        <w:tc>
          <w:tcPr>
            <w:tcW w:w="3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1,295,225</w:t>
            </w:r>
          </w:p>
        </w:tc>
      </w:tr>
    </w:tbl>
    <w:p>
      <w:pPr>
        <w:spacing w:after="0" w:line="202"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Since 1994 we have conducted 62 term securitizations (generally quarterly) of automobile contracts that we purchased from dealers under our regular programs. As of March 31, 2014, 14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March 31, 2014 we have one such residual interest financing outstanding.</w:t>
      </w:r>
    </w:p>
    <w:p>
      <w:pPr>
        <w:spacing w:after="0" w:line="170"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March 31, 2014 included $68.8 million from the proceeds of the sale of the asset-backed notes that were held by the trustee pending delivery of the remaining receivables. In April 2014, the requisite additional receivables were delivered to the trust and we received the related restricted cash, most of which was used to repay amounts owed under our warehouse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Acquisitions</w:t>
      </w:r>
    </w:p>
    <w:p>
      <w:pPr>
        <w:spacing w:after="0" w:line="229"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 stated above, we have acquired approximately $822.3 million in finance receivables through four acquisitions. These transactions took place in 2002, 2003, 2004 and September 2011. The September 2011 acquisition consisted of approximately $217.8 million of finance receivables that we purchased from Fireside Bank of Pleasanton,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62 term securitizations of approximately $8.6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 Our recent history of term securitizations is summarized in the table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tbl>
      <w:tblPr>
        <w:tblLayout w:type="fixed"/>
        <w:tblInd w:w="2000" w:type="dxa"/>
        <w:tblCellMar>
          <w:top w:w="0" w:type="dxa"/>
          <w:left w:w="0" w:type="dxa"/>
          <w:bottom w:w="0" w:type="dxa"/>
          <w:right w:w="0" w:type="dxa"/>
        </w:tblCellMar>
      </w:tblPr>
      <w:tr>
        <w:trPr>
          <w:trHeight w:val="234"/>
        </w:trPr>
        <w:tc>
          <w:tcPr>
            <w:tcW w:w="5660" w:type="dxa"/>
            <w:vAlign w:val="bottom"/>
            <w:gridSpan w:val="4"/>
          </w:tcPr>
          <w:p>
            <w:pPr>
              <w:ind w:left="2080"/>
              <w:spacing w:after="0"/>
              <w:rPr>
                <w:sz w:val="20"/>
                <w:szCs w:val="20"/>
                <w:color w:val="auto"/>
              </w:rPr>
            </w:pPr>
            <w:r>
              <w:rPr>
                <w:rFonts w:ascii="Arial" w:cs="Arial" w:eastAsia="Arial" w:hAnsi="Arial"/>
                <w:sz w:val="18"/>
                <w:szCs w:val="18"/>
                <w:b w:val="1"/>
                <w:bCs w:val="1"/>
                <w:color w:val="auto"/>
                <w:w w:val="97"/>
              </w:rPr>
              <w:t>Recent Asset-Backed Term Securitizations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gridSpan w:val="5"/>
          </w:tcPr>
          <w:p>
            <w:pPr>
              <w:ind w:left="1260"/>
              <w:spacing w:after="0"/>
              <w:rPr>
                <w:sz w:val="20"/>
                <w:szCs w:val="20"/>
                <w:color w:val="auto"/>
              </w:rPr>
            </w:pPr>
            <w:r>
              <w:rPr>
                <w:rFonts w:ascii="Arial" w:cs="Arial" w:eastAsia="Arial" w:hAnsi="Arial"/>
                <w:sz w:val="18"/>
                <w:szCs w:val="18"/>
                <w:b w:val="1"/>
                <w:bCs w:val="1"/>
                <w:i w:val="1"/>
                <w:iCs w:val="1"/>
                <w:color w:val="auto"/>
              </w:rPr>
              <w:t>$ in thousands</w:t>
            </w:r>
          </w:p>
        </w:tc>
      </w:tr>
      <w:tr>
        <w:trPr>
          <w:trHeight w:val="191"/>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2"/>
              </w:rPr>
              <w:t>Number of Term</w:t>
            </w:r>
          </w:p>
        </w:tc>
        <w:tc>
          <w:tcPr>
            <w:tcW w:w="140" w:type="dxa"/>
            <w:vAlign w:val="bottom"/>
          </w:tcPr>
          <w:p>
            <w:pPr>
              <w:spacing w:after="0"/>
              <w:rPr>
                <w:sz w:val="16"/>
                <w:szCs w:val="16"/>
                <w:color w:val="auto"/>
              </w:rPr>
            </w:pPr>
          </w:p>
        </w:tc>
        <w:tc>
          <w:tcPr>
            <w:tcW w:w="16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Amount of Term</w:t>
            </w:r>
          </w:p>
        </w:tc>
      </w:tr>
      <w:tr>
        <w:trPr>
          <w:trHeight w:val="234"/>
        </w:trPr>
        <w:tc>
          <w:tcPr>
            <w:tcW w:w="3820" w:type="dxa"/>
            <w:vAlign w:val="bottom"/>
            <w:gridSpan w:val="2"/>
          </w:tcPr>
          <w:p>
            <w:pPr>
              <w:ind w:left="1560"/>
              <w:spacing w:after="0"/>
              <w:rPr>
                <w:sz w:val="20"/>
                <w:szCs w:val="20"/>
                <w:color w:val="auto"/>
              </w:rPr>
            </w:pPr>
            <w:r>
              <w:rPr>
                <w:rFonts w:ascii="Arial" w:cs="Arial" w:eastAsia="Arial" w:hAnsi="Arial"/>
                <w:sz w:val="18"/>
                <w:szCs w:val="18"/>
                <w:b w:val="1"/>
                <w:bCs w:val="1"/>
                <w:color w:val="auto"/>
              </w:rPr>
              <w:t>Period</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3620" w:type="dxa"/>
            <w:vAlign w:val="bottom"/>
            <w:tcBorders>
              <w:top w:val="single" w:sz="8" w:color="auto"/>
            </w:tcBorders>
            <w:shd w:val="clear" w:color="auto" w:fill="EEEEEE"/>
          </w:tcPr>
          <w:p>
            <w:pPr>
              <w:jc w:val="right"/>
              <w:ind w:right="1490"/>
              <w:spacing w:after="0"/>
              <w:rPr>
                <w:sz w:val="20"/>
                <w:szCs w:val="20"/>
                <w:color w:val="auto"/>
              </w:rPr>
            </w:pPr>
            <w:r>
              <w:rPr>
                <w:rFonts w:ascii="Arial" w:cs="Arial" w:eastAsia="Arial" w:hAnsi="Arial"/>
                <w:sz w:val="18"/>
                <w:szCs w:val="18"/>
                <w:color w:val="auto"/>
              </w:rPr>
              <w:t>2006</w:t>
            </w:r>
          </w:p>
        </w:tc>
        <w:tc>
          <w:tcPr>
            <w:tcW w:w="2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2008</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3620" w:type="dxa"/>
            <w:vAlign w:val="bottom"/>
            <w:shd w:val="clear" w:color="auto" w:fill="EEEEEE"/>
          </w:tcPr>
          <w:p>
            <w:pPr>
              <w:jc w:val="right"/>
              <w:ind w:right="149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3620" w:type="dxa"/>
            <w:vAlign w:val="bottom"/>
          </w:tcPr>
          <w:p>
            <w:pPr>
              <w:jc w:val="right"/>
              <w:ind w:right="1490"/>
              <w:spacing w:after="0"/>
              <w:rPr>
                <w:sz w:val="20"/>
                <w:szCs w:val="20"/>
                <w:color w:val="auto"/>
              </w:rPr>
            </w:pPr>
            <w:r>
              <w:rPr>
                <w:rFonts w:ascii="Arial" w:cs="Arial" w:eastAsia="Arial" w:hAnsi="Arial"/>
                <w:sz w:val="18"/>
                <w:szCs w:val="18"/>
                <w:color w:val="333333"/>
              </w:rPr>
              <w:t>2013</w:t>
            </w:r>
          </w:p>
        </w:tc>
        <w:tc>
          <w:tcPr>
            <w:tcW w:w="200" w:type="dxa"/>
            <w:vAlign w:val="bottom"/>
          </w:tcPr>
          <w:p>
            <w:pPr>
              <w:spacing w:after="0"/>
              <w:rPr>
                <w:sz w:val="18"/>
                <w:szCs w:val="18"/>
                <w:color w:val="auto"/>
              </w:rPr>
            </w:pPr>
          </w:p>
        </w:tc>
        <w:tc>
          <w:tcPr>
            <w:tcW w:w="162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38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Three months ended March 31, 2014</w:t>
            </w:r>
          </w:p>
        </w:tc>
        <w:tc>
          <w:tcPr>
            <w:tcW w:w="16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180,000</w:t>
            </w:r>
          </w:p>
        </w:tc>
      </w:tr>
    </w:tbl>
    <w:p>
      <w:pPr>
        <w:spacing w:after="0" w:line="202"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have utilized financial guarantees.</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June 2013, extending the revolving period to June 2015, and adding an amortization period through June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March 31, 2014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2014 with the three months ended March 31, 2013</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three months ended March 31, 2014, our revenues were $68.1 million, an increase of $13.5 million, or 24.8%,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$54.6 million. The primary reason for the increase in revenues is an increase in interest income. Interest income for the three months ended March 31, 2014 increased $13.8 million, or 27.0%, to $65.0 million from $51.2 million in the prior year. The primary reason for the increase in interest income is the increase in finance receivables held by consolidated subsidiaries, which increased from $948.0 million at March 31, 2013 to $1,289.4 million at March 31, 2014. The table below shows the average balances of our portfolio held by consolidated subsidiaries for the three months ended March 31, 2014 and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Average Balances for</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the Three Months Ended</w:t>
            </w:r>
          </w:p>
        </w:tc>
        <w:tc>
          <w:tcPr>
            <w:tcW w:w="0" w:type="dxa"/>
            <w:vAlign w:val="bottom"/>
          </w:tcPr>
          <w:p>
            <w:pPr>
              <w:spacing w:after="0"/>
              <w:rPr>
                <w:sz w:val="1"/>
                <w:szCs w:val="1"/>
                <w:color w:val="auto"/>
              </w:rPr>
            </w:pPr>
          </w:p>
        </w:tc>
      </w:tr>
      <w:tr>
        <w:trPr>
          <w:trHeight w:val="205"/>
        </w:trPr>
        <w:tc>
          <w:tcPr>
            <w:tcW w:w="77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6"/>
              </w:rPr>
              <w:t>March 31, 2014</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93"/>
              </w:rPr>
              <w:t>March 31, 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Finance Receivables Owned by Consolidated Subsidiaries</w:t>
            </w:r>
          </w:p>
        </w:tc>
        <w:tc>
          <w:tcPr>
            <w:tcW w:w="14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5"/>
          </w:tcPr>
          <w:p>
            <w:pPr>
              <w:jc w:val="center"/>
              <w:ind w:right="50"/>
              <w:spacing w:after="0"/>
              <w:rPr>
                <w:sz w:val="20"/>
                <w:szCs w:val="20"/>
                <w:color w:val="auto"/>
              </w:rPr>
            </w:pPr>
            <w:r>
              <w:rPr>
                <w:rFonts w:ascii="Arial" w:cs="Arial" w:eastAsia="Arial" w:hAnsi="Arial"/>
                <w:sz w:val="18"/>
                <w:szCs w:val="18"/>
                <w:b w:val="1"/>
                <w:bCs w:val="1"/>
                <w:color w:val="auto"/>
                <w:w w:val="91"/>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1,228.5</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Fireside</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1,239.4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562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6" w:name="page27"/>
    <w:bookmarkEnd w:id="26"/>
    <w:p>
      <w:pPr>
        <w:jc w:val="both"/>
        <w:ind w:firstLine="162"/>
        <w:spacing w:after="0" w:line="279" w:lineRule="auto"/>
        <w:rPr>
          <w:sz w:val="20"/>
          <w:szCs w:val="20"/>
          <w:color w:val="auto"/>
        </w:rPr>
      </w:pPr>
      <w:r>
        <w:rPr>
          <w:rFonts w:ascii="Arial" w:cs="Arial" w:eastAsia="Arial" w:hAnsi="Arial"/>
          <w:sz w:val="17"/>
          <w:szCs w:val="17"/>
          <w:color w:val="auto"/>
        </w:rPr>
        <w:t>Servicing fees totaling $513,000 for the three months ended March 31, 2014 decreased $396,000, or 43.5%, from $909,000 in the prior year. We earn base servicing fees on three portfolios and incentive servicing fees on one of those three portfolios. All three of the servicing fee portfolios are decreasing in size as we receive customer payments and, consequently, base servicing and incentive servicing fees are decreasing also. As of March 31, 2014 and 2013,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March 31, 2014</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8"/>
              </w:rPr>
              <w:t>March 31, 2013</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CPS Originated Receivables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1,280.3</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98.8%</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904.7</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Fireside</w:t>
            </w: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9.1</w:t>
            </w: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43.3</w:t>
            </w:r>
          </w:p>
        </w:tc>
        <w:tc>
          <w:tcPr>
            <w:tcW w:w="5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w:t>
            </w:r>
          </w:p>
        </w:tc>
        <w:tc>
          <w:tcPr>
            <w:tcW w:w="5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1,295.2</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254"/>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340" w:hanging="254"/>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At March 31, 2014, we were generating income and fees on a managed portfolio with an outstanding principal balance of $1,295.2 million (this amount includes $2.4 million of automobile contracts on which we earn servicing fees and own a residual interest and also includes another $3.4 million of automobile contracts on which we earn base and incentive servicing fees), compared to a managed portfolio with an outstanding principal balance of $968.5 million as of March 31, 2013. At March 31,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99"/>
              </w:rPr>
              <w:t>March 31, 2014</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8"/>
              </w:rPr>
              <w:t>March 31, 2013</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1,284.2</w:t>
            </w: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99.2%</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917.0</w:t>
            </w:r>
          </w:p>
        </w:tc>
        <w:tc>
          <w:tcPr>
            <w:tcW w:w="5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w:t>
            </w:r>
          </w:p>
        </w:tc>
        <w:tc>
          <w:tcPr>
            <w:tcW w:w="50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1,295.2</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248"/>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340" w:hanging="248"/>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162"/>
        <w:spacing w:after="0" w:line="297" w:lineRule="auto"/>
        <w:rPr>
          <w:sz w:val="20"/>
          <w:szCs w:val="20"/>
          <w:color w:val="auto"/>
        </w:rPr>
      </w:pPr>
      <w:r>
        <w:rPr>
          <w:rFonts w:ascii="Arial" w:cs="Arial" w:eastAsia="Arial" w:hAnsi="Arial"/>
          <w:sz w:val="16"/>
          <w:szCs w:val="16"/>
          <w:color w:val="auto"/>
        </w:rPr>
        <w:t>Other income increased by $120,000, or 4.7%, to $2.6 million in the three months ended March 31, 2014 from $2.5 million during the prior year. The increase is comprised of an increase of $123,000 in payments from third-party providers of convenience fees paid by our customers for web based and other electronic payments, an increase of $62,000 in fees associated with direct mail and other related products and services that we offer to our dealers and an increase of $18,000 in sales tax refunds. These increases were partially offset by decreases of $68,000 in the fair value of the receivables and debt associated with the Fireside portfolio and a decrease of $16,000 in recoveries on receivables from the 2002 acquisition of MFN Financial Corporation.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Total operating expenses were $56.4 million for the three months ended March 31, 2014, compared to $48.1 million for the prior year, an increase of $8.3 million, or 17.3%.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Employee costs increased by $1.9 million or 21.7%, to $10.9 million during the three months ended March 31, 2014, representing 19.3% of total operating expenses, from $8.9 million for the prior year, or 18.6%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March 31, 2014 and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189.9</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12,854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1,295.2</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103,540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91,044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35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35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3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520" w:type="dxa"/>
            <w:vAlign w:val="bottom"/>
            <w:vMerge w:val="restart"/>
          </w:tcPr>
          <w:p>
            <w:pPr>
              <w:jc w:val="right"/>
              <w:ind w:right="1890"/>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8" w:name="page29"/>
    <w:bookmarkEnd w:id="28"/>
    <w:p>
      <w:pPr>
        <w:jc w:val="both"/>
        <w:ind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$3.6 million, a decrease of $152,000, or 4.0%, compared to the previous year and represented 6.4% of total operating expenses.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for the three months ended March 31, 2014 decreased by $3.0 million to $13.4 million, or 18.1%, compared to $16.3 million in the previous year.</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Interest expense on the Fireside portfolio credit facility decreased by $1.5 million compared to the prior year period as the Fireside portfolio and the related debt have paid down to significantly lower levels over the last year.</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Interest on securitization trust debt increased by $179,000, or 2.0%, for the three months ended March 31, 2014 compared to the prior year. The outstanding amount of securitization trust debt increased 38.3% to $1,247.4 million at March 31, 2014 compared to $901.7 million at March 31, 2013. However, the blended interest rates on term securitizations completed since 2013 are significantly less than the blended interest rates on securitization trust debt incurred prior to 2013.</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Interest expense on senior secured debt decreased by $1.1 million. This was due primarily to repayments of $15.0 million and $10.0 million in April 2013 and January 2014, respectively, and to the reduction in the interest rate, effective April 2013, from 16.0% to 13.0%. The remaining senior secured debt of $27.8 million was repaid on March 31, 2014. Interest expense on subordinated renewable notes decreased by $255,000. The decrease is due to a decrease in the average balance from $23.5 million to $18.7 million and a decrease in the average cost from 15.1% to 13.4%. Interest expense on residual interest financing increased $87,000 in the three months ended March 31, 2014 compared to the prior year. The increase is due to the establishment in April 2013 of a new $20 million residual interest financing. This was partially offset by the September 2013 repayment of the $13.8 million of indebtedness outstanding under the residual facility originally established in 2007.</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Interest expense on warehouse debt decreased by $405,000 for the three months ended March 31, 2014 compared to the prior year. Although we increased our contract purchases to $189.9 million for the three months ended March 31, 2014 compared to $180.1 million in the prior period, recently we have relied less on warehouse credit facilities and more on unrestricted cash balances to fund receivables prior to securitization. In the future we may incur greater warehouse debt interest expense as a result of our having used $39.2 million of our unrestricted cash to repay our senior secured debt during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 March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40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Balance(1)</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20" w:type="dxa"/>
            <w:vAlign w:val="bottom"/>
            <w:tcBorders>
              <w:top w:val="single" w:sz="8" w:color="EEEEEE"/>
            </w:tcBorders>
            <w:gridSpan w:val="3"/>
            <w:shd w:val="clear" w:color="auto" w:fill="EEEEEE"/>
          </w:tcPr>
          <w:p>
            <w:pPr>
              <w:jc w:val="center"/>
              <w:ind w:right="42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1,228,499</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64,304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856,920</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48,534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10,884</w:t>
            </w:r>
          </w:p>
        </w:tc>
        <w:tc>
          <w:tcPr>
            <w:tcW w:w="3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49,002</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2,634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1,239,383</w:t>
            </w:r>
          </w:p>
        </w:tc>
        <w:tc>
          <w:tcPr>
            <w:tcW w:w="3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320" w:type="dxa"/>
            <w:vAlign w:val="bottom"/>
            <w:tcBorders>
              <w:bottom w:val="single" w:sz="8" w:color="EEEEEE"/>
            </w:tcBorders>
            <w:gridSpan w:val="2"/>
          </w:tcPr>
          <w:p>
            <w:pPr>
              <w:jc w:val="right"/>
              <w:ind w:right="360"/>
              <w:spacing w:after="0"/>
              <w:rPr>
                <w:sz w:val="20"/>
                <w:szCs w:val="20"/>
                <w:color w:val="auto"/>
              </w:rPr>
            </w:pPr>
            <w:r>
              <w:rPr>
                <w:rFonts w:ascii="Arial" w:cs="Arial" w:eastAsia="Arial" w:hAnsi="Arial"/>
                <w:sz w:val="18"/>
                <w:szCs w:val="18"/>
                <w:color w:val="auto"/>
              </w:rPr>
              <w:t>64,996</w:t>
            </w: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905,922</w:t>
            </w:r>
          </w:p>
        </w:tc>
        <w:tc>
          <w:tcPr>
            <w:tcW w:w="3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2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51,168</w:t>
            </w: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22,338</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877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35,400</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1,282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16,778</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579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10,099</w:t>
            </w:r>
          </w:p>
        </w:tc>
        <w:tc>
          <w:tcPr>
            <w:tcW w:w="2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46,242</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1,786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1,164,468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9,316</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805,155</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9,137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28,412</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50,571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2,764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18,742</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630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23,520</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80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2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1,260,837</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13,381</w:t>
            </w:r>
          </w:p>
        </w:tc>
        <w:tc>
          <w:tcPr>
            <w:tcW w:w="360" w:type="dxa"/>
            <w:vAlign w:val="bottom"/>
            <w:tcBorders>
              <w:top w:val="single" w:sz="8" w:color="EEEEEE"/>
              <w:bottom w:val="single" w:sz="8" w:color="EEEEEE"/>
            </w:tcBorders>
            <w:shd w:val="clear" w:color="auto" w:fill="EEEEEE"/>
          </w:tcPr>
          <w:p>
            <w:pPr>
              <w:spacing w:after="0"/>
              <w:rPr>
                <w:sz w:val="18"/>
                <w:szCs w:val="18"/>
                <w:color w:val="auto"/>
              </w:rPr>
            </w:pPr>
          </w:p>
        </w:tc>
        <w:tc>
          <w:tcPr>
            <w:tcW w:w="148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974,661</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16,346</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8"/>
                <w:szCs w:val="18"/>
                <w:color w:val="auto"/>
              </w:rPr>
            </w:pPr>
          </w:p>
        </w:tc>
        <w:tc>
          <w:tcPr>
            <w:tcW w:w="160" w:type="dxa"/>
            <w:vAlign w:val="bottom"/>
            <w:tcBorders>
              <w:bottom w:val="single" w:sz="8" w:color="EEEEEE"/>
            </w:tcBorders>
            <w:shd w:val="clear" w:color="auto" w:fill="EEEEEE"/>
          </w:tcPr>
          <w:p>
            <w:pPr>
              <w:spacing w:after="0"/>
              <w:rPr>
                <w:sz w:val="18"/>
                <w:szCs w:val="18"/>
                <w:color w:val="auto"/>
              </w:rPr>
            </w:pPr>
          </w:p>
        </w:tc>
        <w:tc>
          <w:tcPr>
            <w:tcW w:w="1020" w:type="dxa"/>
            <w:vAlign w:val="bottom"/>
            <w:tcBorders>
              <w:bottom w:val="single" w:sz="8" w:color="EEEEEE"/>
            </w:tcBorders>
            <w:shd w:val="clear" w:color="auto" w:fill="EEEEEE"/>
          </w:tcPr>
          <w:p>
            <w:pPr>
              <w:spacing w:after="0"/>
              <w:rPr>
                <w:sz w:val="18"/>
                <w:szCs w:val="18"/>
                <w:color w:val="auto"/>
              </w:rPr>
            </w:pPr>
          </w:p>
        </w:tc>
        <w:tc>
          <w:tcPr>
            <w:tcW w:w="34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51,615</w:t>
            </w:r>
          </w:p>
        </w:tc>
        <w:tc>
          <w:tcPr>
            <w:tcW w:w="360" w:type="dxa"/>
            <w:vAlign w:val="bottom"/>
            <w:tcBorders>
              <w:bottom w:val="single" w:sz="8" w:color="EEEEEE"/>
            </w:tcBorders>
            <w:shd w:val="clear" w:color="auto" w:fill="EEEEEE"/>
          </w:tcPr>
          <w:p>
            <w:pPr>
              <w:spacing w:after="0"/>
              <w:rPr>
                <w:sz w:val="18"/>
                <w:szCs w:val="18"/>
                <w:color w:val="auto"/>
              </w:rPr>
            </w:pPr>
          </w:p>
        </w:tc>
        <w:tc>
          <w:tcPr>
            <w:tcW w:w="116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02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34,822</w:t>
            </w:r>
          </w:p>
        </w:tc>
        <w:tc>
          <w:tcPr>
            <w:tcW w:w="32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(3)</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7"/>
          </w:tcPr>
          <w:p>
            <w:pPr>
              <w:jc w:val="center"/>
              <w:ind w:left="890"/>
              <w:spacing w:after="0"/>
              <w:rPr>
                <w:sz w:val="20"/>
                <w:szCs w:val="20"/>
                <w:color w:val="auto"/>
              </w:rPr>
            </w:pPr>
            <w:r>
              <w:rPr>
                <w:rFonts w:ascii="Arial" w:cs="Arial" w:eastAsia="Arial" w:hAnsi="Arial"/>
                <w:sz w:val="18"/>
                <w:szCs w:val="18"/>
                <w:b w:val="1"/>
                <w:bCs w:val="1"/>
                <w:color w:val="auto"/>
                <w:w w:val="92"/>
              </w:rPr>
              <w:t>Three Months Ended March 31, 2014</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Compared to March 31, 2013</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87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76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60" w:type="dxa"/>
            <w:vAlign w:val="bottom"/>
            <w:gridSpan w:val="4"/>
            <w:vMerge w:val="restart"/>
          </w:tcPr>
          <w:p>
            <w:pPr>
              <w:jc w:val="center"/>
              <w:ind w:right="900"/>
              <w:spacing w:after="0"/>
              <w:rPr>
                <w:sz w:val="20"/>
                <w:szCs w:val="20"/>
                <w:color w:val="auto"/>
              </w:rPr>
            </w:pPr>
            <w:r>
              <w:rPr>
                <w:rFonts w:ascii="Arial" w:cs="Arial" w:eastAsia="Arial" w:hAnsi="Arial"/>
                <w:sz w:val="18"/>
                <w:szCs w:val="18"/>
                <w:b w:val="1"/>
                <w:bCs w:val="1"/>
                <w:color w:val="auto"/>
                <w:w w:val="88"/>
              </w:rPr>
              <w:t>Interest Earning Assets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15,770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21,045</w:t>
            </w:r>
          </w:p>
        </w:tc>
        <w:tc>
          <w:tcPr>
            <w:tcW w:w="3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(2,049)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13,828</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18,996</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5"/>
          </w:tcPr>
          <w:p>
            <w:pPr>
              <w:jc w:val="center"/>
              <w:ind w:left="7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(473)</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(1,396)</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7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4,078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(2,965)</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925</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EEEEEE"/>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1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16,793</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18,071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0" w:name="page31"/>
    <w:bookmarkEnd w:id="30"/>
    <w:p>
      <w:pPr>
        <w:jc w:val="both"/>
        <w:ind w:firstLine="162"/>
        <w:spacing w:after="0" w:line="276" w:lineRule="auto"/>
        <w:rPr>
          <w:sz w:val="20"/>
          <w:szCs w:val="20"/>
          <w:color w:val="auto"/>
        </w:rPr>
      </w:pPr>
      <w:r>
        <w:rPr>
          <w:rFonts w:ascii="Arial" w:cs="Arial" w:eastAsia="Arial" w:hAnsi="Arial"/>
          <w:sz w:val="17"/>
          <w:szCs w:val="17"/>
          <w:color w:val="auto"/>
        </w:rPr>
        <w:t>Provision for credit losses was $23.9 million for the three months ended March 31, 2014, an increase of $8.7 million, or 57.7% compared to the prior year and represented 42.4%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$664,000, or 20.9%, to $3.8 million during the three months ended March 31, 2014, compared to $3.2 million in the prior year period, and represented 6.8% of total operating expenses. For the three months ended March 31, 2014, we purchased 12,854 contracts representing $189.9 million in receivables compared to 11,691 contracts representing $180.1 million in receivables in the prior year.</w:t>
      </w:r>
    </w:p>
    <w:p>
      <w:pPr>
        <w:spacing w:after="0" w:line="19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Occupancy expenses increased by $144,000 or 26.5%, to $688,000 compared to $544,000 in the previous year and represented 1.2% of total operating expenses.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and amortization expenses decreased by $49,000 or 34.2%, to $94,000 compared to $143,000 in the previous year and represented 0.2% of total operating expenses.</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three months ended March 31, 2014, we recorded income tax expense of $5.1 million, representing a 43.0% effective income tax rate. In the prior year period, we recorded $2.7 million in income tax expense , representing a 42.0% effective income tax rate.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2014</w:t>
            </w: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99,719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1,284,243</w:t>
            </w:r>
          </w:p>
        </w:tc>
        <w:tc>
          <w:tcPr>
            <w:tcW w:w="100" w:type="dxa"/>
            <w:vAlign w:val="bottom"/>
          </w:tcPr>
          <w:p>
            <w:pPr>
              <w:spacing w:after="0"/>
              <w:rPr>
                <w:sz w:val="18"/>
                <w:szCs w:val="18"/>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77,868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917,025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94,206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2,322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1,719</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13,121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2,652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19,255</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6,692</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3,103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4,509</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52,963</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3,059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22,916</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5,838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57,861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Pr>
          <w:p>
            <w:pPr>
              <w:jc w:val="right"/>
              <w:spacing w:after="0"/>
              <w:rPr>
                <w:sz w:val="20"/>
                <w:szCs w:val="20"/>
                <w:color w:val="auto"/>
              </w:rPr>
            </w:pPr>
            <w:r>
              <w:rPr>
                <w:rFonts w:ascii="Arial" w:cs="Arial" w:eastAsia="Arial" w:hAnsi="Arial"/>
                <w:sz w:val="18"/>
                <w:szCs w:val="18"/>
                <w:color w:val="auto"/>
              </w:rPr>
              <w:t>3,518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28,043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14,551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vMerge w:val="restart"/>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vMerge w:val="continue"/>
            <w:shd w:val="clear" w:color="auto" w:fill="EEEEEE"/>
          </w:tcPr>
          <w:p>
            <w:pPr>
              <w:spacing w:after="0"/>
              <w:rPr>
                <w:sz w:val="15"/>
                <w:szCs w:val="15"/>
                <w:color w:val="auto"/>
              </w:rPr>
            </w:pPr>
          </w:p>
        </w:tc>
        <w:tc>
          <w:tcPr>
            <w:tcW w:w="1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8,027</w:t>
            </w:r>
          </w:p>
        </w:tc>
        <w:tc>
          <w:tcPr>
            <w:tcW w:w="340" w:type="dxa"/>
            <w:vAlign w:val="bottom"/>
            <w:vMerge w:val="restart"/>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81,006</w:t>
            </w:r>
          </w:p>
        </w:tc>
        <w:tc>
          <w:tcPr>
            <w:tcW w:w="1420" w:type="dxa"/>
            <w:vAlign w:val="bottom"/>
            <w:gridSpan w:val="2"/>
            <w:vMerge w:val="restart"/>
            <w:shd w:val="clear" w:color="auto" w:fill="EEEEEE"/>
          </w:tcPr>
          <w:p>
            <w:pPr>
              <w:jc w:val="right"/>
              <w:spacing w:after="0"/>
              <w:rPr>
                <w:sz w:val="20"/>
                <w:szCs w:val="20"/>
                <w:color w:val="auto"/>
              </w:rPr>
            </w:pPr>
            <w:r>
              <w:rPr>
                <w:rFonts w:ascii="Arial" w:cs="Arial" w:eastAsia="Arial" w:hAnsi="Arial"/>
                <w:sz w:val="18"/>
                <w:szCs w:val="18"/>
                <w:color w:val="auto"/>
              </w:rPr>
              <w:t>4,992</w:t>
            </w:r>
          </w:p>
        </w:tc>
        <w:tc>
          <w:tcPr>
            <w:tcW w:w="320" w:type="dxa"/>
            <w:vAlign w:val="bottom"/>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37,467</w:t>
            </w:r>
          </w:p>
        </w:tc>
        <w:tc>
          <w:tcPr>
            <w:tcW w:w="130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8,799</w:t>
            </w:r>
          </w:p>
        </w:tc>
        <w:tc>
          <w:tcPr>
            <w:tcW w:w="320" w:type="dxa"/>
            <w:vAlign w:val="bottom"/>
            <w:gridSpan w:val="2"/>
            <w:vMerge w:val="restart"/>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82,871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180" w:type="dxa"/>
            <w:vAlign w:val="bottom"/>
            <w:vMerge w:val="continue"/>
            <w:shd w:val="clear" w:color="auto" w:fill="EEEEEE"/>
          </w:tcPr>
          <w:p>
            <w:pPr>
              <w:spacing w:after="0"/>
              <w:rPr>
                <w:sz w:val="18"/>
                <w:szCs w:val="18"/>
                <w:color w:val="auto"/>
              </w:rPr>
            </w:pPr>
          </w:p>
        </w:tc>
        <w:tc>
          <w:tcPr>
            <w:tcW w:w="340" w:type="dxa"/>
            <w:vAlign w:val="bottom"/>
            <w:vMerge w:val="continue"/>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080" w:type="dxa"/>
            <w:vAlign w:val="bottom"/>
            <w:gridSpan w:val="2"/>
            <w:vMerge w:val="continue"/>
            <w:shd w:val="clear" w:color="auto" w:fill="EEEEEE"/>
          </w:tcPr>
          <w:p>
            <w:pPr>
              <w:spacing w:after="0"/>
              <w:rPr>
                <w:sz w:val="18"/>
                <w:szCs w:val="18"/>
                <w:color w:val="auto"/>
              </w:rPr>
            </w:pPr>
          </w:p>
        </w:tc>
        <w:tc>
          <w:tcPr>
            <w:tcW w:w="1420" w:type="dxa"/>
            <w:vAlign w:val="bottom"/>
            <w:gridSpan w:val="2"/>
            <w:vMerge w:val="continue"/>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280" w:type="dxa"/>
            <w:vAlign w:val="bottom"/>
            <w:gridSpan w:val="2"/>
            <w:vMerge w:val="continue"/>
            <w:shd w:val="clear" w:color="auto" w:fill="EEEEEE"/>
          </w:tcPr>
          <w:p>
            <w:pPr>
              <w:spacing w:after="0"/>
              <w:rPr>
                <w:sz w:val="18"/>
                <w:szCs w:val="18"/>
                <w:color w:val="auto"/>
              </w:rPr>
            </w:pPr>
          </w:p>
        </w:tc>
        <w:tc>
          <w:tcPr>
            <w:tcW w:w="1300" w:type="dxa"/>
            <w:vAlign w:val="bottom"/>
            <w:gridSpan w:val="2"/>
            <w:vMerge w:val="continue"/>
            <w:shd w:val="clear" w:color="auto" w:fill="EEEEEE"/>
          </w:tcPr>
          <w:p>
            <w:pPr>
              <w:spacing w:after="0"/>
              <w:rPr>
                <w:sz w:val="18"/>
                <w:szCs w:val="18"/>
                <w:color w:val="auto"/>
              </w:rPr>
            </w:pPr>
          </w:p>
        </w:tc>
        <w:tc>
          <w:tcPr>
            <w:tcW w:w="320" w:type="dxa"/>
            <w:vAlign w:val="bottom"/>
            <w:gridSpan w:val="2"/>
            <w:vMerge w:val="continue"/>
            <w:shd w:val="clear" w:color="auto" w:fill="EEEEEE"/>
          </w:tcPr>
          <w:p>
            <w:pPr>
              <w:spacing w:after="0"/>
              <w:rPr>
                <w:sz w:val="18"/>
                <w:szCs w:val="18"/>
                <w:color w:val="auto"/>
              </w:rPr>
            </w:pPr>
          </w:p>
        </w:tc>
        <w:tc>
          <w:tcPr>
            <w:tcW w:w="108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14,801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193,375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9,475</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89,931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13,754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5,295</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49,428</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6,902</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33,147</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20,096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16,377</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123,078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4,090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2,891</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2,576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17,528</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129,744</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78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March 31, 2014</w:t>
            </w:r>
          </w:p>
        </w:tc>
        <w:tc>
          <w:tcPr>
            <w:tcW w:w="260" w:type="dxa"/>
            <w:vAlign w:val="bottom"/>
          </w:tcPr>
          <w:p>
            <w:pPr>
              <w:spacing w:after="0"/>
              <w:rPr>
                <w:sz w:val="20"/>
                <w:szCs w:val="20"/>
                <w:color w:val="auto"/>
              </w:rPr>
            </w:pPr>
          </w:p>
        </w:tc>
        <w:tc>
          <w:tcPr>
            <w:tcW w:w="2940" w:type="dxa"/>
            <w:vAlign w:val="bottom"/>
            <w:gridSpan w:val="5"/>
          </w:tcPr>
          <w:p>
            <w:pPr>
              <w:ind w:left="700"/>
              <w:spacing w:after="0"/>
              <w:rPr>
                <w:sz w:val="20"/>
                <w:szCs w:val="20"/>
                <w:color w:val="auto"/>
              </w:rPr>
            </w:pPr>
            <w:r>
              <w:rPr>
                <w:rFonts w:ascii="Arial" w:cs="Arial" w:eastAsia="Arial" w:hAnsi="Arial"/>
                <w:sz w:val="18"/>
                <w:szCs w:val="18"/>
                <w:b w:val="1"/>
                <w:bCs w:val="1"/>
                <w:color w:val="auto"/>
              </w:rPr>
              <w:t>March 31,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740" w:type="dxa"/>
            <w:vAlign w:val="bottom"/>
            <w:gridSpan w:val="2"/>
            <w:vMerge w:val="continue"/>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3,321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9,122</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11,374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43,284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4,893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507</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1,054</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366</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61-90 days</w:t>
            </w:r>
          </w:p>
        </w:tc>
        <w:tc>
          <w:tcPr>
            <w:tcW w:w="118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91+ days</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w:t>
            </w: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568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vMerge w:val="restart"/>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vMerge w:val="continue"/>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371</w:t>
            </w:r>
          </w:p>
        </w:tc>
        <w:tc>
          <w:tcPr>
            <w:tcW w:w="34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897</w:t>
            </w:r>
          </w:p>
        </w:tc>
        <w:tc>
          <w:tcPr>
            <w:tcW w:w="17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667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2,246</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629</w:t>
            </w:r>
          </w:p>
        </w:tc>
        <w:tc>
          <w:tcPr>
            <w:tcW w:w="3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repossession (2)</w:t>
            </w:r>
          </w:p>
        </w:tc>
        <w:tc>
          <w:tcPr>
            <w:tcW w:w="118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740" w:type="dxa"/>
            <w:vAlign w:val="bottom"/>
            <w:gridSpan w:val="3"/>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Borders>
              <w:top w:val="single" w:sz="8" w:color="EEEEEE"/>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2,504</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2,683</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12,196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1,203</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1,786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1,508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4,838</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13,982</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non-accrual (4)</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EEEEEE"/>
          </w:tcPr>
          <w:p>
            <w:pPr>
              <w:spacing w:after="0"/>
              <w:rPr>
                <w:sz w:val="20"/>
                <w:szCs w:val="20"/>
                <w:color w:val="auto"/>
              </w:rPr>
            </w:pPr>
          </w:p>
        </w:tc>
        <w:tc>
          <w:tcPr>
            <w:tcW w:w="174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396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extensions, non-accrual (4)</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4,958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3,123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14,407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March 31, 2014</w:t>
            </w:r>
          </w:p>
        </w:tc>
        <w:tc>
          <w:tcPr>
            <w:tcW w:w="29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March 31, 2013</w:t>
            </w:r>
          </w:p>
        </w:tc>
        <w:tc>
          <w:tcPr>
            <w:tcW w:w="2700" w:type="dxa"/>
            <w:vAlign w:val="bottom"/>
            <w:gridSpan w:val="6"/>
          </w:tcPr>
          <w:p>
            <w:pPr>
              <w:ind w:left="56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480" w:type="dxa"/>
            <w:vAlign w:val="bottom"/>
            <w:gridSpan w:val="2"/>
            <w:shd w:val="clear" w:color="auto" w:fill="EEEEEE"/>
          </w:tcPr>
          <w:p>
            <w:pPr>
              <w:jc w:val="center"/>
              <w:ind w:right="320"/>
              <w:spacing w:after="0"/>
              <w:rPr>
                <w:sz w:val="20"/>
                <w:szCs w:val="20"/>
                <w:color w:val="auto"/>
              </w:rPr>
            </w:pPr>
            <w:r>
              <w:rPr>
                <w:rFonts w:ascii="Arial" w:cs="Arial" w:eastAsia="Arial" w:hAnsi="Arial"/>
                <w:sz w:val="18"/>
                <w:szCs w:val="18"/>
                <w:b w:val="1"/>
                <w:bCs w:val="1"/>
                <w:color w:val="auto"/>
                <w:w w:val="90"/>
              </w:rPr>
              <w:t>Contracts</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ind w:left="8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shd w:val="clear" w:color="auto" w:fill="EEEEEE"/>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9"/>
              </w:rPr>
              <w:t>(Dollars in thousands)</w:t>
            </w: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103,040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1,293,365</w:t>
            </w:r>
          </w:p>
        </w:tc>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89,242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960,310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99,099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31-60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27,516</w:t>
            </w:r>
          </w:p>
        </w:tc>
        <w:tc>
          <w:tcPr>
            <w:tcW w:w="1160" w:type="dxa"/>
            <w:vAlign w:val="bottom"/>
          </w:tcPr>
          <w:p>
            <w:pPr>
              <w:jc w:val="right"/>
              <w:spacing w:after="0"/>
              <w:rPr>
                <w:sz w:val="20"/>
                <w:szCs w:val="20"/>
                <w:color w:val="auto"/>
              </w:rPr>
            </w:pPr>
            <w:r>
              <w:rPr>
                <w:rFonts w:ascii="Arial" w:cs="Arial" w:eastAsia="Arial" w:hAnsi="Arial"/>
                <w:sz w:val="18"/>
                <w:szCs w:val="18"/>
                <w:color w:val="auto"/>
              </w:rPr>
              <w:t>2,038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14,175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3,018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61-90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1,590</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19,472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7,106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8"/>
                <w:szCs w:val="18"/>
                <w:color w:val="auto"/>
              </w:rPr>
              <w:t>91+ days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6,753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3,313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4,855</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53,741</w:t>
            </w:r>
          </w:p>
        </w:tc>
        <w:tc>
          <w:tcPr>
            <w:tcW w:w="3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24,594</w:t>
            </w:r>
          </w:p>
        </w:tc>
        <w:tc>
          <w:tcPr>
            <w:tcW w:w="3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6,437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59,226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180" w:type="dxa"/>
            <w:vAlign w:val="bottom"/>
          </w:tcPr>
          <w:p>
            <w:pPr>
              <w:jc w:val="right"/>
              <w:spacing w:after="0"/>
              <w:rPr>
                <w:sz w:val="20"/>
                <w:szCs w:val="20"/>
                <w:color w:val="auto"/>
              </w:rPr>
            </w:pPr>
            <w:r>
              <w:rPr>
                <w:rFonts w:ascii="Arial" w:cs="Arial" w:eastAsia="Arial" w:hAnsi="Arial"/>
                <w:sz w:val="18"/>
                <w:szCs w:val="18"/>
                <w:color w:val="auto"/>
              </w:rPr>
              <w:t>3,543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28,161</w:t>
            </w:r>
          </w:p>
        </w:tc>
        <w:tc>
          <w:tcPr>
            <w:tcW w:w="1160" w:type="dxa"/>
            <w:vAlign w:val="bottom"/>
          </w:tcPr>
          <w:p>
            <w:pPr>
              <w:jc w:val="right"/>
              <w:spacing w:after="0"/>
              <w:rPr>
                <w:sz w:val="20"/>
                <w:szCs w:val="20"/>
                <w:color w:val="auto"/>
              </w:rPr>
            </w:pPr>
            <w:r>
              <w:rPr>
                <w:rFonts w:ascii="Arial" w:cs="Arial" w:eastAsia="Arial" w:hAnsi="Arial"/>
                <w:sz w:val="18"/>
                <w:szCs w:val="18"/>
                <w:color w:val="auto"/>
              </w:rPr>
              <w:t>2,075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15,119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vMerge w:val="restart"/>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720" w:type="dxa"/>
            <w:vAlign w:val="bottom"/>
            <w:vMerge w:val="continue"/>
            <w:shd w:val="clear" w:color="auto" w:fill="EEEEEE"/>
          </w:tcPr>
          <w:p>
            <w:pPr>
              <w:spacing w:after="0"/>
              <w:rPr>
                <w:sz w:val="15"/>
                <w:szCs w:val="15"/>
                <w:color w:val="auto"/>
              </w:rPr>
            </w:pPr>
          </w:p>
        </w:tc>
        <w:tc>
          <w:tcPr>
            <w:tcW w:w="1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8,398</w:t>
            </w:r>
          </w:p>
        </w:tc>
        <w:tc>
          <w:tcPr>
            <w:tcW w:w="340" w:type="dxa"/>
            <w:vAlign w:val="bottom"/>
            <w:vMerge w:val="restart"/>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EEEEEE"/>
          </w:tcPr>
          <w:p>
            <w:pPr>
              <w:jc w:val="right"/>
              <w:ind w:right="360"/>
              <w:spacing w:after="0"/>
              <w:rPr>
                <w:sz w:val="20"/>
                <w:szCs w:val="20"/>
                <w:color w:val="auto"/>
              </w:rPr>
            </w:pPr>
            <w:r>
              <w:rPr>
                <w:rFonts w:ascii="Arial" w:cs="Arial" w:eastAsia="Arial" w:hAnsi="Arial"/>
                <w:sz w:val="18"/>
                <w:szCs w:val="18"/>
                <w:color w:val="auto"/>
              </w:rPr>
              <w:t>81,902</w:t>
            </w:r>
          </w:p>
        </w:tc>
        <w:tc>
          <w:tcPr>
            <w:tcW w:w="116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5,659</w:t>
            </w:r>
          </w:p>
        </w:tc>
        <w:tc>
          <w:tcPr>
            <w:tcW w:w="320" w:type="dxa"/>
            <w:vAlign w:val="bottom"/>
            <w:shd w:val="clear" w:color="auto" w:fill="EEEEEE"/>
          </w:tcPr>
          <w:p>
            <w:pPr>
              <w:spacing w:after="0"/>
              <w:rPr>
                <w:sz w:val="15"/>
                <w:szCs w:val="15"/>
                <w:color w:val="auto"/>
              </w:rPr>
            </w:pP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39,713</w:t>
            </w:r>
          </w:p>
        </w:tc>
        <w:tc>
          <w:tcPr>
            <w:tcW w:w="1300" w:type="dxa"/>
            <w:vAlign w:val="bottom"/>
            <w:gridSpan w:val="2"/>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9,428</w:t>
            </w:r>
          </w:p>
        </w:tc>
        <w:tc>
          <w:tcPr>
            <w:tcW w:w="320" w:type="dxa"/>
            <w:vAlign w:val="bottom"/>
            <w:gridSpan w:val="2"/>
            <w:vMerge w:val="restart"/>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84,356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180" w:type="dxa"/>
            <w:vAlign w:val="bottom"/>
            <w:vMerge w:val="continue"/>
            <w:shd w:val="clear" w:color="auto" w:fill="EEEEEE"/>
          </w:tcPr>
          <w:p>
            <w:pPr>
              <w:spacing w:after="0"/>
              <w:rPr>
                <w:sz w:val="18"/>
                <w:szCs w:val="18"/>
                <w:color w:val="auto"/>
              </w:rPr>
            </w:pPr>
          </w:p>
        </w:tc>
        <w:tc>
          <w:tcPr>
            <w:tcW w:w="340" w:type="dxa"/>
            <w:vAlign w:val="bottom"/>
            <w:vMerge w:val="continue"/>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340" w:type="dxa"/>
            <w:vAlign w:val="bottom"/>
            <w:gridSpan w:val="2"/>
            <w:vMerge w:val="continue"/>
            <w:shd w:val="clear" w:color="auto" w:fill="EEEEEE"/>
          </w:tcPr>
          <w:p>
            <w:pPr>
              <w:spacing w:after="0"/>
              <w:rPr>
                <w:sz w:val="18"/>
                <w:szCs w:val="18"/>
                <w:color w:val="auto"/>
              </w:rPr>
            </w:pPr>
          </w:p>
        </w:tc>
        <w:tc>
          <w:tcPr>
            <w:tcW w:w="1160" w:type="dxa"/>
            <w:vAlign w:val="bottom"/>
            <w:vMerge w:val="continue"/>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vMerge w:val="continue"/>
            <w:shd w:val="clear" w:color="auto" w:fill="EEEEEE"/>
          </w:tcPr>
          <w:p>
            <w:pPr>
              <w:spacing w:after="0"/>
              <w:rPr>
                <w:sz w:val="18"/>
                <w:szCs w:val="18"/>
                <w:color w:val="auto"/>
              </w:rPr>
            </w:pPr>
          </w:p>
        </w:tc>
        <w:tc>
          <w:tcPr>
            <w:tcW w:w="1280" w:type="dxa"/>
            <w:vAlign w:val="bottom"/>
            <w:gridSpan w:val="2"/>
            <w:vMerge w:val="continue"/>
            <w:shd w:val="clear" w:color="auto" w:fill="EEEEEE"/>
          </w:tcPr>
          <w:p>
            <w:pPr>
              <w:spacing w:after="0"/>
              <w:rPr>
                <w:sz w:val="18"/>
                <w:szCs w:val="18"/>
                <w:color w:val="auto"/>
              </w:rPr>
            </w:pPr>
          </w:p>
        </w:tc>
        <w:tc>
          <w:tcPr>
            <w:tcW w:w="1300" w:type="dxa"/>
            <w:vAlign w:val="bottom"/>
            <w:gridSpan w:val="2"/>
            <w:vMerge w:val="continue"/>
            <w:shd w:val="clear" w:color="auto" w:fill="EEEEEE"/>
          </w:tcPr>
          <w:p>
            <w:pPr>
              <w:spacing w:after="0"/>
              <w:rPr>
                <w:sz w:val="18"/>
                <w:szCs w:val="18"/>
                <w:color w:val="auto"/>
              </w:rPr>
            </w:pPr>
          </w:p>
        </w:tc>
        <w:tc>
          <w:tcPr>
            <w:tcW w:w="320" w:type="dxa"/>
            <w:vAlign w:val="bottom"/>
            <w:gridSpan w:val="2"/>
            <w:vMerge w:val="continue"/>
            <w:shd w:val="clear" w:color="auto" w:fill="EEEEEE"/>
          </w:tcPr>
          <w:p>
            <w:pPr>
              <w:spacing w:after="0"/>
              <w:rPr>
                <w:sz w:val="18"/>
                <w:szCs w:val="18"/>
                <w:color w:val="auto"/>
              </w:rPr>
            </w:pPr>
          </w:p>
        </w:tc>
        <w:tc>
          <w:tcPr>
            <w:tcW w:w="1080" w:type="dxa"/>
            <w:vAlign w:val="bottom"/>
            <w:gridSpan w:val="2"/>
            <w:vMerge w:val="continue"/>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amount in</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6"/>
              </w:rPr>
              <w:t>repossession as a percentage of</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gross servicing portfolio</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6.3%</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15,687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195,879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12,158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102,127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14,957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180,181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accruing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5,917</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51,762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7,228</w:t>
            </w: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34,933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6,134</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21,604</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247,641</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19,386</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137,060</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Contracts with one extension,</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8"/>
                <w:szCs w:val="18"/>
                <w:color w:val="auto"/>
              </w:rPr>
              <w:t>non-accrual (4)</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1,072</w:t>
            </w: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9,045</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4,486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extensions, 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2,938</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2,605</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11,983</w:t>
            </w:r>
          </w:p>
        </w:tc>
        <w:tc>
          <w:tcPr>
            <w:tcW w:w="3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7,091</w:t>
            </w:r>
          </w:p>
        </w:tc>
        <w:tc>
          <w:tcPr>
            <w:tcW w:w="3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23,224</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259,624</w:t>
            </w:r>
          </w:p>
        </w:tc>
        <w:tc>
          <w:tcPr>
            <w:tcW w:w="3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144,151</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____________</w:t>
            </w: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400" w:firstLine="4"/>
        <w:spacing w:after="0" w:line="265" w:lineRule="auto"/>
        <w:tabs>
          <w:tab w:leader="none" w:pos="659"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left="400" w:firstLine="4"/>
        <w:spacing w:after="0" w:line="250"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660" w:hanging="256"/>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660" w:hanging="256"/>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19"/>
                <w:szCs w:val="19"/>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2014</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1,261,757</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885,741</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1,044,686</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ind w:left="200"/>
              <w:spacing w:after="0"/>
              <w:rPr>
                <w:sz w:val="20"/>
                <w:szCs w:val="20"/>
                <w:color w:val="auto"/>
              </w:rPr>
            </w:pPr>
            <w:r>
              <w:rPr>
                <w:rFonts w:ascii="Arial" w:cs="Arial" w:eastAsia="Arial" w:hAnsi="Arial"/>
                <w:sz w:val="18"/>
                <w:szCs w:val="18"/>
                <w:color w:val="auto"/>
              </w:rPr>
              <w:t>average servicing portfolio (2)</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414"/>
        </w:trPr>
        <w:tc>
          <w:tcPr>
            <w:tcW w:w="3720" w:type="dxa"/>
            <w:vAlign w:val="bottom"/>
          </w:tcPr>
          <w:p>
            <w:pPr>
              <w:spacing w:after="0"/>
              <w:rPr>
                <w:sz w:val="24"/>
                <w:szCs w:val="24"/>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Net Charge-Off Experience (1)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Fireside Portfolio</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2014</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10,889</w:t>
            </w:r>
          </w:p>
        </w:tc>
        <w:tc>
          <w:tcPr>
            <w:tcW w:w="480" w:type="dxa"/>
            <w:vAlign w:val="bottom"/>
            <w:shd w:val="clear" w:color="auto" w:fill="EEEEEE"/>
          </w:tcPr>
          <w:p>
            <w:pPr>
              <w:spacing w:after="0"/>
              <w:rPr>
                <w:sz w:val="18"/>
                <w:szCs w:val="18"/>
                <w:color w:val="auto"/>
              </w:rPr>
            </w:pP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49,000</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31,293</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ind w:left="200"/>
              <w:spacing w:after="0"/>
              <w:rPr>
                <w:sz w:val="20"/>
                <w:szCs w:val="20"/>
                <w:color w:val="auto"/>
              </w:rPr>
            </w:pPr>
            <w:r>
              <w:rPr>
                <w:rFonts w:ascii="Arial" w:cs="Arial" w:eastAsia="Arial" w:hAnsi="Arial"/>
                <w:sz w:val="18"/>
                <w:szCs w:val="18"/>
                <w:color w:val="auto"/>
              </w:rPr>
              <w:t>average servicing portfolio (2)</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414"/>
        </w:trPr>
        <w:tc>
          <w:tcPr>
            <w:tcW w:w="3720" w:type="dxa"/>
            <w:vAlign w:val="bottom"/>
          </w:tcPr>
          <w:p>
            <w:pPr>
              <w:spacing w:after="0"/>
              <w:rPr>
                <w:sz w:val="24"/>
                <w:szCs w:val="24"/>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Net Charge-Off Experience (1)</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20" w:type="dxa"/>
            <w:vAlign w:val="bottom"/>
          </w:tcPr>
          <w:p>
            <w:pPr>
              <w:spacing w:after="0"/>
              <w:rPr>
                <w:sz w:val="20"/>
                <w:szCs w:val="20"/>
                <w:color w:val="auto"/>
              </w:rPr>
            </w:pPr>
          </w:p>
        </w:tc>
        <w:tc>
          <w:tcPr>
            <w:tcW w:w="38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80" w:type="dxa"/>
            <w:vAlign w:val="bottom"/>
          </w:tcPr>
          <w:p>
            <w:pPr>
              <w:spacing w:after="0"/>
              <w:rPr>
                <w:sz w:val="24"/>
                <w:szCs w:val="24"/>
                <w:color w:val="auto"/>
              </w:rPr>
            </w:pPr>
          </w:p>
        </w:tc>
        <w:tc>
          <w:tcPr>
            <w:tcW w:w="15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2014</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2013</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1,272,646</w:t>
            </w:r>
          </w:p>
        </w:tc>
        <w:tc>
          <w:tcPr>
            <w:tcW w:w="4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934,741</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1,075,979</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Annualized net charge-offs as a percentage of</w:t>
            </w:r>
          </w:p>
        </w:tc>
        <w:tc>
          <w:tcPr>
            <w:tcW w:w="2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20" w:type="dxa"/>
            <w:vAlign w:val="bottom"/>
          </w:tcPr>
          <w:p>
            <w:pPr>
              <w:ind w:left="200"/>
              <w:spacing w:after="0"/>
              <w:rPr>
                <w:sz w:val="20"/>
                <w:szCs w:val="20"/>
                <w:color w:val="auto"/>
              </w:rPr>
            </w:pPr>
            <w:r>
              <w:rPr>
                <w:rFonts w:ascii="Arial" w:cs="Arial" w:eastAsia="Arial" w:hAnsi="Arial"/>
                <w:sz w:val="18"/>
                <w:szCs w:val="18"/>
                <w:color w:val="auto"/>
              </w:rPr>
              <w:t>average servicing portfolio (2)</w:t>
            </w:r>
          </w:p>
        </w:tc>
        <w:tc>
          <w:tcPr>
            <w:tcW w:w="2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400" w:firstLine="4"/>
        <w:spacing w:after="0" w:line="250" w:lineRule="auto"/>
        <w:tabs>
          <w:tab w:leader="none" w:pos="662"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left="400" w:firstLine="4"/>
        <w:spacing w:after="0" w:line="273" w:lineRule="auto"/>
        <w:tabs>
          <w:tab w:leader="none" w:pos="677"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financial statements. March 31, 2014 and March 31, 2013 percentage represents three months ended March 31, 2014 and March 31, 2013 annualized. December 31, 2013 represents 12 months ended December 31,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both"/>
        <w:ind w:firstLine="162"/>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w:t>
      </w:r>
    </w:p>
    <w:p>
      <w:pPr>
        <w:spacing w:after="0" w:line="17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2014, for accounts that received extensions from 2008 through 2012 (2013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Active or Paid</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color w:val="auto"/>
                <w:w w:val="98"/>
              </w:rPr>
              <w:t>% Active or</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Charged Off</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 Charged</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Charged Off</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 Charged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Avg Months</w:t>
            </w:r>
          </w:p>
        </w:tc>
      </w:tr>
      <w:tr>
        <w:trPr>
          <w:trHeight w:val="149"/>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6"/>
              </w:rPr>
              <w:t>Off at March</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Paid Off at</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&gt; 6 Months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Off &gt; 6</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&lt;= 6 Months</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Off &lt;= 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to Charge Off</w:t>
            </w:r>
          </w:p>
        </w:tc>
      </w:tr>
      <w:tr>
        <w:trPr>
          <w:trHeight w:val="162"/>
        </w:trPr>
        <w:tc>
          <w:tcPr>
            <w:tcW w:w="1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color w:val="auto"/>
                <w:w w:val="96"/>
              </w:rPr>
              <w:t>Period of</w:t>
            </w: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 Extensions</w:t>
            </w: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31,</w:t>
            </w:r>
          </w:p>
        </w:tc>
        <w:tc>
          <w:tcPr>
            <w:tcW w:w="46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March 31,</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Months After</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rPr>
              <w:t>After</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8"/>
              </w:rPr>
              <w:t>Months After</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Post</w:t>
            </w:r>
          </w:p>
        </w:tc>
      </w:tr>
      <w:tr>
        <w:trPr>
          <w:trHeight w:val="167"/>
        </w:trPr>
        <w:tc>
          <w:tcPr>
            <w:tcW w:w="1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Extension</w:t>
            </w: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4"/>
              </w:rPr>
              <w:t>Granted</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4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Extension</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Extension</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r>
      <w:tr>
        <w:trPr>
          <w:trHeight w:val="142"/>
        </w:trPr>
        <w:tc>
          <w:tcPr>
            <w:tcW w:w="12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96"/>
              </w:rPr>
              <w:t>2008</w:t>
            </w:r>
          </w:p>
        </w:tc>
        <w:tc>
          <w:tcPr>
            <w:tcW w:w="48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35,588</w:t>
            </w:r>
          </w:p>
        </w:tc>
        <w:tc>
          <w:tcPr>
            <w:tcW w:w="480" w:type="dxa"/>
            <w:vAlign w:val="bottom"/>
            <w:tcBorders>
              <w:top w:val="single" w:sz="8" w:color="EEEEEE"/>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11,117</w:t>
            </w:r>
          </w:p>
        </w:tc>
        <w:tc>
          <w:tcPr>
            <w:tcW w:w="460" w:type="dxa"/>
            <w:vAlign w:val="bottom"/>
            <w:tcBorders>
              <w:top w:val="single" w:sz="8" w:color="EEEEEE"/>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31.2%</w:t>
            </w:r>
          </w:p>
        </w:tc>
        <w:tc>
          <w:tcPr>
            <w:tcW w:w="460" w:type="dxa"/>
            <w:vAlign w:val="bottom"/>
            <w:tcBorders>
              <w:top w:val="single" w:sz="8" w:color="EEEEEE"/>
            </w:tcBorders>
            <w:shd w:val="clear" w:color="auto" w:fill="EEEEEE"/>
          </w:tcPr>
          <w:p>
            <w:pPr>
              <w:spacing w:after="0"/>
              <w:rPr>
                <w:sz w:val="12"/>
                <w:szCs w:val="12"/>
                <w:color w:val="auto"/>
              </w:rPr>
            </w:pP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19,315</w:t>
            </w:r>
          </w:p>
        </w:tc>
        <w:tc>
          <w:tcPr>
            <w:tcW w:w="42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54.3%</w:t>
            </w:r>
          </w:p>
        </w:tc>
        <w:tc>
          <w:tcPr>
            <w:tcW w:w="44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4,819</w:t>
            </w:r>
          </w:p>
        </w:tc>
        <w:tc>
          <w:tcPr>
            <w:tcW w:w="42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13.5%</w:t>
            </w:r>
          </w:p>
        </w:tc>
        <w:tc>
          <w:tcPr>
            <w:tcW w:w="44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19</w:t>
            </w:r>
          </w:p>
        </w:tc>
        <w:tc>
          <w:tcPr>
            <w:tcW w:w="100" w:type="dxa"/>
            <w:vAlign w:val="bottom"/>
            <w:tcBorders>
              <w:top w:val="single" w:sz="8" w:color="EEEEEE"/>
            </w:tcBorders>
            <w:shd w:val="clear" w:color="auto" w:fill="EEEEEE"/>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gridSpan w:val="2"/>
            <w:shd w:val="clear" w:color="auto" w:fill="EEEEEE"/>
          </w:tcPr>
          <w:p>
            <w:pPr>
              <w:jc w:val="center"/>
              <w:ind w:left="68"/>
              <w:spacing w:after="0" w:line="149" w:lineRule="exact"/>
              <w:rPr>
                <w:sz w:val="20"/>
                <w:szCs w:val="20"/>
                <w:color w:val="auto"/>
              </w:rPr>
            </w:pPr>
            <w:r>
              <w:rPr>
                <w:rFonts w:ascii="Arial" w:cs="Arial" w:eastAsia="Arial" w:hAnsi="Arial"/>
                <w:sz w:val="14"/>
                <w:szCs w:val="14"/>
                <w:color w:val="auto"/>
                <w:w w:val="96"/>
              </w:rPr>
              <w:t>2009</w:t>
            </w:r>
          </w:p>
        </w:tc>
        <w:tc>
          <w:tcPr>
            <w:tcW w:w="480" w:type="dxa"/>
            <w:vAlign w:val="bottom"/>
            <w:shd w:val="clear" w:color="auto" w:fill="EEEEEE"/>
          </w:tcPr>
          <w:p>
            <w:pPr>
              <w:spacing w:after="0"/>
              <w:rPr>
                <w:sz w:val="12"/>
                <w:szCs w:val="12"/>
                <w:color w:val="auto"/>
              </w:rPr>
            </w:pPr>
          </w:p>
        </w:tc>
        <w:tc>
          <w:tcPr>
            <w:tcW w:w="1400" w:type="dxa"/>
            <w:vAlign w:val="bottom"/>
            <w:gridSpan w:val="2"/>
            <w:shd w:val="clear" w:color="auto" w:fill="EEEEEE"/>
          </w:tcPr>
          <w:p>
            <w:pPr>
              <w:jc w:val="right"/>
              <w:ind w:right="480"/>
              <w:spacing w:after="0" w:line="149" w:lineRule="exact"/>
              <w:rPr>
                <w:sz w:val="20"/>
                <w:szCs w:val="20"/>
                <w:color w:val="auto"/>
              </w:rPr>
            </w:pPr>
            <w:r>
              <w:rPr>
                <w:rFonts w:ascii="Arial" w:cs="Arial" w:eastAsia="Arial" w:hAnsi="Arial"/>
                <w:sz w:val="14"/>
                <w:szCs w:val="14"/>
                <w:color w:val="auto"/>
              </w:rPr>
              <w:t>32,004</w:t>
            </w:r>
          </w:p>
        </w:tc>
        <w:tc>
          <w:tcPr>
            <w:tcW w:w="13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10,904</w:t>
            </w:r>
          </w:p>
        </w:tc>
        <w:tc>
          <w:tcPr>
            <w:tcW w:w="12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34.1%</w:t>
            </w:r>
          </w:p>
        </w:tc>
        <w:tc>
          <w:tcPr>
            <w:tcW w:w="12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15,539</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48.6%</w:t>
            </w:r>
          </w:p>
        </w:tc>
        <w:tc>
          <w:tcPr>
            <w:tcW w:w="122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5,783</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18.1%</w:t>
            </w:r>
          </w:p>
        </w:tc>
        <w:tc>
          <w:tcPr>
            <w:tcW w:w="9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9"/>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gridSpan w:val="2"/>
            <w:shd w:val="clear" w:color="auto" w:fill="EEEEEE"/>
          </w:tcPr>
          <w:p>
            <w:pPr>
              <w:jc w:val="center"/>
              <w:ind w:left="68"/>
              <w:spacing w:after="0" w:line="149" w:lineRule="exact"/>
              <w:rPr>
                <w:sz w:val="20"/>
                <w:szCs w:val="20"/>
                <w:color w:val="auto"/>
              </w:rPr>
            </w:pPr>
            <w:r>
              <w:rPr>
                <w:rFonts w:ascii="Arial" w:cs="Arial" w:eastAsia="Arial" w:hAnsi="Arial"/>
                <w:sz w:val="14"/>
                <w:szCs w:val="14"/>
                <w:color w:val="auto"/>
                <w:w w:val="96"/>
              </w:rPr>
              <w:t>2010</w:t>
            </w:r>
          </w:p>
        </w:tc>
        <w:tc>
          <w:tcPr>
            <w:tcW w:w="480" w:type="dxa"/>
            <w:vAlign w:val="bottom"/>
            <w:shd w:val="clear" w:color="auto" w:fill="EEEEEE"/>
          </w:tcPr>
          <w:p>
            <w:pPr>
              <w:spacing w:after="0"/>
              <w:rPr>
                <w:sz w:val="12"/>
                <w:szCs w:val="12"/>
                <w:color w:val="auto"/>
              </w:rPr>
            </w:pPr>
          </w:p>
        </w:tc>
        <w:tc>
          <w:tcPr>
            <w:tcW w:w="1400" w:type="dxa"/>
            <w:vAlign w:val="bottom"/>
            <w:gridSpan w:val="2"/>
            <w:shd w:val="clear" w:color="auto" w:fill="EEEEEE"/>
          </w:tcPr>
          <w:p>
            <w:pPr>
              <w:jc w:val="right"/>
              <w:ind w:right="480"/>
              <w:spacing w:after="0" w:line="149" w:lineRule="exact"/>
              <w:rPr>
                <w:sz w:val="20"/>
                <w:szCs w:val="20"/>
                <w:color w:val="auto"/>
              </w:rPr>
            </w:pPr>
            <w:r>
              <w:rPr>
                <w:rFonts w:ascii="Arial" w:cs="Arial" w:eastAsia="Arial" w:hAnsi="Arial"/>
                <w:sz w:val="14"/>
                <w:szCs w:val="14"/>
                <w:color w:val="auto"/>
              </w:rPr>
              <w:t>26,167</w:t>
            </w:r>
          </w:p>
        </w:tc>
        <w:tc>
          <w:tcPr>
            <w:tcW w:w="13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12,992</w:t>
            </w:r>
          </w:p>
        </w:tc>
        <w:tc>
          <w:tcPr>
            <w:tcW w:w="12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49.7%</w:t>
            </w:r>
          </w:p>
        </w:tc>
        <w:tc>
          <w:tcPr>
            <w:tcW w:w="8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11,176</w:t>
            </w:r>
          </w:p>
        </w:tc>
        <w:tc>
          <w:tcPr>
            <w:tcW w:w="4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42.7%</w:t>
            </w:r>
          </w:p>
        </w:tc>
        <w:tc>
          <w:tcPr>
            <w:tcW w:w="122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1,999</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7.6%</w:t>
            </w:r>
          </w:p>
        </w:tc>
        <w:tc>
          <w:tcPr>
            <w:tcW w:w="9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w:t>
            </w:r>
          </w:p>
        </w:tc>
      </w:tr>
      <w:tr>
        <w:trPr>
          <w:trHeight w:val="149"/>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gridSpan w:val="2"/>
            <w:shd w:val="clear" w:color="auto" w:fill="EEEEEE"/>
          </w:tcPr>
          <w:p>
            <w:pPr>
              <w:jc w:val="center"/>
              <w:ind w:left="68"/>
              <w:spacing w:after="0" w:line="149" w:lineRule="exact"/>
              <w:rPr>
                <w:sz w:val="20"/>
                <w:szCs w:val="20"/>
                <w:color w:val="auto"/>
              </w:rPr>
            </w:pPr>
            <w:r>
              <w:rPr>
                <w:rFonts w:ascii="Arial" w:cs="Arial" w:eastAsia="Arial" w:hAnsi="Arial"/>
                <w:sz w:val="14"/>
                <w:szCs w:val="14"/>
                <w:color w:val="auto"/>
                <w:w w:val="96"/>
              </w:rPr>
              <w:t>2011</w:t>
            </w:r>
          </w:p>
        </w:tc>
        <w:tc>
          <w:tcPr>
            <w:tcW w:w="480" w:type="dxa"/>
            <w:vAlign w:val="bottom"/>
            <w:shd w:val="clear" w:color="auto" w:fill="EEEEEE"/>
          </w:tcPr>
          <w:p>
            <w:pPr>
              <w:spacing w:after="0"/>
              <w:rPr>
                <w:sz w:val="12"/>
                <w:szCs w:val="12"/>
                <w:color w:val="auto"/>
              </w:rPr>
            </w:pPr>
          </w:p>
        </w:tc>
        <w:tc>
          <w:tcPr>
            <w:tcW w:w="1400" w:type="dxa"/>
            <w:vAlign w:val="bottom"/>
            <w:gridSpan w:val="2"/>
            <w:shd w:val="clear" w:color="auto" w:fill="EEEEEE"/>
          </w:tcPr>
          <w:p>
            <w:pPr>
              <w:jc w:val="right"/>
              <w:ind w:right="480"/>
              <w:spacing w:after="0" w:line="149" w:lineRule="exact"/>
              <w:rPr>
                <w:sz w:val="20"/>
                <w:szCs w:val="20"/>
                <w:color w:val="auto"/>
              </w:rPr>
            </w:pPr>
            <w:r>
              <w:rPr>
                <w:rFonts w:ascii="Arial" w:cs="Arial" w:eastAsia="Arial" w:hAnsi="Arial"/>
                <w:sz w:val="14"/>
                <w:szCs w:val="14"/>
                <w:color w:val="auto"/>
              </w:rPr>
              <w:t>18,786</w:t>
            </w:r>
          </w:p>
        </w:tc>
        <w:tc>
          <w:tcPr>
            <w:tcW w:w="9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11,976</w:t>
            </w:r>
          </w:p>
        </w:tc>
        <w:tc>
          <w:tcPr>
            <w:tcW w:w="46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63.7%</w:t>
            </w:r>
          </w:p>
        </w:tc>
        <w:tc>
          <w:tcPr>
            <w:tcW w:w="12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5,878</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31.3%</w:t>
            </w:r>
          </w:p>
        </w:tc>
        <w:tc>
          <w:tcPr>
            <w:tcW w:w="122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932</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5.0%</w:t>
            </w:r>
          </w:p>
        </w:tc>
        <w:tc>
          <w:tcPr>
            <w:tcW w:w="9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16</w:t>
            </w:r>
          </w:p>
        </w:tc>
      </w:tr>
      <w:tr>
        <w:trPr>
          <w:trHeight w:val="149"/>
        </w:trPr>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040" w:type="dxa"/>
            <w:vAlign w:val="bottom"/>
            <w:gridSpan w:val="2"/>
            <w:shd w:val="clear" w:color="auto" w:fill="EEEEEE"/>
          </w:tcPr>
          <w:p>
            <w:pPr>
              <w:jc w:val="center"/>
              <w:ind w:left="68"/>
              <w:spacing w:after="0" w:line="149" w:lineRule="exact"/>
              <w:rPr>
                <w:sz w:val="20"/>
                <w:szCs w:val="20"/>
                <w:color w:val="auto"/>
              </w:rPr>
            </w:pPr>
            <w:r>
              <w:rPr>
                <w:rFonts w:ascii="Arial" w:cs="Arial" w:eastAsia="Arial" w:hAnsi="Arial"/>
                <w:sz w:val="14"/>
                <w:szCs w:val="14"/>
                <w:color w:val="auto"/>
                <w:w w:val="96"/>
              </w:rPr>
              <w:t>2012</w:t>
            </w:r>
          </w:p>
        </w:tc>
        <w:tc>
          <w:tcPr>
            <w:tcW w:w="480" w:type="dxa"/>
            <w:vAlign w:val="bottom"/>
            <w:shd w:val="clear" w:color="auto" w:fill="EEEEEE"/>
          </w:tcPr>
          <w:p>
            <w:pPr>
              <w:spacing w:after="0"/>
              <w:rPr>
                <w:sz w:val="12"/>
                <w:szCs w:val="12"/>
                <w:color w:val="auto"/>
              </w:rPr>
            </w:pPr>
          </w:p>
        </w:tc>
        <w:tc>
          <w:tcPr>
            <w:tcW w:w="1400" w:type="dxa"/>
            <w:vAlign w:val="bottom"/>
            <w:gridSpan w:val="2"/>
            <w:shd w:val="clear" w:color="auto" w:fill="EEEEEE"/>
          </w:tcPr>
          <w:p>
            <w:pPr>
              <w:jc w:val="right"/>
              <w:ind w:right="480"/>
              <w:spacing w:after="0" w:line="149" w:lineRule="exact"/>
              <w:rPr>
                <w:sz w:val="20"/>
                <w:szCs w:val="20"/>
                <w:color w:val="auto"/>
              </w:rPr>
            </w:pPr>
            <w:r>
              <w:rPr>
                <w:rFonts w:ascii="Arial" w:cs="Arial" w:eastAsia="Arial" w:hAnsi="Arial"/>
                <w:sz w:val="14"/>
                <w:szCs w:val="14"/>
                <w:color w:val="auto"/>
              </w:rPr>
              <w:t>18,783</w:t>
            </w:r>
          </w:p>
        </w:tc>
        <w:tc>
          <w:tcPr>
            <w:tcW w:w="13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13,715</w:t>
            </w:r>
          </w:p>
        </w:tc>
        <w:tc>
          <w:tcPr>
            <w:tcW w:w="1280" w:type="dxa"/>
            <w:vAlign w:val="bottom"/>
            <w:gridSpan w:val="2"/>
            <w:shd w:val="clear" w:color="auto" w:fill="EEEEEE"/>
          </w:tcPr>
          <w:p>
            <w:pPr>
              <w:jc w:val="right"/>
              <w:ind w:right="460"/>
              <w:spacing w:after="0" w:line="149" w:lineRule="exact"/>
              <w:rPr>
                <w:sz w:val="20"/>
                <w:szCs w:val="20"/>
                <w:color w:val="auto"/>
              </w:rPr>
            </w:pPr>
            <w:r>
              <w:rPr>
                <w:rFonts w:ascii="Arial" w:cs="Arial" w:eastAsia="Arial" w:hAnsi="Arial"/>
                <w:sz w:val="14"/>
                <w:szCs w:val="14"/>
                <w:color w:val="auto"/>
              </w:rPr>
              <w:t>73.0%</w:t>
            </w:r>
          </w:p>
        </w:tc>
        <w:tc>
          <w:tcPr>
            <w:tcW w:w="124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4,272</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22.7%</w:t>
            </w:r>
          </w:p>
        </w:tc>
        <w:tc>
          <w:tcPr>
            <w:tcW w:w="1220" w:type="dxa"/>
            <w:vAlign w:val="bottom"/>
            <w:gridSpan w:val="2"/>
            <w:shd w:val="clear" w:color="auto" w:fill="EEEEEE"/>
          </w:tcPr>
          <w:p>
            <w:pPr>
              <w:jc w:val="right"/>
              <w:ind w:right="420"/>
              <w:spacing w:after="0" w:line="149" w:lineRule="exact"/>
              <w:rPr>
                <w:sz w:val="20"/>
                <w:szCs w:val="20"/>
                <w:color w:val="auto"/>
              </w:rPr>
            </w:pPr>
            <w:r>
              <w:rPr>
                <w:rFonts w:ascii="Arial" w:cs="Arial" w:eastAsia="Arial" w:hAnsi="Arial"/>
                <w:sz w:val="14"/>
                <w:szCs w:val="14"/>
                <w:color w:val="auto"/>
              </w:rPr>
              <w:t>796</w:t>
            </w:r>
          </w:p>
        </w:tc>
        <w:tc>
          <w:tcPr>
            <w:tcW w:w="1240" w:type="dxa"/>
            <w:vAlign w:val="bottom"/>
            <w:gridSpan w:val="2"/>
            <w:shd w:val="clear" w:color="auto" w:fill="EEEEEE"/>
          </w:tcPr>
          <w:p>
            <w:pPr>
              <w:jc w:val="right"/>
              <w:ind w:right="440"/>
              <w:spacing w:after="0" w:line="149" w:lineRule="exact"/>
              <w:rPr>
                <w:sz w:val="20"/>
                <w:szCs w:val="20"/>
                <w:color w:val="auto"/>
              </w:rPr>
            </w:pPr>
            <w:r>
              <w:rPr>
                <w:rFonts w:ascii="Arial" w:cs="Arial" w:eastAsia="Arial" w:hAnsi="Arial"/>
                <w:sz w:val="14"/>
                <w:szCs w:val="14"/>
                <w:color w:val="auto"/>
              </w:rPr>
              <w:t>4.2%</w:t>
            </w:r>
          </w:p>
        </w:tc>
        <w:tc>
          <w:tcPr>
            <w:tcW w:w="9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2011 and 2012, 31.2%, 34.1%, 49.7%, 63.7% and 73.0%, respectively, were either paid in full or active and performing at March 31, 2014.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For the extension accounts that ultimately charge off, we consider any that charged off more than six months after the extension to be at least partially successful. For the 2008, 2009, 2010, 2011 and 2012 extensions, of the accounts that charged off, the charge off was incurred, on average, 19, 16, 17, 16 and 11 months, respectively,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6840" w:type="dxa"/>
            <w:vAlign w:val="bottom"/>
            <w:gridSpan w:val="3"/>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w w:val="90"/>
              </w:rPr>
              <w:t>Three Months Ended</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89"/>
              </w:rPr>
              <w:t>2013</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1,753</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1,576</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101,647</w:t>
            </w:r>
          </w:p>
        </w:tc>
        <w:tc>
          <w:tcPr>
            <w:tcW w:w="3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89,173</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1.8%</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40" w:type="dxa"/>
            <w:vAlign w:val="bottom"/>
            <w:gridSpan w:val="5"/>
          </w:tcPr>
          <w:p>
            <w:pPr>
              <w:jc w:val="right"/>
              <w:ind w:right="1120"/>
              <w:spacing w:after="0"/>
              <w:rPr>
                <w:sz w:val="20"/>
                <w:szCs w:val="20"/>
                <w:color w:val="auto"/>
              </w:rPr>
            </w:pPr>
            <w:r>
              <w:rPr>
                <w:rFonts w:ascii="Arial" w:cs="Arial" w:eastAsia="Arial" w:hAnsi="Arial"/>
                <w:sz w:val="18"/>
                <w:szCs w:val="18"/>
                <w:color w:val="auto"/>
              </w:rPr>
              <w:t>March 31, 2014</w:t>
            </w:r>
          </w:p>
        </w:tc>
        <w:tc>
          <w:tcPr>
            <w:tcW w:w="2940" w:type="dxa"/>
            <w:vAlign w:val="bottom"/>
            <w:gridSpan w:val="5"/>
          </w:tcPr>
          <w:p>
            <w:pPr>
              <w:ind w:left="740"/>
              <w:spacing w:after="0"/>
              <w:rPr>
                <w:sz w:val="20"/>
                <w:szCs w:val="20"/>
                <w:color w:val="auto"/>
              </w:rPr>
            </w:pPr>
            <w:r>
              <w:rPr>
                <w:rFonts w:ascii="Arial" w:cs="Arial" w:eastAsia="Arial" w:hAnsi="Arial"/>
                <w:sz w:val="18"/>
                <w:szCs w:val="18"/>
                <w:color w:val="auto"/>
              </w:rPr>
              <w:t>March 31, 2013</w:t>
            </w:r>
          </w:p>
        </w:tc>
        <w:tc>
          <w:tcPr>
            <w:tcW w:w="2700" w:type="dxa"/>
            <w:vAlign w:val="bottom"/>
            <w:gridSpan w:val="6"/>
          </w:tcPr>
          <w:p>
            <w:pPr>
              <w:ind w:left="58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2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2"/>
              </w:rPr>
              <w:t>Number of</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60"/>
              <w:spacing w:after="0" w:line="195" w:lineRule="exact"/>
              <w:rPr>
                <w:sz w:val="20"/>
                <w:szCs w:val="20"/>
                <w:color w:val="auto"/>
              </w:rPr>
            </w:pPr>
            <w:r>
              <w:rPr>
                <w:rFonts w:ascii="Arial" w:cs="Arial" w:eastAsia="Arial" w:hAnsi="Arial"/>
                <w:sz w:val="18"/>
                <w:szCs w:val="18"/>
                <w:color w:val="auto"/>
                <w:w w:val="92"/>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Contracts</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Contracts</w:t>
            </w:r>
          </w:p>
        </w:tc>
        <w:tc>
          <w:tcPr>
            <w:tcW w:w="18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16,759</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204,924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12,774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106,613</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16,047</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4,410</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43,449</w:t>
            </w:r>
          </w:p>
        </w:tc>
        <w:tc>
          <w:tcPr>
            <w:tcW w:w="1160" w:type="dxa"/>
            <w:vAlign w:val="bottom"/>
          </w:tcPr>
          <w:p>
            <w:pPr>
              <w:jc w:val="right"/>
              <w:spacing w:after="0"/>
              <w:rPr>
                <w:sz w:val="20"/>
                <w:szCs w:val="20"/>
                <w:color w:val="auto"/>
              </w:rPr>
            </w:pPr>
            <w:r>
              <w:rPr>
                <w:rFonts w:ascii="Arial" w:cs="Arial" w:eastAsia="Arial" w:hAnsi="Arial"/>
                <w:sz w:val="18"/>
                <w:szCs w:val="18"/>
                <w:color w:val="auto"/>
              </w:rPr>
              <w:t>4,193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21,404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8,109</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2,402</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10,339</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1,486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2,003</w:t>
            </w:r>
          </w:p>
        </w:tc>
        <w:tc>
          <w:tcPr>
            <w:tcW w:w="1160" w:type="dxa"/>
            <w:vAlign w:val="bottom"/>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4,517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866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1,128</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259,624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144,151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239,862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w:t>
            </w:r>
          </w:p>
        </w:tc>
        <w:tc>
          <w:tcPr>
            <w:tcW w:w="1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originated and owned by 3rd</w:t>
            </w:r>
          </w:p>
        </w:tc>
        <w:tc>
          <w:tcPr>
            <w:tcW w:w="1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parties)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103,040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1,293,365</w:t>
            </w:r>
          </w:p>
        </w:tc>
        <w:tc>
          <w:tcPr>
            <w:tcW w:w="360" w:type="dxa"/>
            <w:vAlign w:val="bottom"/>
            <w:shd w:val="clear" w:color="auto" w:fill="EEEEEE"/>
          </w:tcPr>
          <w:p>
            <w:pPr>
              <w:spacing w:after="0"/>
              <w:rPr>
                <w:sz w:val="20"/>
                <w:szCs w:val="20"/>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89,242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960,310</w:t>
            </w:r>
          </w:p>
        </w:tc>
        <w:tc>
          <w:tcPr>
            <w:tcW w:w="13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99,099</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162"/>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Net cash provided by operating activities for the three-month period ended March 31, 2014 was $36.2 million compared to net cash provided by operating activities for the three-month period ended March 31, 2013 of $21.0 million. Cash provided by operating activities is significantly affected by our net income, or loss, before provisions for credit losses. The increase is due primarily to the increase in net income before provision for credit losses of $11.7 million.</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Net cash used in investing activities for the three-month period ended March 31, 2014 was $97.0 million compared to net cash used by investing activities of $115.4 million in the prior year period. Cash provided by investing activities primarily results from principal payments and other proceeds received on finance receivables held for investment and reductions in restricted cash. Cash used in investing activities generally relates to purchases of automobile contracts. Purchases of finance receivables held for investment were $189.9 million and $180.1 million during the first three months of 2014 and 2013, respectively.</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Net cash provided by financing activities for the three months ended March 31, 2014 was $53.3 million compared to net cash provided by financing activities of $95.2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2014, we issued $180.0 million in new securitization trust debt compared to $185.0 million in the same period of 2013. In addition, we repaid $110.2 million in securitization trust debt and $5.0 million in debt associated with the Fireside portfolio in the three months ended March 31, 2014 compared to repayments of securitization trust debt of $76.1 million and repayment of $17.9 million in debt associated with the Fireside portfolio in the prior year period. In the three months ended March 31, 2014, we received net proceeds on warehouse lines of credit of $32.1 million, compared to net proceeds of $4.9 million in the prior year’s period. During the first three months of 2014, we repaid in full $39.2 million of senior secured related party debt compared to no repayments of senior secured related party debt in the prior year’s period.</w:t>
      </w:r>
    </w:p>
    <w:p>
      <w:pPr>
        <w:spacing w:after="0" w:line="18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both"/>
        <w:ind w:firstLine="130"/>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March 31, 2014, we had unrestricted cash of $14.6 million, $74.3 million available under one warehouse credit facility and $84.2 million available under another warehouse credit facility (such figures assume the availability of sufficient eligible collateral). During the three-month period ended March 31, 2014, we completed one securitization aggregating $180.0 million of receivables. We intend to complete more securitizations during 2014, although there can be no assurance that we will be able to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andcash releases from these transactions will be used to repay the financings.</w:t>
      </w:r>
    </w:p>
    <w:p>
      <w:pPr>
        <w:spacing w:after="0" w:line="17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March 31, 2014, we were in compliance with all such financial covenants.</w:t>
      </w:r>
    </w:p>
    <w:p>
      <w:pPr>
        <w:spacing w:after="0" w:line="171"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We have and will continue to have a substantial amount of indebtedness. At March 31, 2014, we had approximately $1,331.7 million of debt outstanding. Such debt consisted primarily of $1,247.4million of securitization trust debt, and also included $8.6 million in debt for the acquisition of the Fireside portfolio, $41.5 million of warehouse lines of credit, $15.6 million of residual interest financing and $18.6 million in subordinated renewable notes. We are also currently offering the subordinated notes to the public on a continuous basis, and such notes have maturities that range from three months to 10 years.</w:t>
      </w:r>
    </w:p>
    <w:p>
      <w:pPr>
        <w:spacing w:after="0" w:line="154"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Our recent operating results include pre-tax earnings of $11.8 million for the three months ended March 31, 2014 and $37.2 million and $9.2 million for the years ended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71"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130"/>
        <w:spacing w:after="0" w:line="286" w:lineRule="auto"/>
        <w:rPr>
          <w:sz w:val="20"/>
          <w:szCs w:val="20"/>
          <w:color w:val="auto"/>
        </w:rPr>
      </w:pPr>
      <w:r>
        <w:rPr>
          <w:rFonts w:ascii="Arial" w:cs="Arial" w:eastAsia="Arial" w:hAnsi="Arial"/>
          <w:sz w:val="17"/>
          <w:szCs w:val="17"/>
          <w:color w:val="auto"/>
        </w:rPr>
        <w:t>We believe that our accounting policies related to (a) Allowance for Finance Credit Losses, (b) Amortization of Deferred Originations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79" w:lineRule="exact"/>
        <w:rPr>
          <w:sz w:val="20"/>
          <w:szCs w:val="20"/>
          <w:color w:val="auto"/>
        </w:rPr>
      </w:pPr>
    </w:p>
    <w:p>
      <w:pPr>
        <w:jc w:val="both"/>
        <w:ind w:firstLine="130"/>
        <w:spacing w:after="0" w:line="302" w:lineRule="auto"/>
        <w:rPr>
          <w:sz w:val="20"/>
          <w:szCs w:val="20"/>
          <w:color w:val="auto"/>
        </w:rPr>
      </w:pPr>
      <w:r>
        <w:rPr>
          <w:rFonts w:ascii="Arial" w:cs="Arial" w:eastAsia="Arial" w:hAnsi="Arial"/>
          <w:sz w:val="16"/>
          <w:szCs w:val="16"/>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As of March 31, 2014 the weighted average age of our portfolio of finance receivables was 14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12 most recent securitizations since 2010, we have not purchased financial guaranty insurance policies and do not expect to do so in the near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both"/>
        <w:ind w:firstLine="130"/>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8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w:t>
      </w:r>
    </w:p>
    <w:p>
      <w:pPr>
        <w:spacing w:after="0" w:line="181"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 (i) 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130"/>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78"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secured by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have recorded a liability as of March 31, 2014,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March 31, 2014, and in excess of the liability we have recorded, is from $0 to $1.6 million.</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from the fourth quarter of 2011 through March 2014, we reported 10 consecutive quarters of increasing profitability. Furthermore, we demonstrated an ability to increase our volumes of contract purchases, grow our managed portfolio and obtain cost effective short- and long-term financing for our finance receivables.</w:t>
      </w:r>
    </w:p>
    <w:p>
      <w:pPr>
        <w:spacing w:after="0" w:line="167"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w:t>
      </w:r>
    </w:p>
    <w:p>
      <w:pPr>
        <w:spacing w:after="0" w:line="193"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if any, within the income tax expense line in the consolidated statement of operations. Accrued interest and penalties are included within the related tax liability line in the consolidated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10, 2014.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March 31, 2014 and December 31, 2013, we had approximately $1,331.7 million and $1,276.9 million, respectively, of debt outstanding. Such debt consisted, as of March 31, 2014, primarily of $1,247.4 million of securitization trust debt, and also included $8.6 million in debt for the acquisition of the Fireside portfolio, $41.5 million of warehouse lines of credit indebtedness, $15.6 million of residual interest financing, and $18.6 million in subordinated renewable notes. At December 31, 2013, such debt consisted primarily of $1,177.6 million of securitization trust debt, and also included $13.1 million in debt for the acquisition of the Fireside portfolio, $9.5 million of warehouse indebtedness, $19.1 million of residual interest financing, $38.6 million of senior secured related party debt, and $19.1 million in subordinated renewable notes. We are also currently offering the subordinated notes to the public on a continuous basis, and such notes have maturities that range from three months to 10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780" w:hanging="259"/>
        <w:spacing w:after="0" w:line="250"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780" w:hanging="25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an increase in interest rates results in a decrease in our cash flow from excess spread, our results of operations may be impaired.</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partially to offset increases in our cost of funds by increasing fees we charge to dealers when purchasing contracts, or by demanding higher interest rates on contracts we purchase, there can be no assurance that such actions would offset the entire increase in interest that we might pay to finance our managed portfolio.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both"/>
        <w:ind w:firstLine="130"/>
        <w:spacing w:after="0" w:line="270" w:lineRule="auto"/>
        <w:rPr>
          <w:sz w:val="20"/>
          <w:szCs w:val="20"/>
          <w:color w:val="auto"/>
        </w:rPr>
      </w:pPr>
      <w:r>
        <w:rPr>
          <w:rFonts w:ascii="Arial" w:cs="Arial" w:eastAsia="Arial" w:hAnsi="Arial"/>
          <w:sz w:val="17"/>
          <w:szCs w:val="17"/>
          <w:color w:val="auto"/>
        </w:rPr>
        <w:t>Several factors affect our ability to manage interest rate risk. Specifically, we are subject to interest rate risk during the period after we purchase automobile contracts from dealers and before we finance such contracts in a term securitization. Interest rates on warehouse credit facilities are typically adjustable, while the interest rates on the automobile contracts are fixed. If interest rates increase, the interest we must pay to the lenders under warehouse credit facilities is likely to increase, while the interest we collect from those warehoused automobile contracts remains the same. Therefore, during the warehousing period, excess spread cash flow would likely decrease. Additionally, contracts warehoused and then securitized during a rising interest rate environment may result in less excess spread cash flow as our securitizations typically have paid interest rates set at prevailing interest rates at the time of the closing of the securitization, which may not take place until several months after we purchased those contracts. Our customers, on the other hand, pay fixed rates of interest on the contracts, which are agreed to at the time they purchase the underlying vehicles. A decrease in excess spread cash flow could adversely affect our earnings and cash flow.</w:t>
      </w:r>
    </w:p>
    <w:p>
      <w:pPr>
        <w:spacing w:after="0" w:line="182"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6"/>
          <w:szCs w:val="16"/>
          <w:color w:val="auto"/>
        </w:rPr>
        <w:t>To mitigate, but not eliminate, the short-term risk relating to floating interest rates payable under the warehouse facilities, we have historically held automobile contracts in the warehouse credit facilities for less than four months. To mitigate, but not eliminate, the long-term risk relating to interest rates payable in securitizations, we have in the past, and intend to continue to, structure some of our securitization transactions to include pre-funding structures, whereby the amount of securities issued exceeds the amount of contracts initially sold into the securitization. In pre-funding, the proceeds from the pre-funded portion are held in an escrow account until we sell the additional contracts into the securitization. In pre-funded securitizations, we effectively lock in our borrowing costs with respect to the contracts we subsequently sell into the securitization. However, we incur an expense in pre-funded securitizations equal to the difference between the money market yields earned on the proceeds held in escrow prior to subsequent delivery of contracts and the interest rate paid on the securities issued in the securitization. The amount of such expense may vary. Despite these mitigation strategies, an increase in prevailing interest rates would cause us to receive less excess spread cash flow on automobile contracts, and thus could adversely affect our earnings and cash flow.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and</w:t>
      </w:r>
    </w:p>
    <w:p>
      <w:pPr>
        <w:spacing w:after="0" w:line="21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2014, we repurchased no shares from existing shareholders, as reflected in the table below. We are deemed to have re-purchased 64,430 shares of our common stock, in a net exercise of outstanding warrants. In this transaction, the holders of a series of warrants purchased 365,000 shares of our common stock, and paid the aggregate $513,400 exercise price by surrender to us of 64,430 of such 365,000 shares. The result of the transaction was the net issuance of 300,570 shares to the holders of such warrants.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8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Average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Price Paid</w:t>
            </w: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460"/>
              <w:spacing w:after="0"/>
              <w:rPr>
                <w:sz w:val="20"/>
                <w:szCs w:val="20"/>
                <w:color w:val="auto"/>
              </w:rPr>
            </w:pPr>
            <w:r>
              <w:rPr>
                <w:rFonts w:ascii="Arial" w:cs="Arial" w:eastAsia="Arial" w:hAnsi="Arial"/>
                <w:sz w:val="18"/>
                <w:szCs w:val="18"/>
                <w:b w:val="1"/>
                <w:bCs w:val="1"/>
                <w:color w:val="auto"/>
              </w:rPr>
              <w:t>Period(1)</w:t>
            </w:r>
          </w:p>
        </w:tc>
        <w:tc>
          <w:tcPr>
            <w:tcW w:w="13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per Share</w:t>
            </w: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2014</w:t>
            </w:r>
          </w:p>
        </w:tc>
        <w:tc>
          <w:tcPr>
            <w:tcW w:w="13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February 2014</w:t>
            </w:r>
          </w:p>
        </w:tc>
        <w:tc>
          <w:tcPr>
            <w:tcW w:w="136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2014</w:t>
            </w:r>
          </w:p>
        </w:tc>
        <w:tc>
          <w:tcPr>
            <w:tcW w:w="1360" w:type="dxa"/>
            <w:vAlign w:val="bottom"/>
            <w:shd w:val="clear" w:color="auto" w:fill="EEEEEE"/>
          </w:tcPr>
          <w:p>
            <w:pPr>
              <w:spacing w:after="0"/>
              <w:rPr>
                <w:sz w:val="19"/>
                <w:szCs w:val="19"/>
                <w:color w:val="auto"/>
              </w:rPr>
            </w:pPr>
          </w:p>
        </w:tc>
        <w:tc>
          <w:tcPr>
            <w:tcW w:w="42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ind w:left="15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ind w:left="12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580" w:type="dxa"/>
            <w:vAlign w:val="bottom"/>
            <w:tcBorders>
              <w:top w:val="single" w:sz="8" w:color="auto"/>
            </w:tcBorders>
          </w:tcPr>
          <w:p>
            <w:pPr>
              <w:ind w:left="15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0</wp:posOffset>
            </wp:positionV>
            <wp:extent cx="3498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-130175</wp:posOffset>
            </wp:positionV>
            <wp:extent cx="34988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2014,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w w:val="85"/>
              </w:rPr>
              <w:t>4.14</w:t>
            </w:r>
          </w:p>
        </w:tc>
        <w:tc>
          <w:tcPr>
            <w:tcW w:w="108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5"/>
              </w:rPr>
              <w:t>Instruments defining the rights of holders of long-term debt of certain consolidated subsidiaries of the registrant are omitted pursuant to the</w:t>
            </w:r>
          </w:p>
        </w:tc>
      </w:tr>
      <w:tr>
        <w:trPr>
          <w:trHeight w:val="216"/>
        </w:trPr>
        <w:tc>
          <w:tcPr>
            <w:tcW w:w="620" w:type="dxa"/>
            <w:vAlign w:val="bottom"/>
            <w:shd w:val="clear" w:color="auto" w:fill="EEEEEE"/>
          </w:tcPr>
          <w:p>
            <w:pPr>
              <w:spacing w:after="0"/>
              <w:rPr>
                <w:sz w:val="18"/>
                <w:szCs w:val="18"/>
                <w:color w:val="auto"/>
              </w:rPr>
            </w:pPr>
          </w:p>
        </w:tc>
        <w:tc>
          <w:tcPr>
            <w:tcW w:w="1080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4"/>
              </w:rPr>
              <w:t>exclusion set forth in subdivisions (b)(iv)(iii)(A) and (b)(v) of Item 601 of Regulation S-K (17 CFR 229.601). The registrant agrees to provide</w:t>
            </w:r>
          </w:p>
        </w:tc>
      </w:tr>
      <w:tr>
        <w:trPr>
          <w:trHeight w:val="230"/>
        </w:trPr>
        <w:tc>
          <w:tcPr>
            <w:tcW w:w="620" w:type="dxa"/>
            <w:vAlign w:val="bottom"/>
            <w:shd w:val="clear" w:color="auto" w:fill="EEEEEE"/>
          </w:tcPr>
          <w:p>
            <w:pPr>
              <w:spacing w:after="0"/>
              <w:rPr>
                <w:sz w:val="20"/>
                <w:szCs w:val="20"/>
                <w:color w:val="auto"/>
              </w:rPr>
            </w:pPr>
          </w:p>
        </w:tc>
        <w:tc>
          <w:tcPr>
            <w:tcW w:w="108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copies of such instruments to the United States Securities and Exchange Commission upon request.</w:t>
            </w:r>
          </w:p>
        </w:tc>
      </w:tr>
      <w:tr>
        <w:trPr>
          <w:trHeight w:val="202"/>
        </w:trPr>
        <w:tc>
          <w:tcPr>
            <w:tcW w:w="620" w:type="dxa"/>
            <w:vAlign w:val="bottom"/>
          </w:tcPr>
          <w:p>
            <w:pPr>
              <w:jc w:val="right"/>
              <w:ind w:right="210"/>
              <w:spacing w:after="0" w:line="201" w:lineRule="exact"/>
              <w:rPr>
                <w:sz w:val="20"/>
                <w:szCs w:val="20"/>
                <w:color w:val="auto"/>
              </w:rPr>
            </w:pPr>
            <w:r>
              <w:rPr>
                <w:rFonts w:ascii="Arial" w:cs="Arial" w:eastAsia="Arial" w:hAnsi="Arial"/>
                <w:sz w:val="18"/>
                <w:szCs w:val="18"/>
                <w:color w:val="auto"/>
                <w:w w:val="85"/>
              </w:rPr>
              <w:t>4.53</w:t>
            </w:r>
          </w:p>
        </w:tc>
        <w:tc>
          <w:tcPr>
            <w:tcW w:w="10800" w:type="dxa"/>
            <w:vAlign w:val="bottom"/>
          </w:tcPr>
          <w:p>
            <w:pPr>
              <w:ind w:left="300"/>
              <w:spacing w:after="0" w:line="201" w:lineRule="exact"/>
              <w:rPr>
                <w:sz w:val="20"/>
                <w:szCs w:val="20"/>
                <w:color w:val="auto"/>
              </w:rPr>
            </w:pPr>
            <w:r>
              <w:rPr>
                <w:rFonts w:ascii="Arial" w:cs="Arial" w:eastAsia="Arial" w:hAnsi="Arial"/>
                <w:sz w:val="18"/>
                <w:szCs w:val="18"/>
                <w:color w:val="auto"/>
                <w:w w:val="93"/>
              </w:rPr>
              <w:t>Indenture dated March 1, 2014 re Notes issued by CPS Auto Receivables Trust 2014-A. Incorporated by reference to the exhibit filed with the</w:t>
            </w:r>
          </w:p>
        </w:tc>
      </w:tr>
      <w:tr>
        <w:trPr>
          <w:trHeight w:val="230"/>
        </w:trPr>
        <w:tc>
          <w:tcPr>
            <w:tcW w:w="620" w:type="dxa"/>
            <w:vAlign w:val="bottom"/>
          </w:tcPr>
          <w:p>
            <w:pPr>
              <w:spacing w:after="0"/>
              <w:rPr>
                <w:sz w:val="20"/>
                <w:szCs w:val="20"/>
                <w:color w:val="auto"/>
              </w:rPr>
            </w:pPr>
          </w:p>
        </w:tc>
        <w:tc>
          <w:tcPr>
            <w:tcW w:w="10800" w:type="dxa"/>
            <w:vAlign w:val="bottom"/>
          </w:tcPr>
          <w:p>
            <w:pPr>
              <w:ind w:left="300"/>
              <w:spacing w:after="0"/>
              <w:rPr>
                <w:sz w:val="20"/>
                <w:szCs w:val="20"/>
                <w:color w:val="auto"/>
              </w:rPr>
            </w:pPr>
            <w:r>
              <w:rPr>
                <w:rFonts w:ascii="Arial" w:cs="Arial" w:eastAsia="Arial" w:hAnsi="Arial"/>
                <w:sz w:val="18"/>
                <w:szCs w:val="18"/>
                <w:color w:val="auto"/>
              </w:rPr>
              <w:t>registrant’s Form 8-K on March 19, 2014.</w:t>
            </w:r>
          </w:p>
        </w:tc>
      </w:tr>
      <w:tr>
        <w:trPr>
          <w:trHeight w:val="202"/>
        </w:trPr>
        <w:tc>
          <w:tcPr>
            <w:tcW w:w="620" w:type="dxa"/>
            <w:vAlign w:val="bottom"/>
            <w:shd w:val="clear" w:color="auto" w:fill="EEEEEE"/>
          </w:tcPr>
          <w:p>
            <w:pPr>
              <w:jc w:val="right"/>
              <w:ind w:right="210"/>
              <w:spacing w:after="0" w:line="201" w:lineRule="exact"/>
              <w:rPr>
                <w:sz w:val="20"/>
                <w:szCs w:val="20"/>
                <w:color w:val="auto"/>
              </w:rPr>
            </w:pPr>
            <w:r>
              <w:rPr>
                <w:rFonts w:ascii="Arial" w:cs="Arial" w:eastAsia="Arial" w:hAnsi="Arial"/>
                <w:sz w:val="18"/>
                <w:szCs w:val="18"/>
                <w:color w:val="auto"/>
                <w:w w:val="85"/>
              </w:rPr>
              <w:t>4.54</w:t>
            </w:r>
          </w:p>
        </w:tc>
        <w:tc>
          <w:tcPr>
            <w:tcW w:w="1080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2"/>
              </w:rPr>
              <w:t>Sale and Servicing Agreement dated as of March 1, 2014. Incorporated by reference to the exhibit filed with the registrant’s Form 8-K on March</w:t>
            </w:r>
          </w:p>
        </w:tc>
      </w:tr>
      <w:tr>
        <w:trPr>
          <w:trHeight w:val="230"/>
        </w:trPr>
        <w:tc>
          <w:tcPr>
            <w:tcW w:w="620" w:type="dxa"/>
            <w:vAlign w:val="bottom"/>
            <w:shd w:val="clear" w:color="auto" w:fill="EEEEEE"/>
          </w:tcPr>
          <w:p>
            <w:pPr>
              <w:spacing w:after="0"/>
              <w:rPr>
                <w:sz w:val="20"/>
                <w:szCs w:val="20"/>
                <w:color w:val="auto"/>
              </w:rPr>
            </w:pPr>
          </w:p>
        </w:tc>
        <w:tc>
          <w:tcPr>
            <w:tcW w:w="108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19, 2014.</w:t>
            </w:r>
          </w:p>
        </w:tc>
      </w:t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800" w:type="dxa"/>
            <w:vAlign w:val="bottom"/>
          </w:tcPr>
          <w:p>
            <w:pPr>
              <w:ind w:left="300"/>
              <w:spacing w:after="0"/>
              <w:rPr>
                <w:sz w:val="20"/>
                <w:szCs w:val="20"/>
                <w:color w:val="auto"/>
              </w:rPr>
            </w:pPr>
            <w:r>
              <w:rPr>
                <w:rFonts w:ascii="Arial" w:cs="Arial" w:eastAsia="Arial" w:hAnsi="Arial"/>
                <w:sz w:val="18"/>
                <w:szCs w:val="18"/>
                <w:color w:val="auto"/>
              </w:rPr>
              <w:t>Rule 13a-14(a) Certification of the Chief Executive Officer of the registrant.</w:t>
            </w:r>
          </w:p>
        </w:tc>
      </w:tr>
      <w:tr>
        <w:trPr>
          <w:trHeight w:val="216"/>
        </w:trPr>
        <w:tc>
          <w:tcPr>
            <w:tcW w:w="62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w w:val="85"/>
              </w:rPr>
              <w:t>31.2</w:t>
            </w:r>
          </w:p>
        </w:tc>
        <w:tc>
          <w:tcPr>
            <w:tcW w:w="108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Rule 13a-14(a) Certification of the Chief Financial Officer of the registrant.</w:t>
            </w:r>
          </w:p>
        </w:tc>
      </w:tr>
    </w:tbl>
    <w:p>
      <w:pPr>
        <w:ind w:left="920" w:hanging="91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10" w:lineRule="exact"/>
        <w:rPr>
          <w:rFonts w:ascii="Arial" w:cs="Arial" w:eastAsia="Arial" w:hAnsi="Arial"/>
          <w:sz w:val="18"/>
          <w:szCs w:val="18"/>
          <w:color w:val="auto"/>
        </w:rPr>
      </w:pPr>
    </w:p>
    <w:p>
      <w:pPr>
        <w:jc w:val="both"/>
        <w:ind w:firstLine="312"/>
        <w:spacing w:after="0" w:line="312" w:lineRule="auto"/>
        <w:rPr>
          <w:rFonts w:ascii="Arial" w:cs="Arial" w:eastAsia="Arial" w:hAnsi="Arial"/>
          <w:sz w:val="18"/>
          <w:szCs w:val="18"/>
          <w:color w:val="auto"/>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CONSUMER PORTFOLIO SERVICES,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11" w:lineRule="exact"/>
        <w:rPr>
          <w:sz w:val="20"/>
          <w:szCs w:val="20"/>
          <w:color w:val="auto"/>
        </w:rPr>
      </w:pPr>
    </w:p>
    <w:p>
      <w:pPr>
        <w:ind w:left="2800"/>
        <w:spacing w:after="0"/>
        <w:tabs>
          <w:tab w:leader="none" w:pos="3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E. BRADLEY, JR.</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-130810</wp:posOffset>
            </wp:positionV>
            <wp:extent cx="3336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jc w:val="right"/>
        <w:ind w:right="54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right"/>
        <w:ind w:right="54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25" w:lineRule="exact"/>
        <w:rPr>
          <w:sz w:val="20"/>
          <w:szCs w:val="20"/>
          <w:color w:val="auto"/>
        </w:rPr>
      </w:pPr>
    </w:p>
    <w:p>
      <w:pPr>
        <w:ind w:left="2800"/>
        <w:spacing w:after="0"/>
        <w:tabs>
          <w:tab w:leader="none" w:pos="3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FRITZ</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-130810</wp:posOffset>
            </wp:positionV>
            <wp:extent cx="33362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58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86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2014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91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17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2014,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383"/>
        <w:spacing w:after="0"/>
        <w:tabs>
          <w:tab w:leader="none" w:pos="15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0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lowerRoman"/>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32"/>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2019-12-06T06:28:37Z</dcterms:created>
  <dcterms:modified xsi:type="dcterms:W3CDTF">2019-12-06T06:28:37Z</dcterms:modified>
</cp:coreProperties>
</file>