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0" w:lineRule="exact"/>
        <w:rPr>
          <w:sz w:val="24"/>
          <w:szCs w:val="24"/>
          <w:color w:val="auto"/>
        </w:rPr>
      </w:pPr>
    </w:p>
    <w:p>
      <w:pPr>
        <w:ind w:left="5540" w:right="1520" w:hanging="5532"/>
        <w:spacing w:after="0" w:line="258" w:lineRule="auto"/>
        <w:tabs>
          <w:tab w:leader="none" w:pos="57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-255270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1-11416</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4"/>
              </w:rPr>
              <w:t>California</w:t>
            </w:r>
          </w:p>
        </w:tc>
        <w:tc>
          <w:tcPr>
            <w:tcW w:w="360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0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0"/>
              </w:rPr>
              <w:t>3800 Howard Hughes Parkway, Suite 1400,</w:t>
            </w:r>
          </w:p>
        </w:tc>
        <w:tc>
          <w:tcPr>
            <w:tcW w:w="360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7"/>
              </w:rPr>
              <w:t>Las Vegas, Nevada</w:t>
            </w:r>
          </w:p>
        </w:tc>
        <w:tc>
          <w:tcPr>
            <w:tcW w:w="3600" w:type="dxa"/>
            <w:vAlign w:val="bottom"/>
          </w:tcPr>
          <w:p>
            <w:pPr>
              <w:spacing w:after="0"/>
              <w:rPr>
                <w:sz w:val="18"/>
                <w:szCs w:val="18"/>
                <w:color w:val="auto"/>
              </w:rPr>
            </w:pP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46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jc w:val="center"/>
              <w:ind w:right="750"/>
              <w:spacing w:after="0"/>
              <w:rPr>
                <w:sz w:val="20"/>
                <w:szCs w:val="20"/>
                <w:color w:val="auto"/>
              </w:rPr>
            </w:pPr>
            <w:r>
              <w:rPr>
                <w:rFonts w:ascii="Arial" w:cs="Arial" w:eastAsia="Arial" w:hAnsi="Arial"/>
                <w:sz w:val="18"/>
                <w:szCs w:val="18"/>
                <w:color w:val="auto"/>
                <w:w w:val="90"/>
              </w:rPr>
              <w:t>Title of each class</w:t>
            </w:r>
          </w:p>
        </w:tc>
        <w:tc>
          <w:tcPr>
            <w:tcW w:w="2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750"/>
              <w:spacing w:after="0"/>
              <w:rPr>
                <w:sz w:val="20"/>
                <w:szCs w:val="20"/>
                <w:color w:val="auto"/>
              </w:rPr>
            </w:pPr>
            <w:r>
              <w:rPr>
                <w:rFonts w:ascii="Arial" w:cs="Arial" w:eastAsia="Arial" w:hAnsi="Arial"/>
                <w:sz w:val="18"/>
                <w:szCs w:val="18"/>
                <w:color w:val="auto"/>
                <w:w w:val="90"/>
              </w:rPr>
              <w:t>Common Stock, no par value</w:t>
            </w:r>
          </w:p>
        </w:tc>
        <w:tc>
          <w:tcPr>
            <w:tcW w:w="2460" w:type="dxa"/>
            <w:vAlign w:val="bottom"/>
          </w:tcPr>
          <w:p>
            <w:pPr>
              <w:jc w:val="center"/>
              <w:ind w:right="150"/>
              <w:spacing w:after="0"/>
              <w:rPr>
                <w:sz w:val="20"/>
                <w:szCs w:val="20"/>
                <w:color w:val="auto"/>
              </w:rPr>
            </w:pPr>
            <w:r>
              <w:rPr>
                <w:rFonts w:ascii="Arial" w:cs="Arial" w:eastAsia="Arial" w:hAnsi="Arial"/>
                <w:sz w:val="18"/>
                <w:szCs w:val="18"/>
                <w:color w:val="auto"/>
                <w:w w:val="85"/>
              </w:rPr>
              <w:t>CPSS</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2"/>
              </w:rPr>
              <w:t>The Nasdaq Stock Market LLC (Global Market)</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233" w:right="339" w:bottom="1440"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38" w:orient="portrait"/>
          <w:cols w:equalWidth="0" w:num="2">
            <w:col w:w="5140" w:space="720"/>
            <w:col w:w="5380"/>
          </w:cols>
          <w:pgMar w:left="320" w:top="233" w:right="339" w:bottom="1440" w:gutter="0" w:footer="0" w:header="0"/>
          <w:type w:val="continuous"/>
        </w:sectPr>
      </w:pPr>
    </w:p>
    <w:p>
      <w:pPr>
        <w:spacing w:after="0" w:line="14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28, 2020 the registrant had 22,565,112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1317625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0" w:type="dxa"/>
            <w:vAlign w:val="bottom"/>
            <w:gridSpan w:val="5"/>
            <w:vMerge w:val="restart"/>
          </w:tcPr>
          <w:p>
            <w:pPr>
              <w:jc w:val="center"/>
              <w:ind w:right="27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gridSpan w:val="5"/>
            <w:vMerge w:val="continue"/>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8"/>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360" w:type="dxa"/>
            <w:vAlign w:val="bottom"/>
            <w:gridSpan w:val="8"/>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September 30, 2020 and December 31, 2019</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9360" w:type="dxa"/>
            <w:vAlign w:val="bottom"/>
            <w:gridSpan w:val="8"/>
          </w:tcPr>
          <w:p>
            <w:pPr>
              <w:ind w:left="20"/>
              <w:spacing w:after="0" w:line="190"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Operations for the three-month and nine-month periods ended September</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2020 and 2019</w:t>
              </w:r>
            </w:hyperlink>
          </w:p>
        </w:tc>
        <w:tc>
          <w:tcPr>
            <w:tcW w:w="420" w:type="dxa"/>
            <w:vAlign w:val="bottom"/>
            <w:gridSpan w:val="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0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nine-month periods ended</w:t>
              </w:r>
            </w:hyperlink>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8"/>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2020 and 2019</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8"/>
          </w:tcPr>
          <w:p>
            <w:pPr>
              <w:ind w:left="20"/>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Cash Flows for the nine-month periods ended September 30, 2020 and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2019</w:t>
              </w:r>
            </w:hyperlink>
          </w:p>
        </w:tc>
        <w:tc>
          <w:tcPr>
            <w:tcW w:w="9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8"/>
          </w:tcPr>
          <w:p>
            <w:pPr>
              <w:ind w:left="20"/>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Unaudited Condensed Consolidated Statements of Shareholders’ Equity for the three-month and nine-month periods ended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top w:val="single" w:sz="8" w:color="0000EE"/>
            </w:tcBorders>
            <w:gridSpan w:val="5"/>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2020 and 2019</w:t>
              </w:r>
            </w:hyperlink>
          </w:p>
        </w:tc>
        <w:tc>
          <w:tcPr>
            <w:tcW w:w="50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40" w:type="dxa"/>
            <w:vAlign w:val="bottom"/>
          </w:tcPr>
          <w:p>
            <w:pPr>
              <w:spacing w:after="0"/>
              <w:rPr>
                <w:sz w:val="19"/>
                <w:szCs w:val="19"/>
                <w:color w:val="auto"/>
              </w:rPr>
            </w:pPr>
          </w:p>
        </w:tc>
        <w:tc>
          <w:tcPr>
            <w:tcW w:w="9360" w:type="dxa"/>
            <w:vAlign w:val="bottom"/>
            <w:gridSpan w:val="8"/>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8"/>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360" w:type="dxa"/>
            <w:vAlign w:val="bottom"/>
            <w:gridSpan w:val="8"/>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Controls and Procedures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0" w:type="dxa"/>
            <w:vAlign w:val="bottom"/>
            <w:gridSpan w:val="5"/>
          </w:tcPr>
          <w:p>
            <w:pPr>
              <w:jc w:val="center"/>
              <w:ind w:right="2760"/>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PART II. OTHER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8"/>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Proceedings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360" w:type="dxa"/>
            <w:vAlign w:val="bottom"/>
            <w:gridSpan w:val="8"/>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Risk Factors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8"/>
          </w:tcPr>
          <w:p>
            <w:pPr>
              <w:ind w:left="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8"/>
          </w:tcPr>
          <w:p>
            <w:pPr>
              <w:ind w:left="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360" w:type="dxa"/>
            <w:vAlign w:val="bottom"/>
            <w:gridSpan w:val="8"/>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Signatures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10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EEEEEE"/>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EEEEEE"/>
            </w:tcBorders>
          </w:tcPr>
          <w:p>
            <w:pPr>
              <w:spacing w:after="0"/>
              <w:rPr>
                <w:sz w:val="20"/>
                <w:szCs w:val="20"/>
                <w:color w:val="auto"/>
              </w:rPr>
            </w:pPr>
          </w:p>
        </w:tc>
      </w:tr>
      <w:tr>
        <w:trPr>
          <w:trHeight w:val="209"/>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11,253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200,912</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135,537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1,540,955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1,444,038</w:t>
            </w:r>
          </w:p>
        </w:tc>
      </w:tr>
      <w:tr>
        <w:trPr>
          <w:trHeight w:val="216"/>
        </w:trPr>
        <w:tc>
          <w:tcPr>
            <w:tcW w:w="8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Finance receivables</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577,281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897,530</w:t>
            </w:r>
          </w:p>
        </w:tc>
      </w:tr>
      <w:tr>
        <w:trPr>
          <w:trHeight w:val="229"/>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Less: Allowance for finance credit losses</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(94,218)</w:t>
            </w: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(11,640)</w:t>
            </w: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885,890</w:t>
            </w: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Arial" w:cs="Arial" w:eastAsia="Arial" w:hAnsi="Arial"/>
          <w:sz w:val="16"/>
          <w:szCs w:val="16"/>
          <w:color w:val="auto"/>
        </w:rPr>
        <w:t>Furniture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80" w:type="dxa"/>
            <w:vAlign w:val="bottom"/>
          </w:tcPr>
          <w:p>
            <w:pPr>
              <w:spacing w:after="0"/>
              <w:rPr>
                <w:sz w:val="17"/>
                <w:szCs w:val="17"/>
                <w:color w:val="auto"/>
              </w:rPr>
            </w:pPr>
          </w:p>
        </w:tc>
        <w:tc>
          <w:tcPr>
            <w:tcW w:w="13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988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1,512</w:t>
            </w:r>
          </w:p>
        </w:tc>
      </w:tr>
      <w:tr>
        <w:trPr>
          <w:trHeight w:val="216"/>
        </w:trPr>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31,026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15,480</w:t>
            </w:r>
          </w:p>
        </w:tc>
      </w:tr>
      <w:tr>
        <w:trPr>
          <w:trHeight w:val="229"/>
        </w:trPr>
        <w:tc>
          <w:tcPr>
            <w:tcW w:w="3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6,291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11,645</w:t>
            </w:r>
          </w:p>
        </w:tc>
      </w:tr>
      <w:tr>
        <w:trPr>
          <w:trHeight w:val="230"/>
        </w:trPr>
        <w:tc>
          <w:tcPr>
            <w:tcW w:w="3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34,744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39,852</w:t>
            </w:r>
          </w:p>
        </w:tc>
      </w:tr>
      <w:tr>
        <w:trPr>
          <w:trHeight w:val="223"/>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2,309,232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2,539,249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-599440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-325120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380" w:space="720"/>
            <w:col w:w="314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49,056</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47,077</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31,201</w:t>
            </w:r>
          </w:p>
        </w:tc>
        <w:tc>
          <w:tcPr>
            <w:tcW w:w="3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134,791</w:t>
            </w: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32,000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39,478</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2,048,089</w:t>
            </w:r>
          </w:p>
        </w:tc>
        <w:tc>
          <w:tcPr>
            <w:tcW w:w="3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2,097,728</w:t>
            </w:r>
          </w:p>
        </w:tc>
        <w:tc>
          <w:tcPr>
            <w:tcW w:w="80" w:type="dxa"/>
            <w:vAlign w:val="bottom"/>
            <w:shd w:val="clear" w:color="auto" w:fill="EEEEEE"/>
          </w:tcPr>
          <w:p>
            <w:pPr>
              <w:spacing w:after="0"/>
              <w:rPr>
                <w:sz w:val="18"/>
                <w:szCs w:val="18"/>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3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20,242</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17,534</w:t>
            </w:r>
          </w:p>
        </w:tc>
      </w:tr>
      <w:tr>
        <w:trPr>
          <w:trHeight w:val="210"/>
        </w:trPr>
        <w:tc>
          <w:tcPr>
            <w:tcW w:w="8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2,180,588</w:t>
            </w:r>
          </w:p>
        </w:tc>
        <w:tc>
          <w:tcPr>
            <w:tcW w:w="3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2,336,608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3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Common stock, no par value; authorized 75,000,000 shares; 22,508,862 and 22,530,918 shares issued and</w:t>
            </w:r>
          </w:p>
        </w:tc>
        <w:tc>
          <w:tcPr>
            <w:tcW w:w="3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38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72,197</w:t>
            </w:r>
          </w:p>
        </w:tc>
        <w:tc>
          <w:tcPr>
            <w:tcW w:w="34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71,257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64,868</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139,805</w:t>
            </w:r>
          </w:p>
        </w:tc>
        <w:tc>
          <w:tcPr>
            <w:tcW w:w="80" w:type="dxa"/>
            <w:vAlign w:val="bottom"/>
          </w:tcPr>
          <w:p>
            <w:pPr>
              <w:spacing w:after="0"/>
              <w:rPr>
                <w:sz w:val="18"/>
                <w:szCs w:val="18"/>
                <w:color w:val="auto"/>
              </w:rPr>
            </w:pPr>
          </w:p>
        </w:tc>
      </w:tr>
      <w:tr>
        <w:trPr>
          <w:trHeight w:val="229"/>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(8,421)</w:t>
            </w:r>
          </w:p>
        </w:tc>
        <w:tc>
          <w:tcPr>
            <w:tcW w:w="3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(8,421)</w:t>
            </w:r>
          </w:p>
        </w:tc>
      </w:tr>
      <w:tr>
        <w:trPr>
          <w:trHeight w:val="210"/>
        </w:trPr>
        <w:tc>
          <w:tcPr>
            <w:tcW w:w="81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128,644</w:t>
            </w:r>
          </w:p>
        </w:tc>
        <w:tc>
          <w:tcPr>
            <w:tcW w:w="32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202,641</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8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81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2,309,232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2,539,249</w:t>
            </w:r>
          </w:p>
        </w:tc>
        <w:tc>
          <w:tcPr>
            <w:tcW w:w="80" w:type="dxa"/>
            <w:vAlign w:val="bottom"/>
          </w:tcPr>
          <w:p>
            <w:pPr>
              <w:spacing w:after="0"/>
              <w:rPr>
                <w:sz w:val="21"/>
                <w:szCs w:val="21"/>
                <w:color w:val="auto"/>
              </w:rPr>
            </w:pPr>
          </w:p>
        </w:tc>
      </w:tr>
      <w:tr>
        <w:trPr>
          <w:trHeight w:val="20"/>
        </w:trPr>
        <w:tc>
          <w:tcPr>
            <w:tcW w:w="8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7"/>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72,582</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82,924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227,271</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253,218</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8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4"/>
              </w:rPr>
              <w:t>(3,152)</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(23,051)</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604</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1,994</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4,508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6,255</w:t>
            </w: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70,669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85,522</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208,728</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260,077</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Employee costs</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19,155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20,251</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60,826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59,030</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7,846</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8,185</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24,352</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25,109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24,901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27,940</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78,377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82,933</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8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7,400</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19,874</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14,113</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64,319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Sales</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4,407</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10,710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13,877</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8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1,760</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5,362</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5,745</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64,780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82,693</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195,084</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251,802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8,275</w:t>
            </w:r>
          </w:p>
        </w:tc>
        <w:tc>
          <w:tcPr>
            <w:tcW w:w="100" w:type="dxa"/>
            <w:vAlign w:val="bottom"/>
          </w:tcPr>
          <w:p>
            <w:pPr>
              <w:spacing w:after="0"/>
              <w:rPr>
                <w:sz w:val="18"/>
                <w:szCs w:val="18"/>
                <w:color w:val="auto"/>
              </w:rPr>
            </w:pP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991</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(3,888)</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2,898</w:t>
            </w:r>
          </w:p>
        </w:tc>
      </w:tr>
      <w:tr>
        <w:trPr>
          <w:trHeight w:val="263"/>
        </w:trPr>
        <w:tc>
          <w:tcPr>
            <w:tcW w:w="47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32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EEEEEE"/>
            </w:tcBorders>
          </w:tcPr>
          <w:p>
            <w:pPr>
              <w:spacing w:after="0"/>
              <w:rPr>
                <w:sz w:val="22"/>
                <w:szCs w:val="22"/>
                <w:color w:val="auto"/>
              </w:rPr>
            </w:pPr>
          </w:p>
        </w:tc>
      </w:tr>
      <w:tr>
        <w:trPr>
          <w:trHeight w:val="196"/>
        </w:trPr>
        <w:tc>
          <w:tcPr>
            <w:tcW w:w="47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Earnings per share: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EEEEEE"/>
          </w:tcPr>
          <w:p>
            <w:pPr>
              <w:jc w:val="right"/>
              <w:ind w:right="7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0.17</w:t>
            </w:r>
          </w:p>
        </w:tc>
        <w:tc>
          <w:tcPr>
            <w:tcW w:w="102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0.77</w:t>
            </w:r>
          </w:p>
        </w:tc>
        <w:tc>
          <w:tcPr>
            <w:tcW w:w="58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0.24</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r>
      <w:tr>
        <w:trPr>
          <w:trHeight w:val="216"/>
        </w:trPr>
        <w:tc>
          <w:tcPr>
            <w:tcW w:w="47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7"/>
              </w:rPr>
              <w:t>22,666</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22,526</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22,630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22,378</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23,908</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24,066</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23,825</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24,102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2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7"/>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tcBorders>
            <w:shd w:val="clear" w:color="auto" w:fill="EEEEEE"/>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3,768</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1,838</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17,532</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5,377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Other comprehensive income/(loss); change in funded status</w:t>
            </w:r>
          </w:p>
        </w:tc>
        <w:tc>
          <w:tcPr>
            <w:tcW w:w="9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4"/>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 pension plan</w:t>
            </w:r>
          </w:p>
        </w:tc>
        <w:tc>
          <w:tcPr>
            <w:tcW w:w="90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420" w:type="dxa"/>
            <w:vAlign w:val="bottom"/>
            <w:shd w:val="clear" w:color="auto" w:fill="EEEEEE"/>
          </w:tcPr>
          <w:p>
            <w:pPr>
              <w:spacing w:after="0"/>
              <w:rPr>
                <w:sz w:val="21"/>
                <w:szCs w:val="21"/>
                <w:color w:val="auto"/>
              </w:rPr>
            </w:pPr>
          </w:p>
        </w:tc>
        <w:tc>
          <w:tcPr>
            <w:tcW w:w="10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3,768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1,838</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6"/>
          </w:tcPr>
          <w:p>
            <w:pPr>
              <w:jc w:val="right"/>
              <w:ind w:right="78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EEEEEE"/>
            </w:tcBorders>
          </w:tcPr>
          <w:p>
            <w:pPr>
              <w:spacing w:after="0"/>
              <w:rPr>
                <w:sz w:val="19"/>
                <w:szCs w:val="19"/>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17,532</w:t>
            </w:r>
          </w:p>
        </w:tc>
        <w:tc>
          <w:tcPr>
            <w:tcW w:w="56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5,377</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Accretion of deferred acquisition fees and origination costs</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1,374</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98,060</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64,131</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789</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6,128</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6,226</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Mark to finance receivables measured at fair value</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23,051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14,113</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64,319</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1,437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1,496</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Accrued interest receivable</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5,354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19,240</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18,985</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3,063</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2,708</w:t>
            </w:r>
          </w:p>
        </w:tc>
      </w:tr>
      <w:tr>
        <w:trPr>
          <w:trHeight w:val="230"/>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1,870</w:t>
            </w:r>
          </w:p>
        </w:tc>
      </w:tr>
      <w:tr>
        <w:trPr>
          <w:trHeight w:val="209"/>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190,566</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169,989</w:t>
            </w:r>
          </w:p>
        </w:tc>
        <w:tc>
          <w:tcPr>
            <w:tcW w:w="100" w:type="dxa"/>
            <w:vAlign w:val="bottom"/>
            <w:tcBorders>
              <w:bottom w:val="single" w:sz="8" w:color="EEEEEE"/>
            </w:tcBorders>
          </w:tcPr>
          <w:p>
            <w:pPr>
              <w:spacing w:after="0"/>
              <w:rPr>
                <w:sz w:val="18"/>
                <w:szCs w:val="18"/>
                <w:color w:val="auto"/>
              </w:rPr>
            </w:pPr>
          </w:p>
        </w:tc>
      </w:tr>
      <w:tr>
        <w:trPr>
          <w:trHeight w:val="209"/>
        </w:trPr>
        <w:tc>
          <w:tcPr>
            <w:tcW w:w="8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260,804</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379,365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(572,938)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(756,555)</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354,910</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200,889</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3,435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(654)</w:t>
            </w:r>
          </w:p>
        </w:tc>
      </w:tr>
      <w:tr>
        <w:trPr>
          <w:trHeight w:val="210"/>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45,391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(177,688</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714,543</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726,188</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5,120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1,452</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(2,412)</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(3,213)</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advances (repayments) of warehouse lines of credit</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(104,685)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20,914</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residual interest financing debt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(7,757)</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(764,075)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(723,205)</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(4,861)</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(6,099)</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(1,440)</w:t>
            </w:r>
          </w:p>
        </w:tc>
      </w:tr>
      <w:tr>
        <w:trPr>
          <w:trHeight w:val="230"/>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347</w:t>
            </w:r>
          </w:p>
        </w:tc>
      </w:tr>
      <w:tr>
        <w:trPr>
          <w:trHeight w:val="209"/>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(164,624</w:t>
            </w:r>
          </w:p>
        </w:tc>
        <w:tc>
          <w:tcPr>
            <w:tcW w:w="180" w:type="dxa"/>
            <w:vAlign w:val="bottom"/>
            <w:tcBorders>
              <w:bottom w:val="single" w:sz="8" w:color="EEEEEE"/>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14,944</w:t>
            </w:r>
          </w:p>
        </w:tc>
        <w:tc>
          <w:tcPr>
            <w:tcW w:w="100" w:type="dxa"/>
            <w:vAlign w:val="bottom"/>
            <w:tcBorders>
              <w:bottom w:val="single" w:sz="8" w:color="EEEEEE"/>
            </w:tcBorders>
          </w:tcPr>
          <w:p>
            <w:pPr>
              <w:spacing w:after="0"/>
              <w:rPr>
                <w:sz w:val="18"/>
                <w:szCs w:val="18"/>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71,333</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7,245</w:t>
            </w:r>
          </w:p>
        </w:tc>
        <w:tc>
          <w:tcPr>
            <w:tcW w:w="100" w:type="dxa"/>
            <w:vAlign w:val="bottom"/>
            <w:shd w:val="clear" w:color="auto" w:fill="EEEEEE"/>
          </w:tcPr>
          <w:p>
            <w:pPr>
              <w:spacing w:after="0"/>
              <w:rPr>
                <w:sz w:val="18"/>
                <w:szCs w:val="18"/>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3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140,832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130,110</w:t>
            </w:r>
          </w:p>
        </w:tc>
      </w:tr>
      <w:tr>
        <w:trPr>
          <w:trHeight w:val="223"/>
        </w:trPr>
        <w:tc>
          <w:tcPr>
            <w:tcW w:w="81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restricted cash at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212,165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137,355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72,565</w:t>
            </w:r>
          </w:p>
        </w:tc>
        <w:tc>
          <w:tcPr>
            <w:tcW w:w="56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76,269</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(17,561)</w:t>
            </w:r>
          </w:p>
        </w:tc>
        <w:tc>
          <w:tcPr>
            <w:tcW w:w="56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(3,231)</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Non-cash financing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Right-of-use asset,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(21,869)</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23,327</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Deferred office 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right"/>
              <w:ind w:right="96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82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 (Shares Outstanding)</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22,715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22,526</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22,531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22,422</w:t>
            </w:r>
          </w:p>
        </w:tc>
      </w:tr>
      <w:tr>
        <w:trPr>
          <w:trHeight w:val="202"/>
        </w:trPr>
        <w:tc>
          <w:tcPr>
            <w:tcW w:w="474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47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269</w:t>
            </w:r>
          </w:p>
        </w:tc>
        <w:tc>
          <w:tcPr>
            <w:tcW w:w="2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0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483</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r>
      <w:tr>
        <w:trPr>
          <w:trHeight w:val="209"/>
        </w:trPr>
        <w:tc>
          <w:tcPr>
            <w:tcW w:w="474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22,509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22,526</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22,509</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22,526</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72,402</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70,299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71,257</w:t>
            </w: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70,273</w:t>
            </w:r>
          </w:p>
        </w:tc>
      </w:tr>
      <w:tr>
        <w:trPr>
          <w:trHeight w:val="202"/>
        </w:trPr>
        <w:tc>
          <w:tcPr>
            <w:tcW w:w="474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47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18</w:t>
            </w:r>
          </w:p>
        </w:tc>
        <w:tc>
          <w:tcPr>
            <w:tcW w:w="1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470</w:t>
            </w:r>
          </w:p>
        </w:tc>
        <w:tc>
          <w:tcPr>
            <w:tcW w:w="2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0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(1,440)</w:t>
            </w:r>
          </w:p>
        </w:tc>
      </w:tr>
      <w:tr>
        <w:trPr>
          <w:trHeight w:val="230"/>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EEEEEE"/>
          </w:tcPr>
          <w:p>
            <w:pPr>
              <w:spacing w:after="0"/>
              <w:rPr>
                <w:sz w:val="19"/>
                <w:szCs w:val="19"/>
                <w:color w:val="auto"/>
              </w:rPr>
            </w:pPr>
          </w:p>
        </w:tc>
      </w:tr>
      <w:tr>
        <w:trPr>
          <w:trHeight w:val="209"/>
        </w:trPr>
        <w:tc>
          <w:tcPr>
            <w:tcW w:w="47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72,197</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70,676</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72,197</w:t>
            </w:r>
          </w:p>
        </w:tc>
        <w:tc>
          <w:tcPr>
            <w:tcW w:w="3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70,676</w:t>
            </w:r>
          </w:p>
        </w:tc>
        <w:tc>
          <w:tcPr>
            <w:tcW w:w="100" w:type="dxa"/>
            <w:vAlign w:val="bottom"/>
            <w:tcBorders>
              <w:bottom w:val="single" w:sz="8" w:color="EEEEEE"/>
            </w:tcBorders>
            <w:gridSpan w:val="2"/>
          </w:tcPr>
          <w:p>
            <w:pPr>
              <w:spacing w:after="0"/>
              <w:rPr>
                <w:sz w:val="18"/>
                <w:szCs w:val="18"/>
                <w:color w:val="auto"/>
              </w:rPr>
            </w:pPr>
          </w:p>
        </w:tc>
      </w:tr>
      <w:tr>
        <w:trPr>
          <w:trHeight w:val="210"/>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61,100</w:t>
            </w:r>
          </w:p>
        </w:tc>
        <w:tc>
          <w:tcPr>
            <w:tcW w:w="58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137,938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139,805</w:t>
            </w:r>
          </w:p>
        </w:tc>
        <w:tc>
          <w:tcPr>
            <w:tcW w:w="440" w:type="dxa"/>
            <w:vAlign w:val="bottom"/>
            <w:gridSpan w:val="2"/>
            <w:shd w:val="clear" w:color="auto" w:fill="EEEEEE"/>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134,399</w:t>
            </w:r>
          </w:p>
        </w:tc>
        <w:tc>
          <w:tcPr>
            <w:tcW w:w="80" w:type="dxa"/>
            <w:vAlign w:val="bottom"/>
            <w:shd w:val="clear" w:color="auto" w:fill="EEEEEE"/>
          </w:tcPr>
          <w:p>
            <w:pPr>
              <w:spacing w:after="0"/>
              <w:rPr>
                <w:sz w:val="18"/>
                <w:szCs w:val="18"/>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Cumulative change in accounting principle (Note 2)</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(92,469)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4740" w:type="dxa"/>
            <w:vAlign w:val="bottom"/>
            <w:tcBorders>
              <w:top w:val="single" w:sz="8" w:color="EEEEEE"/>
            </w:tcBorders>
            <w:shd w:val="clear" w:color="auto" w:fill="EEEEEE"/>
          </w:tcPr>
          <w:p>
            <w:pPr>
              <w:ind w:left="180"/>
              <w:spacing w:after="0" w:line="182" w:lineRule="exact"/>
              <w:rPr>
                <w:sz w:val="20"/>
                <w:szCs w:val="20"/>
                <w:color w:val="auto"/>
              </w:rPr>
            </w:pPr>
            <w:r>
              <w:rPr>
                <w:rFonts w:ascii="Arial" w:cs="Arial" w:eastAsia="Arial" w:hAnsi="Arial"/>
                <w:sz w:val="18"/>
                <w:szCs w:val="18"/>
                <w:color w:val="auto"/>
              </w:rPr>
              <w:t>Balance, beginning of period (as adjusted for change in</w:t>
            </w:r>
          </w:p>
        </w:tc>
        <w:tc>
          <w:tcPr>
            <w:tcW w:w="280" w:type="dxa"/>
            <w:vAlign w:val="bottom"/>
            <w:tcBorders>
              <w:top w:val="single" w:sz="8" w:color="auto"/>
            </w:tcBorders>
            <w:shd w:val="clear" w:color="auto" w:fill="EEEEEE"/>
          </w:tcPr>
          <w:p>
            <w:pPr>
              <w:spacing w:after="0"/>
              <w:rPr>
                <w:sz w:val="15"/>
                <w:szCs w:val="15"/>
                <w:color w:val="auto"/>
              </w:rPr>
            </w:pPr>
          </w:p>
        </w:tc>
        <w:tc>
          <w:tcPr>
            <w:tcW w:w="108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440" w:type="dxa"/>
            <w:vAlign w:val="bottom"/>
            <w:tcBorders>
              <w:top w:val="single" w:sz="8" w:color="auto"/>
            </w:tcBorders>
            <w:shd w:val="clear" w:color="auto" w:fill="EEEEEE"/>
          </w:tcPr>
          <w:p>
            <w:pPr>
              <w:spacing w:after="0"/>
              <w:rPr>
                <w:sz w:val="15"/>
                <w:szCs w:val="15"/>
                <w:color w:val="auto"/>
              </w:rPr>
            </w:pPr>
          </w:p>
        </w:tc>
        <w:tc>
          <w:tcPr>
            <w:tcW w:w="94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280" w:type="dxa"/>
            <w:vAlign w:val="bottom"/>
            <w:tcBorders>
              <w:top w:val="single" w:sz="8" w:color="auto"/>
            </w:tcBorders>
            <w:shd w:val="clear" w:color="auto" w:fill="EEEEEE"/>
          </w:tcPr>
          <w:p>
            <w:pPr>
              <w:spacing w:after="0"/>
              <w:rPr>
                <w:sz w:val="15"/>
                <w:szCs w:val="15"/>
                <w:color w:val="auto"/>
              </w:rPr>
            </w:pPr>
          </w:p>
        </w:tc>
        <w:tc>
          <w:tcPr>
            <w:tcW w:w="10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420" w:type="dxa"/>
            <w:vAlign w:val="bottom"/>
            <w:tcBorders>
              <w:top w:val="single" w:sz="8" w:color="auto"/>
            </w:tcBorders>
            <w:shd w:val="clear" w:color="auto" w:fill="EEEEEE"/>
          </w:tcPr>
          <w:p>
            <w:pPr>
              <w:spacing w:after="0"/>
              <w:rPr>
                <w:sz w:val="15"/>
                <w:szCs w:val="15"/>
                <w:color w:val="auto"/>
              </w:rPr>
            </w:pPr>
          </w:p>
        </w:tc>
        <w:tc>
          <w:tcPr>
            <w:tcW w:w="900" w:type="dxa"/>
            <w:vAlign w:val="bottom"/>
            <w:tcBorders>
              <w:top w:val="single" w:sz="8" w:color="auto"/>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80" w:type="dxa"/>
            <w:vAlign w:val="bottom"/>
            <w:tcBorders>
              <w:top w:val="single" w:sz="8" w:color="EEEEEE"/>
            </w:tcBorders>
            <w:shd w:val="clear" w:color="auto" w:fill="EEEEEE"/>
          </w:tcPr>
          <w:p>
            <w:pPr>
              <w:spacing w:after="0"/>
              <w:rPr>
                <w:sz w:val="15"/>
                <w:szCs w:val="15"/>
                <w:color w:val="auto"/>
              </w:rPr>
            </w:pPr>
          </w:p>
        </w:tc>
      </w:tr>
      <w:tr>
        <w:trPr>
          <w:trHeight w:val="230"/>
        </w:trPr>
        <w:tc>
          <w:tcPr>
            <w:tcW w:w="47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61,100</w:t>
            </w:r>
          </w:p>
        </w:tc>
        <w:tc>
          <w:tcPr>
            <w:tcW w:w="58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137,938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47,336</w:t>
            </w:r>
          </w:p>
        </w:tc>
        <w:tc>
          <w:tcPr>
            <w:tcW w:w="440" w:type="dxa"/>
            <w:vAlign w:val="bottom"/>
            <w:gridSpan w:val="2"/>
            <w:shd w:val="clear" w:color="auto" w:fill="EEEEEE"/>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134,399</w:t>
            </w:r>
          </w:p>
        </w:tc>
        <w:tc>
          <w:tcPr>
            <w:tcW w:w="80" w:type="dxa"/>
            <w:vAlign w:val="bottom"/>
            <w:shd w:val="clear" w:color="auto" w:fill="EEEEEE"/>
          </w:tcPr>
          <w:p>
            <w:pPr>
              <w:spacing w:after="0"/>
              <w:rPr>
                <w:sz w:val="20"/>
                <w:szCs w:val="20"/>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1,838</w:t>
            </w:r>
          </w:p>
        </w:tc>
        <w:tc>
          <w:tcPr>
            <w:tcW w:w="28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17,532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5,377</w:t>
            </w:r>
          </w:p>
        </w:tc>
        <w:tc>
          <w:tcPr>
            <w:tcW w:w="80" w:type="dxa"/>
            <w:vAlign w:val="bottom"/>
          </w:tcPr>
          <w:p>
            <w:pPr>
              <w:spacing w:after="0"/>
              <w:rPr>
                <w:sz w:val="19"/>
                <w:szCs w:val="19"/>
                <w:color w:val="auto"/>
              </w:rPr>
            </w:pPr>
          </w:p>
        </w:tc>
      </w:tr>
      <w:tr>
        <w:trPr>
          <w:trHeight w:val="210"/>
        </w:trPr>
        <w:tc>
          <w:tcPr>
            <w:tcW w:w="474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64,868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139,776</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64,868</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139,776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(8,421)</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(7,554)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(8,421)</w:t>
            </w: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(7,554)</w:t>
            </w:r>
          </w:p>
        </w:tc>
      </w:tr>
      <w:tr>
        <w:trPr>
          <w:trHeight w:val="230"/>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benefit obligation</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200" w:type="dxa"/>
            <w:vAlign w:val="bottom"/>
            <w:tcBorders>
              <w:bottom w:val="single" w:sz="8" w:color="EEEEEE"/>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128,644</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202,898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128,644</w:t>
            </w: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202,898</w:t>
            </w:r>
          </w:p>
        </w:tc>
        <w:tc>
          <w:tcPr>
            <w:tcW w:w="8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w:t>
      </w:r>
    </w:p>
    <w:p>
      <w:pPr>
        <w:spacing w:after="0" w:line="2" w:lineRule="exact"/>
        <w:rPr>
          <w:sz w:val="20"/>
          <w:szCs w:val="20"/>
          <w:color w:val="auto"/>
        </w:rPr>
      </w:pPr>
    </w:p>
    <w:p>
      <w:pPr>
        <w:jc w:val="both"/>
        <w:ind w:firstLine="8"/>
        <w:spacing w:after="0" w:line="255"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lent money directly to consumers for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2020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recorded value, an adjustment would be required. Results for the third quarter include the estimated potential effect on credit performance resulting from the COVID-19 pandemic. We recorded a $3.2 million mark down to the recorded value of the portion of the receivables portfolio accounted for at fair value in the third quarter, $9.5 million in the second quarter, and $10.4 million in the first quarter. The mark down is reflected as a reduction in revenue for each period.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primary components of Other Income for the three-month and nine-month periods ending September 30,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20" w:type="dxa"/>
            <w:vAlign w:val="bottom"/>
            <w:gridSpan w:val="5"/>
          </w:tcPr>
          <w:p>
            <w:pPr>
              <w:jc w:val="center"/>
              <w:ind w:left="378"/>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left="358"/>
              <w:spacing w:after="0"/>
              <w:rPr>
                <w:sz w:val="20"/>
                <w:szCs w:val="20"/>
                <w:color w:val="auto"/>
              </w:rPr>
            </w:pPr>
            <w:r>
              <w:rPr>
                <w:rFonts w:ascii="Arial" w:cs="Arial" w:eastAsia="Arial" w:hAnsi="Arial"/>
                <w:sz w:val="18"/>
                <w:szCs w:val="18"/>
                <w:b w:val="1"/>
                <w:bCs w:val="1"/>
                <w:color w:val="auto"/>
                <w:w w:val="91"/>
              </w:rPr>
              <w:t>Nine Months Ended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389"/>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center"/>
              <w:ind w:right="369"/>
              <w:spacing w:after="0"/>
              <w:rPr>
                <w:sz w:val="20"/>
                <w:szCs w:val="20"/>
                <w:color w:val="auto"/>
              </w:rPr>
            </w:pPr>
            <w:r>
              <w:rPr>
                <w:rFonts w:ascii="Arial" w:cs="Arial" w:eastAsia="Arial" w:hAnsi="Arial"/>
                <w:sz w:val="18"/>
                <w:szCs w:val="18"/>
                <w:b w:val="1"/>
                <w:bCs w:val="1"/>
                <w:color w:val="auto"/>
                <w:w w:val="90"/>
              </w:rPr>
              <w:t>(In thousands)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00" w:type="dxa"/>
            <w:vAlign w:val="bottom"/>
            <w:shd w:val="clear" w:color="auto" w:fill="EEEEEE"/>
          </w:tcPr>
          <w:p>
            <w:pPr>
              <w:jc w:val="right"/>
              <w:ind w:right="73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760</w:t>
            </w:r>
          </w:p>
        </w:tc>
        <w:tc>
          <w:tcPr>
            <w:tcW w:w="108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1,121</w:t>
            </w:r>
          </w:p>
        </w:tc>
        <w:tc>
          <w:tcPr>
            <w:tcW w:w="880" w:type="dxa"/>
            <w:vAlign w:val="bottom"/>
            <w:shd w:val="clear" w:color="auto" w:fill="EEEEEE"/>
          </w:tcPr>
          <w:p>
            <w:pPr>
              <w:jc w:val="right"/>
              <w:ind w:right="71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2,444</w:t>
            </w:r>
          </w:p>
        </w:tc>
        <w:tc>
          <w:tcPr>
            <w:tcW w:w="880" w:type="dxa"/>
            <w:vAlign w:val="bottom"/>
            <w:gridSpan w:val="2"/>
            <w:shd w:val="clear" w:color="auto" w:fill="EEEEEE"/>
          </w:tcPr>
          <w:p>
            <w:pPr>
              <w:jc w:val="right"/>
              <w:ind w:right="74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3,508</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600</w:t>
            </w: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1,340</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1,870</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w:t>
            </w:r>
          </w:p>
        </w:tc>
        <w:tc>
          <w:tcPr>
            <w:tcW w:w="8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w:t>
            </w:r>
          </w:p>
        </w:tc>
        <w:tc>
          <w:tcPr>
            <w:tcW w:w="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Sales tax refunds</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631</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w:t>
            </w:r>
          </w:p>
        </w:tc>
        <w:tc>
          <w:tcPr>
            <w:tcW w:w="88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w:t>
            </w:r>
          </w:p>
        </w:tc>
        <w:tc>
          <w:tcPr>
            <w:tcW w:w="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5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114</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1,994</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6,255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660"/>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87"/>
              </w:rPr>
              <w:t>September,</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7"/>
          </w:tcPr>
          <w:p>
            <w:pPr>
              <w:jc w:val="right"/>
              <w:ind w:right="8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23,735</w:t>
            </w:r>
          </w:p>
        </w:tc>
        <w:tc>
          <w:tcPr>
            <w:tcW w:w="1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23,735</w:t>
            </w:r>
          </w:p>
        </w:tc>
        <w:tc>
          <w:tcPr>
            <w:tcW w:w="100" w:type="dxa"/>
            <w:vAlign w:val="bottom"/>
          </w:tcPr>
          <w:p>
            <w:pPr>
              <w:spacing w:after="0"/>
              <w:rPr>
                <w:sz w:val="18"/>
                <w:szCs w:val="18"/>
                <w:color w:val="auto"/>
              </w:rPr>
            </w:pPr>
          </w:p>
        </w:tc>
      </w:tr>
      <w:tr>
        <w:trPr>
          <w:trHeight w:val="229"/>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(11,280)</w:t>
            </w: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(6,600)</w:t>
            </w:r>
          </w:p>
        </w:tc>
      </w:tr>
      <w:tr>
        <w:trPr>
          <w:trHeight w:val="263"/>
        </w:trPr>
        <w:tc>
          <w:tcPr>
            <w:tcW w:w="80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12,455</w:t>
            </w:r>
          </w:p>
        </w:tc>
        <w:tc>
          <w:tcPr>
            <w:tcW w:w="12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r>
      <w:tr>
        <w:trPr>
          <w:trHeight w:val="197"/>
        </w:trPr>
        <w:tc>
          <w:tcPr>
            <w:tcW w:w="80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(13,698)</w:t>
            </w:r>
          </w:p>
        </w:tc>
        <w:tc>
          <w:tcPr>
            <w:tcW w:w="1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(18,527)</w:t>
            </w:r>
          </w:p>
        </w:tc>
      </w:tr>
      <w:tr>
        <w:trPr>
          <w:trHeight w:val="216"/>
        </w:trPr>
        <w:tc>
          <w:tcPr>
            <w:tcW w:w="80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2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3,352</w:t>
            </w:r>
          </w:p>
        </w:tc>
        <w:tc>
          <w:tcPr>
            <w:tcW w:w="160" w:type="dxa"/>
            <w:vAlign w:val="bottom"/>
            <w:shd w:val="clear" w:color="auto" w:fill="EEEEEE"/>
          </w:tcPr>
          <w:p>
            <w:pPr>
              <w:spacing w:after="0"/>
              <w:rPr>
                <w:sz w:val="18"/>
                <w:szCs w:val="18"/>
                <w:color w:val="auto"/>
              </w:rPr>
            </w:pPr>
          </w:p>
        </w:tc>
        <w:tc>
          <w:tcPr>
            <w:tcW w:w="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EEEEEE"/>
          </w:tcPr>
          <w:p>
            <w:pPr>
              <w:spacing w:after="0"/>
              <w:rPr>
                <w:sz w:val="18"/>
                <w:szCs w:val="18"/>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r>
      <w:tr>
        <w:trPr>
          <w:trHeight w:val="223"/>
        </w:trPr>
        <w:tc>
          <w:tcPr>
            <w:tcW w:w="8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gridSpan w:val="2"/>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2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(2,457)</w:t>
            </w:r>
          </w:p>
        </w:tc>
        <w:tc>
          <w:tcPr>
            <w:tcW w:w="160" w:type="dxa"/>
            <w:vAlign w:val="bottom"/>
            <w:shd w:val="clear" w:color="auto" w:fill="EEEEEE"/>
          </w:tcPr>
          <w:p>
            <w:pPr>
              <w:spacing w:after="0"/>
              <w:rPr>
                <w:sz w:val="18"/>
                <w:szCs w:val="18"/>
                <w:color w:val="auto"/>
              </w:rPr>
            </w:pPr>
          </w:p>
        </w:tc>
        <w:tc>
          <w:tcPr>
            <w:tcW w:w="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(718)</w:t>
            </w:r>
          </w:p>
        </w:tc>
      </w:tr>
      <w:tr>
        <w:trPr>
          <w:trHeight w:val="216"/>
        </w:trPr>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6.4%</w:t>
            </w:r>
          </w:p>
        </w:tc>
      </w:tr>
      <w:tr>
        <w:trPr>
          <w:trHeight w:val="459"/>
        </w:trPr>
        <w:tc>
          <w:tcPr>
            <w:tcW w:w="802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8020" w:type="dxa"/>
            <w:vAlign w:val="bottom"/>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Operating</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Finance</w:t>
            </w:r>
          </w:p>
        </w:tc>
      </w:tr>
      <w:tr>
        <w:trPr>
          <w:trHeight w:val="244"/>
        </w:trPr>
        <w:tc>
          <w:tcPr>
            <w:tcW w:w="8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Lease</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Lease</w:t>
            </w:r>
          </w:p>
        </w:tc>
      </w:tr>
      <w:tr>
        <w:trPr>
          <w:trHeight w:val="210"/>
        </w:trPr>
        <w:tc>
          <w:tcPr>
            <w:tcW w:w="8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2020 (excluding the nine months ended September 30, 2020)</w:t>
            </w:r>
          </w:p>
        </w:tc>
        <w:tc>
          <w:tcPr>
            <w:tcW w:w="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1,959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gridSpan w:val="2"/>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1,217</w:t>
            </w: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1,038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14</w:t>
            </w: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17,581</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(188)</w:t>
            </w:r>
          </w:p>
        </w:tc>
      </w:tr>
      <w:tr>
        <w:trPr>
          <w:trHeight w:val="223"/>
        </w:trPr>
        <w:tc>
          <w:tcPr>
            <w:tcW w:w="8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13,698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gridSpan w:val="2"/>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20" w:type="dxa"/>
            <w:vAlign w:val="bottom"/>
            <w:gridSpan w:val="5"/>
          </w:tcPr>
          <w:p>
            <w:pPr>
              <w:jc w:val="center"/>
              <w:ind w:left="378"/>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r>
      <w:tr>
        <w:trPr>
          <w:trHeight w:val="195"/>
        </w:trPr>
        <w:tc>
          <w:tcPr>
            <w:tcW w:w="900" w:type="dxa"/>
            <w:vAlign w:val="bottom"/>
          </w:tcPr>
          <w:p>
            <w:pPr>
              <w:spacing w:after="0"/>
              <w:rPr>
                <w:sz w:val="16"/>
                <w:szCs w:val="16"/>
                <w:color w:val="auto"/>
              </w:rPr>
            </w:pPr>
          </w:p>
        </w:tc>
        <w:tc>
          <w:tcPr>
            <w:tcW w:w="1720" w:type="dxa"/>
            <w:vAlign w:val="bottom"/>
            <w:gridSpan w:val="4"/>
          </w:tcPr>
          <w:p>
            <w:pPr>
              <w:jc w:val="center"/>
              <w:ind w:right="370"/>
              <w:spacing w:after="0" w:line="195" w:lineRule="exact"/>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4"/>
          </w:tcPr>
          <w:p>
            <w:pPr>
              <w:jc w:val="center"/>
              <w:ind w:left="53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6"/>
                <w:szCs w:val="16"/>
                <w:color w:val="auto"/>
              </w:rPr>
            </w:pPr>
          </w:p>
        </w:tc>
      </w:tr>
      <w:tr>
        <w:trPr>
          <w:trHeight w:val="230"/>
        </w:trPr>
        <w:tc>
          <w:tcPr>
            <w:tcW w:w="900" w:type="dxa"/>
            <w:vAlign w:val="bottom"/>
          </w:tcPr>
          <w:p>
            <w:pPr>
              <w:jc w:val="right"/>
              <w:ind w:right="738"/>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1,885</w:t>
            </w:r>
          </w:p>
        </w:tc>
        <w:tc>
          <w:tcPr>
            <w:tcW w:w="10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1,884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5,654</w:t>
            </w: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5,659</w:t>
            </w:r>
          </w:p>
        </w:tc>
      </w:tr>
      <w:tr>
        <w:trPr>
          <w:trHeight w:val="230"/>
        </w:trPr>
        <w:tc>
          <w:tcPr>
            <w:tcW w:w="9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1,930</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20" w:type="dxa"/>
            <w:vAlign w:val="bottom"/>
            <w:gridSpan w:val="3"/>
          </w:tcPr>
          <w:p>
            <w:pPr>
              <w:jc w:val="center"/>
              <w:ind w:left="376"/>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Cash paid for amounts included in the measurement of</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7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center"/>
              <w:ind w:right="370"/>
              <w:spacing w:after="0" w:line="177" w:lineRule="exact"/>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2"/>
          </w:tcPr>
          <w:p>
            <w:pPr>
              <w:jc w:val="center"/>
              <w:ind w:left="530"/>
              <w:spacing w:after="0" w:line="177" w:lineRule="exact"/>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shd w:val="clear" w:color="auto" w:fill="EEEEEE"/>
          </w:tcPr>
          <w:p>
            <w:pPr>
              <w:jc w:val="right"/>
              <w:ind w:right="73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7"/>
              </w:rPr>
              <w:t>1,945</w:t>
            </w:r>
          </w:p>
        </w:tc>
        <w:tc>
          <w:tcPr>
            <w:tcW w:w="108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1,901</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5,803</w:t>
            </w:r>
          </w:p>
        </w:tc>
        <w:tc>
          <w:tcPr>
            <w:tcW w:w="6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90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256</w:t>
            </w:r>
          </w:p>
        </w:tc>
        <w:tc>
          <w:tcPr>
            <w:tcW w:w="10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6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42</w:t>
            </w:r>
          </w:p>
        </w:tc>
        <w:tc>
          <w:tcPr>
            <w:tcW w:w="10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133</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b w:val="1"/>
                <w:bCs w:val="1"/>
                <w:color w:val="auto"/>
              </w:rPr>
              <w:t>Stock-based Compensation</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2020, we recorded stock-based compensation costs in the amount of $539,000 and $1.4 million respectively. These stock-based compensation costs were $377,000 and $1.5 million for the three and nine months ended September 30, 2019. As of September 30, 2020, unrecognized stock-based compensation costs to be recognized over future periods equaled $3.7 million. This amount will be recognized as expense over a weighted-average period of 2.4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 w:name="page12"/>
    <w:bookmarkEnd w:id="11"/>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nine months ended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64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(in</w:t>
            </w:r>
          </w:p>
        </w:tc>
        <w:tc>
          <w:tcPr>
            <w:tcW w:w="14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Exercise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642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10"/>
        </w:trPr>
        <w:tc>
          <w:tcPr>
            <w:tcW w:w="6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6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1.75</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64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5.55</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3"/>
        </w:trPr>
        <w:tc>
          <w:tcPr>
            <w:tcW w:w="6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16,464</w:t>
            </w:r>
          </w:p>
        </w:tc>
        <w:tc>
          <w:tcPr>
            <w:tcW w:w="200" w:type="dxa"/>
            <w:vAlign w:val="bottom"/>
            <w:tcBorders>
              <w:top w:val="single" w:sz="8" w:color="EEEEEE"/>
            </w:tcBorders>
            <w:shd w:val="clear" w:color="auto" w:fill="EEEEEE"/>
          </w:tcPr>
          <w:p>
            <w:pPr>
              <w:spacing w:after="0"/>
              <w:rPr>
                <w:sz w:val="19"/>
                <w:szCs w:val="19"/>
                <w:color w:val="auto"/>
              </w:rPr>
            </w:pPr>
          </w:p>
        </w:tc>
        <w:tc>
          <w:tcPr>
            <w:tcW w:w="340" w:type="dxa"/>
            <w:vAlign w:val="bottom"/>
            <w:tcBorders>
              <w:top w:val="single" w:sz="8" w:color="EEEEEE"/>
            </w:tcBorders>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4.41</w:t>
            </w:r>
          </w:p>
        </w:tc>
        <w:tc>
          <w:tcPr>
            <w:tcW w:w="146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3.07 years</w:t>
            </w:r>
          </w:p>
        </w:tc>
      </w:tr>
      <w:tr>
        <w:trPr>
          <w:trHeight w:val="20"/>
        </w:trPr>
        <w:tc>
          <w:tcPr>
            <w:tcW w:w="642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43"/>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12,816</w:t>
            </w:r>
          </w:p>
        </w:tc>
        <w:tc>
          <w:tcPr>
            <w:tcW w:w="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4.78</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2.30 years</w:t>
            </w:r>
          </w:p>
        </w:tc>
      </w:tr>
      <w:tr>
        <w:trPr>
          <w:trHeight w:val="20"/>
        </w:trPr>
        <w:tc>
          <w:tcPr>
            <w:tcW w:w="642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2020, the aggregate intrinsic value of options outstanding and exercisable was $5.5 million and $4.1 million, respectively. There were 269,100 options exercised for the nine months ended September 30, 2020 compared to 482,500 for the comparable period in 2019. The total intrinsic value of options exercised was $308,000 and $1.4 million for the nine-month periods ended September 30, 2020 and 2019. There were 72,581 shares available for future stock option grants under existing plans as of September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describes the purchase of our common stock for the nine-month ended September 30, 2020 and 2019:</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Shares redeemed upon net exercise of stock options Other purchases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4"/>
          </w:tcPr>
          <w:p>
            <w:pPr>
              <w:ind w:left="52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400" w:type="dxa"/>
            <w:vAlign w:val="bottom"/>
            <w:gridSpan w:val="5"/>
          </w:tcPr>
          <w:p>
            <w:pPr>
              <w:ind w:left="780"/>
              <w:spacing w:after="0"/>
              <w:rPr>
                <w:sz w:val="20"/>
                <w:szCs w:val="20"/>
                <w:color w:val="auto"/>
              </w:rPr>
            </w:pPr>
            <w:r>
              <w:rPr>
                <w:rFonts w:ascii="Arial" w:cs="Arial" w:eastAsia="Arial" w:hAnsi="Arial"/>
                <w:sz w:val="18"/>
                <w:szCs w:val="18"/>
                <w:b w:val="1"/>
                <w:bCs w:val="1"/>
                <w:color w:val="auto"/>
              </w:rPr>
              <w:t>September 30, 2020</w:t>
            </w:r>
          </w:p>
        </w:tc>
        <w:tc>
          <w:tcPr>
            <w:tcW w:w="3020" w:type="dxa"/>
            <w:vAlign w:val="bottom"/>
            <w:gridSpan w:val="6"/>
          </w:tcPr>
          <w:p>
            <w:pPr>
              <w:ind w:left="740"/>
              <w:spacing w:after="0"/>
              <w:rPr>
                <w:sz w:val="20"/>
                <w:szCs w:val="20"/>
                <w:color w:val="auto"/>
              </w:rPr>
            </w:pPr>
            <w:r>
              <w:rPr>
                <w:rFonts w:ascii="Arial" w:cs="Arial" w:eastAsia="Arial" w:hAnsi="Arial"/>
                <w:sz w:val="18"/>
                <w:szCs w:val="18"/>
                <w:b w:val="1"/>
                <w:bCs w:val="1"/>
                <w:color w:val="auto"/>
              </w:rPr>
              <w:t>September 30, 2019</w:t>
            </w:r>
          </w:p>
        </w:tc>
      </w:tr>
      <w:tr>
        <w:trPr>
          <w:trHeight w:val="223"/>
        </w:trPr>
        <w:tc>
          <w:tcPr>
            <w:tcW w:w="170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Avg. Price</w:t>
            </w:r>
          </w:p>
        </w:tc>
        <w:tc>
          <w:tcPr>
            <w:tcW w:w="20" w:type="dxa"/>
            <w:vAlign w:val="bottom"/>
          </w:tcPr>
          <w:p>
            <w:pPr>
              <w:spacing w:after="0"/>
              <w:rPr>
                <w:sz w:val="19"/>
                <w:szCs w:val="19"/>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44,247</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2.94</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335,546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3.95</w:t>
            </w:r>
          </w:p>
        </w:tc>
        <w:tc>
          <w:tcPr>
            <w:tcW w:w="20" w:type="dxa"/>
            <w:vAlign w:val="bottom"/>
          </w:tcPr>
          <w:p>
            <w:pPr>
              <w:spacing w:after="0"/>
              <w:rPr>
                <w:sz w:val="16"/>
                <w:szCs w:val="16"/>
                <w:color w:val="auto"/>
              </w:rPr>
            </w:pPr>
          </w:p>
        </w:tc>
      </w:tr>
      <w:tr>
        <w:trPr>
          <w:trHeight w:val="230"/>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46,909</w:t>
            </w: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18,424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r>
      <w:tr>
        <w:trPr>
          <w:trHeight w:val="230"/>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24,500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291,156</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378,470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-608330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line="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2" w:name="page13"/>
    <w:bookmarkEnd w:id="12"/>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2020,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which changes the criteria under which credit losses on financial instruments (such as the Company’s finance receivables) are measured. ASU 2016-3 introduces a new credit reserving model known as the Current Expected Credit Loss (“CECL”) model, which replaces the incurred loss impairment methodology previously used under U.S. GAAP with a methodology that records currently the expected lifetime credit losses on financial instruments. To establish such lifetime credit loss estimates, consideration of a broadened range of reasonable and supportable information to establish credit loss estimates is required. ASU 2016-13 was initially scheduled to become effective for interim and annual reporting periods beginning after December 15, 2019, however on October 16, 2019, the FASB changed the effective date for smaller reporting companies to interim and annual reporting periods beginning after December 15, 2022, with early adoption permitted.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2020, the Company adopted the CECL model.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 and not a current period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Results for the nine-month period ending September 30, 2020 include the estimated potential effect on credit performance resulting from the pandemic. We recorded a $14.1 million charge to the provision for credit losses for the legacy portfolio accounted for under CECL and a $23.1 million mark down to the recorded value of the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w:t>
      </w:r>
      <w:r>
        <w:rPr>
          <w:rFonts w:ascii="Arial" w:cs="Arial" w:eastAsia="Arial" w:hAnsi="Arial"/>
          <w:sz w:val="18"/>
          <w:szCs w:val="18"/>
          <w:color w:val="323232"/>
        </w:rPr>
        <w:t>ignificant changes in any of those inputs, which in turn may have a</w:t>
      </w:r>
      <w:r>
        <w:rPr>
          <w:rFonts w:ascii="Arial" w:cs="Arial" w:eastAsia="Arial" w:hAnsi="Arial"/>
          <w:sz w:val="18"/>
          <w:szCs w:val="18"/>
          <w:color w:val="auto"/>
        </w:rPr>
        <w:t xml:space="preserve"> </w:t>
      </w:r>
      <w:r>
        <w:rPr>
          <w:rFonts w:ascii="Arial" w:cs="Arial" w:eastAsia="Arial" w:hAnsi="Arial"/>
          <w:sz w:val="18"/>
          <w:szCs w:val="18"/>
          <w:color w:val="323232"/>
        </w:rPr>
        <w:t>significant effect on our fair value measurement.</w:t>
      </w:r>
    </w:p>
    <w:p>
      <w:pPr>
        <w:spacing w:after="0" w:line="18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576,227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895,566</w:t>
            </w:r>
          </w:p>
        </w:tc>
        <w:tc>
          <w:tcPr>
            <w:tcW w:w="10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Unearned acquisition fees and originations costs</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Finance receivables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577,281</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897,530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2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490,096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698,870</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57,463</w:t>
            </w: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107,951</w:t>
            </w:r>
          </w:p>
        </w:tc>
        <w:tc>
          <w:tcPr>
            <w:tcW w:w="10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060" w:type="dxa"/>
            <w:vAlign w:val="bottom"/>
          </w:tcPr>
          <w:p>
            <w:pPr>
              <w:ind w:left="20"/>
              <w:spacing w:after="0"/>
              <w:rPr>
                <w:sz w:val="20"/>
                <w:szCs w:val="20"/>
                <w:color w:val="auto"/>
              </w:rPr>
            </w:pPr>
            <w:r>
              <w:rPr>
                <w:rFonts w:ascii="Arial" w:cs="Arial" w:eastAsia="Arial" w:hAnsi="Arial"/>
                <w:sz w:val="18"/>
                <w:szCs w:val="18"/>
                <w:color w:val="auto"/>
              </w:rPr>
              <w:t>- 90 days</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21,760</w:t>
            </w: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57,395</w:t>
            </w:r>
          </w:p>
        </w:tc>
        <w:tc>
          <w:tcPr>
            <w:tcW w:w="100" w:type="dxa"/>
            <w:vAlign w:val="bottom"/>
          </w:tcPr>
          <w:p>
            <w:pPr>
              <w:spacing w:after="0"/>
              <w:rPr>
                <w:sz w:val="18"/>
                <w:szCs w:val="18"/>
                <w:color w:val="auto"/>
              </w:rPr>
            </w:pPr>
          </w:p>
        </w:tc>
      </w:tr>
      <w:tr>
        <w:trPr>
          <w:trHeight w:val="229"/>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6,908</w:t>
            </w:r>
          </w:p>
        </w:tc>
        <w:tc>
          <w:tcPr>
            <w:tcW w:w="1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31,350</w:t>
            </w:r>
          </w:p>
        </w:tc>
        <w:tc>
          <w:tcPr>
            <w:tcW w:w="10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576,227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895,566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receivables totaling $6.9 million and $31.4 million at September 30, 2020 and December 31, 2019, respectively, including all receivables greater than 90 days delinquent, have been placed on non-accrual status as a result of their delinquency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amortized cost basis of our finance receivables by annual vintage as of September 30,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Annual Vintage Pool</w:t>
            </w: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4"/>
          </w:tcPr>
          <w:p>
            <w:pPr>
              <w:jc w:val="right"/>
              <w:ind w:right="890"/>
              <w:spacing w:after="0" w:line="169" w:lineRule="exact"/>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shd w:val="clear" w:color="auto" w:fill="EEEEEE"/>
          </w:tcPr>
          <w:p>
            <w:pPr>
              <w:spacing w:after="0"/>
              <w:rPr>
                <w:sz w:val="20"/>
                <w:szCs w:val="20"/>
                <w:color w:val="auto"/>
              </w:rPr>
            </w:pPr>
            <w:r>
              <w:rPr>
                <w:rFonts w:ascii="Arial" w:cs="Arial" w:eastAsia="Arial" w:hAnsi="Arial"/>
                <w:sz w:val="18"/>
                <w:szCs w:val="18"/>
                <w:color w:val="auto"/>
              </w:rPr>
              <w:t>2012 and prior</w:t>
            </w:r>
          </w:p>
        </w:tc>
        <w:tc>
          <w:tcPr>
            <w:tcW w:w="3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851</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2013</w:t>
            </w: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6,212</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216"/>
        </w:trPr>
        <w:tc>
          <w:tcPr>
            <w:tcW w:w="178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29,878</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61,290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2015</w:t>
            </w: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95,522</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162,242</w:t>
            </w:r>
          </w:p>
        </w:tc>
        <w:tc>
          <w:tcPr>
            <w:tcW w:w="0" w:type="dxa"/>
            <w:vAlign w:val="bottom"/>
          </w:tcPr>
          <w:p>
            <w:pPr>
              <w:spacing w:after="0"/>
              <w:rPr>
                <w:sz w:val="1"/>
                <w:szCs w:val="1"/>
                <w:color w:val="auto"/>
              </w:rPr>
            </w:pPr>
          </w:p>
        </w:tc>
      </w:tr>
      <w:tr>
        <w:trPr>
          <w:trHeight w:val="216"/>
        </w:trPr>
        <w:tc>
          <w:tcPr>
            <w:tcW w:w="178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190,788</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292,360</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2017</w:t>
            </w: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252,976</w:t>
            </w:r>
          </w:p>
        </w:tc>
        <w:tc>
          <w:tcPr>
            <w:tcW w:w="1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361,753</w:t>
            </w:r>
          </w:p>
        </w:tc>
        <w:tc>
          <w:tcPr>
            <w:tcW w:w="0" w:type="dxa"/>
            <w:vAlign w:val="bottom"/>
          </w:tcPr>
          <w:p>
            <w:pPr>
              <w:spacing w:after="0"/>
              <w:rPr>
                <w:sz w:val="1"/>
                <w:szCs w:val="1"/>
                <w:color w:val="auto"/>
              </w:rPr>
            </w:pPr>
          </w:p>
        </w:tc>
      </w:tr>
      <w:tr>
        <w:trPr>
          <w:trHeight w:val="223"/>
        </w:trPr>
        <w:tc>
          <w:tcPr>
            <w:tcW w:w="178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20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576,227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895,566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adoption of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consideration of the uncertainty associated with the pandemic, the Company made additional provision for credit losses on finance receivables for the for the three-month and nine-month periods ended September 30, 2020, in the amounts of $7.4 million and $14.1 million, respectively.</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and nine-month periods ended September 30, 2020 and 2019:</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8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98,602</w:t>
            </w:r>
          </w:p>
        </w:tc>
        <w:tc>
          <w:tcPr>
            <w:tcW w:w="58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32,664</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11,640</w:t>
            </w:r>
          </w:p>
        </w:tc>
        <w:tc>
          <w:tcPr>
            <w:tcW w:w="440" w:type="dxa"/>
            <w:vAlign w:val="bottom"/>
            <w:gridSpan w:val="2"/>
            <w:shd w:val="clear" w:color="auto" w:fill="EEEEEE"/>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67,376</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Early adoption of CECL</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127,000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7,400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19,874</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14,113</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64,319</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Charge-offs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(15,574)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(46,118)</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(73,096)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(149,038)</w:t>
            </w: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3,790</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6,320</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14,561</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30,083</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12,740</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43"/>
        </w:trPr>
        <w:tc>
          <w:tcPr>
            <w:tcW w:w="5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r>
      <w:tr>
        <w:trPr>
          <w:trHeight w:val="210"/>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17,005</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28,933</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1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(12,896)</w:t>
            </w: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(21,389)</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7,544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Final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Receivables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Scheduled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Pledged at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Interest Rate at</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Payment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Initial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940" w:type="dxa"/>
            <w:vAlign w:val="bottom"/>
            <w:gridSpan w:val="2"/>
          </w:tcPr>
          <w:p>
            <w:pPr>
              <w:ind w:left="680"/>
              <w:spacing w:after="0"/>
              <w:rPr>
                <w:sz w:val="20"/>
                <w:szCs w:val="20"/>
                <w:color w:val="auto"/>
              </w:rPr>
            </w:pPr>
            <w:r>
              <w:rPr>
                <w:rFonts w:ascii="Arial" w:cs="Arial" w:eastAsia="Arial" w:hAnsi="Arial"/>
                <w:sz w:val="18"/>
                <w:szCs w:val="18"/>
                <w:b w:val="1"/>
                <w:bCs w:val="1"/>
                <w:color w:val="auto"/>
              </w:rPr>
              <w:t>Series</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Date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Principal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(Dollars in thousands)</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2021</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273,000</w:t>
            </w: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19,758</w:t>
            </w: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2014-D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March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267,500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23,755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2015-A</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2022</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14,892</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245,000</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13,337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26,713</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2015-B</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September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22,065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21,661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36,338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2015-C</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2022</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33,602</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33,634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53,579</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2016-A</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March 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41,934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329,460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44,498</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71,599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2016-B</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2023</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53,268</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332,690</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53,973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82,667</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2016-C</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September 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54,865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318,500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54,750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83,696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2016-D</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April 2024</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44,381</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206,325</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42,622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65,021</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2017-A</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April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49,404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206,320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47,265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71,450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2017-B</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2023</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61,113</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225,170</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47,090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76,201</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2017-C</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September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63,388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224,825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54,006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80,315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2017-D</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2024</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65,532</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196,300</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55,937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83,801</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2018-A</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March 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70,923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60,777</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91,258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2018-B</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2024</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84,265</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201,823</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76,306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111,188</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2018-C</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September 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98,583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230,275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87,227</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130,064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2018-D</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2025</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116,839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233,730</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101,011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149,470</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2019-A</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March 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147,942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254,400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130,663</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186,900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2019-B</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143,956</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228,275</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134,066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184,308</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2019-C</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September 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167,813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243,513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158,699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216,650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2019-D</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212,273</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274,313</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202,755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265,035</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2020-A</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March 2027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210,936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207,905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2020-B</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2027</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203,947</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202,343</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179,851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1940" w:type="dxa"/>
            <w:vAlign w:val="bottom"/>
            <w:gridSpan w:val="2"/>
          </w:tcPr>
          <w:p>
            <w:pPr>
              <w:spacing w:after="0"/>
              <w:rPr>
                <w:sz w:val="20"/>
                <w:szCs w:val="20"/>
                <w:color w:val="auto"/>
              </w:rPr>
            </w:pPr>
            <w:r>
              <w:rPr>
                <w:rFonts w:ascii="Arial" w:cs="Arial" w:eastAsia="Arial" w:hAnsi="Arial"/>
                <w:sz w:val="18"/>
                <w:szCs w:val="18"/>
                <w:color w:val="auto"/>
              </w:rPr>
              <w:t>CPS 2020-C (3)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November 2027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193,242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252,200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252,200</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1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2,155,163</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5,945,962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2,060,233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2,109,766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460" w:hanging="452"/>
        <w:spacing w:after="0" w:line="273" w:lineRule="auto"/>
        <w:tabs>
          <w:tab w:leader="none" w:pos="4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$225.1 million in 2020, $717.6 million in 2021, $510.7 million in 2022, $396.7 million in 2023, $92.0 million in 2024, $86.8 million in 2025, and $18.7 million in 2026.</w:t>
      </w:r>
    </w:p>
    <w:p>
      <w:pPr>
        <w:spacing w:after="0" w:line="176" w:lineRule="exact"/>
        <w:rPr>
          <w:rFonts w:ascii="Arial" w:cs="Arial" w:eastAsia="Arial" w:hAnsi="Arial"/>
          <w:sz w:val="17"/>
          <w:szCs w:val="17"/>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An additional $63.7 million of receivables were pledged to CPS 2020-C in October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of $12.1 million and $12.0 million as of September 30, 2020 and December 31, 2019, respectively, have been excluded from the table above. These debt issuance costs are presented as a direct deduction to the carrying amount of the securitization trust debt on our Unaudited Condensed Consolidated Balance Sheets.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2020, we were in compliance with all such covenants.</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2020, restricted cash under the various agreements totaled approximately $200.91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September 15, 2020 we completed our third securitization transaction of 2020. In the transaction, qualified institutional buyers purchased $252.2 million of asset-backed notes secured by $260 million in automobile receivables purchased by us. The sold notes, issued by CPS Auto Receivables Trust 2020-C, consist of six classes. Ratings of the notes were provided by Moody’s and DBRS, and were based on the structure of the transaction, the historical performance of similar receivables and CPS’s experience as a servicer. The weighted average yield on the notes is approximately 2.39%.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September 30, 2020 and December 31, 2019 are summarized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gridSpan w:val="8"/>
          </w:tcPr>
          <w:p>
            <w:pPr>
              <w:ind w:left="116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September</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380" w:type="dxa"/>
            <w:vAlign w:val="bottom"/>
            <w:gridSpan w:val="2"/>
            <w:vMerge w:val="restart"/>
          </w:tcPr>
          <w:p>
            <w:pPr>
              <w:ind w:left="660"/>
              <w:spacing w:after="0"/>
              <w:rPr>
                <w:sz w:val="20"/>
                <w:szCs w:val="20"/>
                <w:color w:val="auto"/>
              </w:rPr>
            </w:pPr>
            <w:r>
              <w:rPr>
                <w:rFonts w:ascii="Arial" w:cs="Arial" w:eastAsia="Arial" w:hAnsi="Arial"/>
                <w:sz w:val="18"/>
                <w:szCs w:val="18"/>
                <w:color w:val="auto"/>
              </w:rPr>
              <w:t>Description</w:t>
            </w:r>
          </w:p>
        </w:tc>
        <w:tc>
          <w:tcPr>
            <w:tcW w:w="23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Interest Rate</w:t>
            </w:r>
          </w:p>
        </w:tc>
        <w:tc>
          <w:tcPr>
            <w:tcW w:w="2240" w:type="dxa"/>
            <w:vAlign w:val="bottom"/>
            <w:gridSpan w:val="2"/>
            <w:vMerge w:val="restart"/>
          </w:tcPr>
          <w:p>
            <w:pPr>
              <w:ind w:left="640"/>
              <w:spacing w:after="0"/>
              <w:rPr>
                <w:sz w:val="20"/>
                <w:szCs w:val="20"/>
                <w:color w:val="auto"/>
              </w:rPr>
            </w:pPr>
            <w:r>
              <w:rPr>
                <w:rFonts w:ascii="Arial" w:cs="Arial" w:eastAsia="Arial" w:hAnsi="Arial"/>
                <w:sz w:val="18"/>
                <w:szCs w:val="18"/>
                <w:color w:val="auto"/>
              </w:rPr>
              <w:t>Maturity</w:t>
            </w:r>
          </w:p>
        </w:tc>
        <w:tc>
          <w:tcPr>
            <w:tcW w:w="13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(In thousands)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60" w:type="dxa"/>
            <w:vAlign w:val="bottom"/>
            <w:tcBorders>
              <w:top w:val="single" w:sz="8" w:color="auto"/>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2160" w:type="dxa"/>
            <w:vAlign w:val="bottom"/>
            <w:tcBorders>
              <w:top w:val="single" w:sz="8" w:color="auto"/>
            </w:tcBorders>
            <w:shd w:val="clear" w:color="auto" w:fill="EEEEEE"/>
          </w:tcPr>
          <w:p>
            <w:pPr>
              <w:jc w:val="center"/>
              <w:spacing w:after="0" w:line="195" w:lineRule="exact"/>
              <w:rPr>
                <w:sz w:val="20"/>
                <w:szCs w:val="20"/>
                <w:color w:val="auto"/>
              </w:rPr>
            </w:pPr>
            <w:r>
              <w:rPr>
                <w:rFonts w:ascii="Arial" w:cs="Arial" w:eastAsia="Arial" w:hAnsi="Arial"/>
                <w:sz w:val="18"/>
                <w:szCs w:val="18"/>
                <w:color w:val="auto"/>
                <w:w w:val="91"/>
              </w:rPr>
              <w:t>5.50% over one month Libor</w:t>
            </w:r>
          </w:p>
        </w:tc>
        <w:tc>
          <w:tcPr>
            <w:tcW w:w="220" w:type="dxa"/>
            <w:vAlign w:val="bottom"/>
            <w:tcBorders>
              <w:top w:val="single" w:sz="8" w:color="EEEEEE"/>
            </w:tcBorders>
            <w:shd w:val="clear" w:color="auto" w:fill="EEEEEE"/>
          </w:tcPr>
          <w:p>
            <w:pPr>
              <w:spacing w:after="0"/>
              <w:rPr>
                <w:sz w:val="16"/>
                <w:szCs w:val="16"/>
                <w:color w:val="auto"/>
              </w:rPr>
            </w:pPr>
          </w:p>
        </w:tc>
        <w:tc>
          <w:tcPr>
            <w:tcW w:w="192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380" w:type="dxa"/>
            <w:vAlign w:val="bottom"/>
            <w:tcBorders>
              <w:top w:val="single" w:sz="8" w:color="EEEEEE"/>
            </w:tcBorders>
            <w:shd w:val="clear" w:color="auto" w:fill="EEEEEE"/>
          </w:tcPr>
          <w:p>
            <w:pPr>
              <w:spacing w:after="0"/>
              <w:rPr>
                <w:sz w:val="16"/>
                <w:szCs w:val="16"/>
                <w:color w:val="auto"/>
              </w:rPr>
            </w:pPr>
          </w:p>
        </w:tc>
        <w:tc>
          <w:tcPr>
            <w:tcW w:w="520" w:type="dxa"/>
            <w:vAlign w:val="bottom"/>
            <w:tcBorders>
              <w:top w:val="single" w:sz="8" w:color="EEEEEE"/>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400" w:type="dxa"/>
            <w:vAlign w:val="bottom"/>
            <w:tcBorders>
              <w:top w:val="single" w:sz="8" w:color="EEEEEE"/>
            </w:tcBorders>
            <w:shd w:val="clear" w:color="auto" w:fill="EEEEEE"/>
          </w:tcPr>
          <w:p>
            <w:pPr>
              <w:spacing w:after="0"/>
              <w:rPr>
                <w:sz w:val="16"/>
                <w:szCs w:val="16"/>
                <w:color w:val="auto"/>
              </w:rPr>
            </w:pPr>
          </w:p>
        </w:tc>
        <w:tc>
          <w:tcPr>
            <w:tcW w:w="1500" w:type="dxa"/>
            <w:vAlign w:val="bottom"/>
            <w:tcBorders>
              <w:top w:val="single" w:sz="8" w:color="EEEEEE"/>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3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6.50%)</w:t>
            </w: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8"/>
              </w:rPr>
              <w:t>February 2021</w:t>
            </w:r>
          </w:p>
        </w:tc>
        <w:tc>
          <w:tcPr>
            <w:tcW w:w="1380" w:type="dxa"/>
            <w:vAlign w:val="bottom"/>
            <w:shd w:val="clear" w:color="auto" w:fill="EEEEEE"/>
          </w:tcPr>
          <w:p>
            <w:pPr>
              <w:jc w:val="right"/>
              <w:ind w:right="1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0"/>
              </w:rPr>
              <w:t>11,539</w:t>
            </w:r>
          </w:p>
        </w:tc>
        <w:tc>
          <w:tcPr>
            <w:tcW w:w="420" w:type="dxa"/>
            <w:vAlign w:val="bottom"/>
            <w:gridSpan w:val="2"/>
            <w:shd w:val="clear" w:color="auto" w:fill="EEEEEE"/>
          </w:tcPr>
          <w:p>
            <w:pPr>
              <w:jc w:val="right"/>
              <w:ind w:right="247"/>
              <w:spacing w:after="0"/>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40,558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38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3.00% over one month Libor</w:t>
            </w:r>
          </w:p>
        </w:tc>
        <w:tc>
          <w:tcPr>
            <w:tcW w:w="1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3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3.75%)</w:t>
            </w: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November 2020</w:t>
            </w:r>
          </w:p>
        </w:tc>
        <w:tc>
          <w:tcPr>
            <w:tcW w:w="138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0"/>
              </w:rPr>
              <w:t>20,559</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6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96,225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38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4.00% over a commercial</w:t>
            </w:r>
          </w:p>
        </w:tc>
        <w:tc>
          <w:tcPr>
            <w:tcW w:w="1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3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paper rate (Minimum 5.00%)</w:t>
            </w: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December 2021</w:t>
            </w:r>
          </w:p>
        </w:tc>
        <w:tc>
          <w:tcPr>
            <w:tcW w:w="138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6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8.60%</w:t>
            </w:r>
          </w:p>
        </w:tc>
        <w:tc>
          <w:tcPr>
            <w:tcW w:w="220" w:type="dxa"/>
            <w:vAlign w:val="bottom"/>
            <w:shd w:val="clear" w:color="auto" w:fill="EEEEEE"/>
          </w:tcPr>
          <w:p>
            <w:pPr>
              <w:spacing w:after="0"/>
              <w:rPr>
                <w:sz w:val="18"/>
                <w:szCs w:val="18"/>
                <w:color w:val="auto"/>
              </w:rPr>
            </w:pP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7"/>
              </w:rPr>
              <w:t>January 2026</w:t>
            </w:r>
          </w:p>
        </w:tc>
        <w:tc>
          <w:tcPr>
            <w:tcW w:w="1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0"/>
              </w:rPr>
              <w:t>32,243</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w:t>
            </w:r>
          </w:p>
        </w:tc>
        <w:tc>
          <w:tcPr>
            <w:tcW w:w="238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9"/>
              </w:rPr>
              <w:t>Weighted average rate of</w:t>
            </w:r>
          </w:p>
        </w:tc>
        <w:tc>
          <w:tcPr>
            <w:tcW w:w="224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87"/>
              </w:rPr>
              <w:t>Weighted average</w:t>
            </w:r>
          </w:p>
        </w:tc>
        <w:tc>
          <w:tcPr>
            <w:tcW w:w="1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notes</w:t>
            </w:r>
          </w:p>
        </w:tc>
        <w:tc>
          <w:tcPr>
            <w:tcW w:w="23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10.24% and 9.75% at</w:t>
            </w: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2"/>
              </w:rPr>
              <w:t>maturity of December</w:t>
            </w:r>
          </w:p>
        </w:tc>
        <w:tc>
          <w:tcPr>
            <w:tcW w:w="1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September 30, 2020 and</w:t>
            </w: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2"/>
              </w:rPr>
              <w:t>2022 and April 2022 at</w:t>
            </w:r>
          </w:p>
        </w:tc>
        <w:tc>
          <w:tcPr>
            <w:tcW w:w="1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December 31, 2019 ,</w:t>
            </w: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8"/>
              </w:rPr>
              <w:t>September 30, 2020 and</w:t>
            </w:r>
          </w:p>
        </w:tc>
        <w:tc>
          <w:tcPr>
            <w:tcW w:w="1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respectively</w:t>
            </w:r>
          </w:p>
        </w:tc>
        <w:tc>
          <w:tcPr>
            <w:tcW w:w="22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December 31, 2019,</w:t>
            </w:r>
          </w:p>
        </w:tc>
        <w:tc>
          <w:tcPr>
            <w:tcW w:w="1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1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21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22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2"/>
              </w:rPr>
              <w:t>respectively</w:t>
            </w:r>
          </w:p>
        </w:tc>
        <w:tc>
          <w:tcPr>
            <w:tcW w:w="138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0"/>
              </w:rPr>
              <w:t>20,242</w:t>
            </w:r>
          </w:p>
        </w:tc>
        <w:tc>
          <w:tcPr>
            <w:tcW w:w="20" w:type="dxa"/>
            <w:vAlign w:val="bottom"/>
            <w:shd w:val="clear" w:color="auto" w:fill="EEEEEE"/>
          </w:tcPr>
          <w:p>
            <w:pPr>
              <w:spacing w:after="0"/>
              <w:rPr>
                <w:sz w:val="21"/>
                <w:szCs w:val="21"/>
                <w:color w:val="auto"/>
              </w:rPr>
            </w:pPr>
          </w:p>
        </w:tc>
        <w:tc>
          <w:tcPr>
            <w:tcW w:w="400" w:type="dxa"/>
            <w:vAlign w:val="bottom"/>
            <w:shd w:val="clear" w:color="auto" w:fill="EEEEEE"/>
          </w:tcPr>
          <w:p>
            <w:pPr>
              <w:spacing w:after="0"/>
              <w:rPr>
                <w:sz w:val="21"/>
                <w:szCs w:val="21"/>
                <w:color w:val="auto"/>
              </w:rPr>
            </w:pPr>
          </w:p>
        </w:tc>
        <w:tc>
          <w:tcPr>
            <w:tcW w:w="16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84,583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Unamortized debt issuance costs of $243,000 and $522,000 as of September 30, 2020 and December 31, 2019, respectively, have been excluded from the amount reported above for residual interest financing. Similarly, unamortized debt issuance costs of $897,000 and $2.0 million as of September 30, 2020 and December 31, 2019,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580" w:type="dxa"/>
            <w:vAlign w:val="bottom"/>
            <w:gridSpan w:val="5"/>
          </w:tcPr>
          <w:p>
            <w:pPr>
              <w:jc w:val="center"/>
              <w:ind w:left="418"/>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43"/>
        </w:trPr>
        <w:tc>
          <w:tcPr>
            <w:tcW w:w="47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60" w:type="dxa"/>
            <w:vAlign w:val="bottom"/>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7"/>
              </w:rPr>
              <w:t>29,753</w:t>
            </w:r>
          </w:p>
        </w:tc>
        <w:tc>
          <w:tcPr>
            <w:tcW w:w="102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49,912</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101,333</w:t>
            </w:r>
          </w:p>
        </w:tc>
        <w:tc>
          <w:tcPr>
            <w:tcW w:w="58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167,862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42,808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32,903</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125,273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83,696</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8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4"/>
              </w:rPr>
              <w:t>(3,152)</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(23,051)</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interest income</w:t>
            </w:r>
          </w:p>
        </w:tc>
        <w:tc>
          <w:tcPr>
            <w:tcW w:w="8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2,264</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top w:val="single" w:sz="8" w:color="auto"/>
              <w:bottom w:val="single" w:sz="8" w:color="auto"/>
            </w:tcBorders>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69,430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83,528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204,220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253,822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5"/>
          </w:tcPr>
          <w:p>
            <w:pPr>
              <w:jc w:val="center"/>
              <w:ind w:left="418"/>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860" w:type="dxa"/>
            <w:vAlign w:val="bottom"/>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21,605</w:t>
            </w:r>
          </w:p>
        </w:tc>
        <w:tc>
          <w:tcPr>
            <w:tcW w:w="104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24,208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67,770</w:t>
            </w:r>
          </w:p>
        </w:tc>
        <w:tc>
          <w:tcPr>
            <w:tcW w:w="60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72,662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1,856</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2,407</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6,294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956</w:t>
            </w:r>
          </w:p>
        </w:tc>
        <w:tc>
          <w:tcPr>
            <w:tcW w:w="2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2,734</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2,867</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top w:val="single" w:sz="8" w:color="auto"/>
              <w:bottom w:val="single" w:sz="8" w:color="auto"/>
            </w:tcBorders>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24,901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27,940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78,377</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82,933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Earnings per share for the three-month and nine-month periods ended September 30, 2020 and 2019 were calculated using the weighted average number of shares outstanding for the related period. The following table reconciles the number of shares used in the computations of basic and diluted earnings per share for the three-month and nine-month periods ended September 30, 2020 and 2019:</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Weighted average number of common shares outstanding</w:t>
            </w: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during the period used to compute basic earnings per share</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22,666</w:t>
            </w:r>
          </w:p>
        </w:tc>
        <w:tc>
          <w:tcPr>
            <w:tcW w:w="88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22,526</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22,630</w:t>
            </w:r>
          </w:p>
        </w:tc>
        <w:tc>
          <w:tcPr>
            <w:tcW w:w="4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22,378</w:t>
            </w: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rPr>
              <w:t>Incremental common shares attributable to exercise of</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outstanding options and warrants</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340" w:type="dxa"/>
            <w:vAlign w:val="bottom"/>
            <w:tcBorders>
              <w:bottom w:val="single" w:sz="8" w:color="EEEEEE"/>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Borders>
              <w:bottom w:val="single" w:sz="8" w:color="EEEEEE"/>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320" w:type="dxa"/>
            <w:vAlign w:val="bottom"/>
            <w:tcBorders>
              <w:bottom w:val="single" w:sz="8" w:color="EEEEEE"/>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740" w:type="dxa"/>
            <w:vAlign w:val="bottom"/>
            <w:shd w:val="clear" w:color="auto" w:fill="EEEEEE"/>
          </w:tcPr>
          <w:p>
            <w:pPr>
              <w:spacing w:after="0" w:line="182" w:lineRule="exact"/>
              <w:rPr>
                <w:sz w:val="20"/>
                <w:szCs w:val="20"/>
                <w:color w:val="auto"/>
              </w:rPr>
            </w:pPr>
            <w:r>
              <w:rPr>
                <w:rFonts w:ascii="Arial" w:cs="Arial" w:eastAsia="Arial" w:hAnsi="Arial"/>
                <w:sz w:val="18"/>
                <w:szCs w:val="18"/>
                <w:color w:val="auto"/>
                <w:w w:val="93"/>
              </w:rPr>
              <w:t>Weighted average number of common shares used to compute</w:t>
            </w:r>
          </w:p>
        </w:tc>
        <w:tc>
          <w:tcPr>
            <w:tcW w:w="860" w:type="dxa"/>
            <w:vAlign w:val="bottom"/>
            <w:shd w:val="clear" w:color="auto" w:fill="EEEEEE"/>
          </w:tcPr>
          <w:p>
            <w:pPr>
              <w:spacing w:after="0"/>
              <w:rPr>
                <w:sz w:val="15"/>
                <w:szCs w:val="15"/>
                <w:color w:val="auto"/>
              </w:rPr>
            </w:pPr>
          </w:p>
        </w:tc>
        <w:tc>
          <w:tcPr>
            <w:tcW w:w="840" w:type="dxa"/>
            <w:vAlign w:val="bottom"/>
            <w:gridSpan w:val="2"/>
            <w:vMerge w:val="restart"/>
            <w:shd w:val="clear" w:color="auto" w:fill="EEEEEE"/>
          </w:tcPr>
          <w:p>
            <w:pPr>
              <w:jc w:val="right"/>
              <w:ind w:right="340"/>
              <w:spacing w:after="0"/>
              <w:rPr>
                <w:sz w:val="20"/>
                <w:szCs w:val="20"/>
                <w:color w:val="auto"/>
              </w:rPr>
            </w:pPr>
            <w:r>
              <w:rPr>
                <w:rFonts w:ascii="Arial" w:cs="Arial" w:eastAsia="Arial" w:hAnsi="Arial"/>
                <w:sz w:val="18"/>
                <w:szCs w:val="18"/>
                <w:color w:val="auto"/>
                <w:w w:val="87"/>
              </w:rPr>
              <w:t>23,908</w:t>
            </w:r>
          </w:p>
        </w:tc>
        <w:tc>
          <w:tcPr>
            <w:tcW w:w="880" w:type="dxa"/>
            <w:vAlign w:val="bottom"/>
            <w:shd w:val="clear" w:color="auto" w:fill="EEEEEE"/>
          </w:tcPr>
          <w:p>
            <w:pPr>
              <w:spacing w:after="0"/>
              <w:rPr>
                <w:sz w:val="15"/>
                <w:szCs w:val="15"/>
                <w:color w:val="auto"/>
              </w:rPr>
            </w:pPr>
          </w:p>
        </w:tc>
        <w:tc>
          <w:tcPr>
            <w:tcW w:w="82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w w:val="87"/>
              </w:rPr>
              <w:t>24,066</w:t>
            </w:r>
          </w:p>
        </w:tc>
        <w:tc>
          <w:tcPr>
            <w:tcW w:w="166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23,825</w:t>
            </w:r>
          </w:p>
        </w:tc>
        <w:tc>
          <w:tcPr>
            <w:tcW w:w="440" w:type="dxa"/>
            <w:vAlign w:val="bottom"/>
            <w:shd w:val="clear" w:color="auto" w:fill="EEEEEE"/>
          </w:tcPr>
          <w:p>
            <w:pPr>
              <w:spacing w:after="0"/>
              <w:rPr>
                <w:sz w:val="15"/>
                <w:szCs w:val="15"/>
                <w:color w:val="auto"/>
              </w:rPr>
            </w:pPr>
          </w:p>
        </w:tc>
        <w:tc>
          <w:tcPr>
            <w:tcW w:w="10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24,102</w:t>
            </w:r>
          </w:p>
        </w:tc>
        <w:tc>
          <w:tcPr>
            <w:tcW w:w="0" w:type="dxa"/>
            <w:vAlign w:val="bottom"/>
          </w:tcPr>
          <w:p>
            <w:pPr>
              <w:spacing w:after="0"/>
              <w:rPr>
                <w:sz w:val="1"/>
                <w:szCs w:val="1"/>
                <w:color w:val="auto"/>
              </w:rPr>
            </w:pPr>
          </w:p>
        </w:tc>
      </w:tr>
      <w:tr>
        <w:trPr>
          <w:trHeight w:val="217"/>
        </w:trPr>
        <w:tc>
          <w:tcPr>
            <w:tcW w:w="56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diluted earnings per share</w:t>
            </w:r>
          </w:p>
        </w:tc>
        <w:tc>
          <w:tcPr>
            <w:tcW w:w="840" w:type="dxa"/>
            <w:vAlign w:val="bottom"/>
            <w:gridSpan w:val="2"/>
            <w:vMerge w:val="continue"/>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vMerge w:val="continue"/>
            <w:shd w:val="clear" w:color="auto" w:fill="EEEEEE"/>
          </w:tcPr>
          <w:p>
            <w:pPr>
              <w:spacing w:after="0"/>
              <w:rPr>
                <w:sz w:val="18"/>
                <w:szCs w:val="18"/>
                <w:color w:val="auto"/>
              </w:rPr>
            </w:pPr>
          </w:p>
        </w:tc>
        <w:tc>
          <w:tcPr>
            <w:tcW w:w="1660" w:type="dxa"/>
            <w:vAlign w:val="bottom"/>
            <w:gridSpan w:val="2"/>
            <w:vMerge w:val="continue"/>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vMerge w:val="continue"/>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anti-dilutive effects of common stock equivalents were considered, shares included in the diluted earnings per share calculation for the three-month and nine-month periods ended September 30, 2020 would have included an additional 14.2 million and 13.5 million shares, respectively, attributable to the exercise of outstanding options and warrants. For the three-month and nine-month periods ended September 30, 2019, an additional 10.6 million and 10.6 million shares, respectively, would be included in the diluted earnings per share calculation.</w:t>
      </w:r>
    </w:p>
    <w:p>
      <w:pPr>
        <w:spacing w:after="0" w:line="17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the Company has revalued the benefit from its NOLs to reflect a 35% tax rate. The result of the revaluation of NOLs and other tax adjustments is a net tax benefit of $8.8 million, which is reflected in income taxes for the nine-month period ending September 30, 2020.</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September 30, 2020, and December 31, 2019,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$31.0 million as of September 30, 2020 is more likely than not based on forecasted future net earnings. Our net deferred tax asset of $31.0 million consists of approximately $20.3 million of net U.S. federal deferred tax assets and $10.7 million of net state deferred tax assets.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Income tax expense was $2.1 million for the three months ended September 30, 2020. Income tax benefit was $3.9 million (3,888) for the nine months ended September 30, 2020, which includes net tax benefits of $8.8 million. Excluding the tax benefit, income tax expense would have been $8.7 million for the nine months ended September 30, 2020, representing an effective income tax rate of 36%. For the prior year period, income tax expense was $991,000 and $2.9 million for the three months and nine months ended September 30, 2019 and represents an effective income tax rate of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Consumer Litigation</w:t>
      </w:r>
      <w:r>
        <w:rPr>
          <w:rFonts w:ascii="Arial" w:cs="Arial" w:eastAsia="Arial" w:hAnsi="Arial"/>
          <w:sz w:val="18"/>
          <w:szCs w:val="18"/>
          <w:color w:val="auto"/>
        </w:rPr>
        <w:t>. 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September 30, 2020,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September 30, 2020 is immaterial, and that the range of reasonably possible losses for the legal proceedings and contingencies we face, including those described or identified above, as of September 30, 2020 does not exceed $3 million.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Arial" w:cs="Arial" w:eastAsia="Arial" w:hAnsi="Arial"/>
          <w:sz w:val="18"/>
          <w:szCs w:val="18"/>
          <w:color w:val="323232"/>
        </w:rPr>
        <w:t>Significant changes in any of those inputs in isolation would have a significant effect on our fair</w:t>
      </w:r>
      <w:r>
        <w:rPr>
          <w:rFonts w:ascii="Arial" w:cs="Arial" w:eastAsia="Arial" w:hAnsi="Arial"/>
          <w:sz w:val="18"/>
          <w:szCs w:val="18"/>
          <w:color w:val="auto"/>
        </w:rPr>
        <w:t xml:space="preserve"> </w:t>
      </w:r>
      <w:r>
        <w:rPr>
          <w:rFonts w:ascii="Arial" w:cs="Arial" w:eastAsia="Arial" w:hAnsi="Arial"/>
          <w:sz w:val="18"/>
          <w:szCs w:val="18"/>
          <w:color w:val="323232"/>
        </w:rPr>
        <w:t>value measurement.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ended September 30, 2020, the Company considered the effect of the pandemic on the portfolio of finance receivables carried at fair value and recorded a mark down to that portfolio of $23.1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8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1,537,649</w:t>
            </w:r>
          </w:p>
        </w:tc>
        <w:tc>
          <w:tcPr>
            <w:tcW w:w="58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1,158,365</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1,444,038</w:t>
            </w:r>
          </w:p>
        </w:tc>
        <w:tc>
          <w:tcPr>
            <w:tcW w:w="440" w:type="dxa"/>
            <w:vAlign w:val="bottom"/>
            <w:gridSpan w:val="2"/>
            <w:shd w:val="clear" w:color="auto" w:fill="EEEEEE"/>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821,066</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173,209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261,929</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572,938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756,555</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(132,847)</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(83,384)</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(354,910)</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(200,889)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(33,904)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(24,309)</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(98,060)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(64,131)</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(3,152)</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(23,051)</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604</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1,540,955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1,313,205</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1,540,955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4"/>
          </w:tcPr>
          <w:p>
            <w:pPr>
              <w:ind w:left="64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2019</w:t>
            </w:r>
          </w:p>
        </w:tc>
      </w:tr>
      <w:tr>
        <w:trPr>
          <w:trHeight w:val="205"/>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44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1,658,662</w:t>
            </w: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1,540,955</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1,492,803</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1,444,038</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40" w:type="dxa"/>
            <w:vAlign w:val="bottom"/>
          </w:tcPr>
          <w:p>
            <w:pPr>
              <w:spacing w:after="0"/>
              <w:rPr>
                <w:sz w:val="20"/>
                <w:szCs w:val="20"/>
                <w:color w:val="auto"/>
              </w:rPr>
            </w:pPr>
          </w:p>
        </w:tc>
        <w:tc>
          <w:tcPr>
            <w:tcW w:w="3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Fair Values as of</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3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auto"/>
            </w:tcBorders>
            <w:gridSpan w:val="2"/>
          </w:tcPr>
          <w:p>
            <w:pPr>
              <w:ind w:left="180"/>
              <w:spacing w:after="0" w:line="205" w:lineRule="exact"/>
              <w:rPr>
                <w:sz w:val="20"/>
                <w:szCs w:val="20"/>
                <w:color w:val="auto"/>
              </w:rPr>
            </w:pPr>
            <w:r>
              <w:rPr>
                <w:rFonts w:ascii="Arial" w:cs="Arial" w:eastAsia="Arial" w:hAnsi="Arial"/>
                <w:sz w:val="18"/>
                <w:szCs w:val="18"/>
                <w:b w:val="1"/>
                <w:bCs w:val="1"/>
                <w:color w:val="auto"/>
              </w:rPr>
              <w:t>September 30,</w:t>
            </w:r>
          </w:p>
        </w:tc>
        <w:tc>
          <w:tcPr>
            <w:tcW w:w="1440" w:type="dxa"/>
            <w:vAlign w:val="bottom"/>
            <w:tcBorders>
              <w:top w:val="single" w:sz="8" w:color="auto"/>
            </w:tcBorders>
          </w:tcPr>
          <w:p>
            <w:pPr>
              <w:jc w:val="right"/>
              <w:ind w:right="110"/>
              <w:spacing w:after="0" w:line="205"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Unobservable Inputs</w:t>
            </w: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8"/>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1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value</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1,540,955</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1,444,038</w:t>
            </w:r>
          </w:p>
        </w:tc>
        <w:tc>
          <w:tcPr>
            <w:tcW w:w="120" w:type="dxa"/>
            <w:vAlign w:val="bottom"/>
            <w:shd w:val="clear" w:color="auto" w:fill="EEEEEE"/>
          </w:tcPr>
          <w:p>
            <w:pPr>
              <w:spacing w:after="0"/>
              <w:rPr>
                <w:sz w:val="20"/>
                <w:szCs w:val="20"/>
                <w:color w:val="auto"/>
              </w:rPr>
            </w:pPr>
          </w:p>
        </w:tc>
        <w:tc>
          <w:tcPr>
            <w:tcW w:w="18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Discount rate</w:t>
            </w:r>
          </w:p>
        </w:tc>
        <w:tc>
          <w:tcPr>
            <w:tcW w:w="1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10.5% - 11.1%</w:t>
            </w:r>
          </w:p>
        </w:tc>
        <w:tc>
          <w:tcPr>
            <w:tcW w:w="120" w:type="dxa"/>
            <w:vAlign w:val="bottom"/>
            <w:shd w:val="clear" w:color="auto" w:fill="EEEEEE"/>
          </w:tcPr>
          <w:p>
            <w:pPr>
              <w:spacing w:after="0"/>
              <w:rPr>
                <w:sz w:val="20"/>
                <w:szCs w:val="20"/>
                <w:color w:val="auto"/>
              </w:rPr>
            </w:pPr>
          </w:p>
        </w:tc>
        <w:tc>
          <w:tcPr>
            <w:tcW w:w="1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8.9% - 11.1%</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Cumulative net losses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16.4% - 18.4%</w:t>
            </w:r>
          </w:p>
        </w:tc>
        <w:tc>
          <w:tcPr>
            <w:tcW w:w="1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15.0% - 16.1%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delinquency status of these finance receivables measured at fair value as of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2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r>
      <w:tr>
        <w:trPr>
          <w:trHeight w:val="210"/>
        </w:trPr>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1,530,301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1,344,883</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76,208</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81,262</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060" w:type="dxa"/>
            <w:vAlign w:val="bottom"/>
          </w:tcPr>
          <w:p>
            <w:pPr>
              <w:ind w:left="20"/>
              <w:spacing w:after="0"/>
              <w:rPr>
                <w:sz w:val="20"/>
                <w:szCs w:val="20"/>
                <w:color w:val="auto"/>
              </w:rPr>
            </w:pPr>
            <w:r>
              <w:rPr>
                <w:rFonts w:ascii="Arial" w:cs="Arial" w:eastAsia="Arial" w:hAnsi="Arial"/>
                <w:sz w:val="18"/>
                <w:szCs w:val="18"/>
                <w:color w:val="auto"/>
              </w:rPr>
              <w:t>- 90 days</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27,616</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34,280</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9,159</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15,167</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Repo</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15,378</w:t>
            </w:r>
          </w:p>
        </w:tc>
        <w:tc>
          <w:tcPr>
            <w:tcW w:w="1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17,211</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0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1,658,662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1,492,803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2020 the finance receivables related to the repossessed vehicles in inventory totaled $17.0 million. We have applied a valuation adjustment, or loss allowance, of $12.9 million, which is based on a recovery rate of approximately 24.2%, resulting in an estimated fair value and carrying amount of $4.1 million. The fair value and carrying amount of the repossessed inventory at December 31, 2019 was $7.5 million after applying a valuation adjustment of $21.4 million.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transfers in or out of level 1, level 2 or level 3 assets and liabilities for the three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center"/>
        <w:ind w:left="340" w:right="2100"/>
        <w:spacing w:after="0" w:line="275" w:lineRule="auto"/>
        <w:rPr>
          <w:sz w:val="20"/>
          <w:szCs w:val="20"/>
          <w:color w:val="auto"/>
        </w:rPr>
      </w:pPr>
      <w:r>
        <w:rPr>
          <w:rFonts w:ascii="Arial" w:cs="Arial" w:eastAsia="Arial" w:hAnsi="Arial"/>
          <w:sz w:val="18"/>
          <w:szCs w:val="18"/>
          <w:b w:val="1"/>
          <w:bCs w:val="1"/>
          <w:color w:val="auto"/>
        </w:rPr>
        <w:t>CONSUMER PORTFOLIO SERVICES, INC. NOTES TO UNAUDITED CONDENSED CONSOLIDATED FINANCIAL STATEMENTS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September 30, 2020 and December 31, 2019,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center"/>
              <w:ind w:left="930"/>
              <w:spacing w:after="0"/>
              <w:rPr>
                <w:sz w:val="20"/>
                <w:szCs w:val="20"/>
                <w:color w:val="auto"/>
              </w:rPr>
            </w:pPr>
            <w:r>
              <w:rPr>
                <w:rFonts w:ascii="Arial" w:cs="Arial" w:eastAsia="Arial" w:hAnsi="Arial"/>
                <w:sz w:val="18"/>
                <w:szCs w:val="18"/>
                <w:b w:val="1"/>
                <w:bCs w:val="1"/>
                <w:color w:val="auto"/>
                <w:w w:val="88"/>
              </w:rPr>
              <w:t>As of September 30, 2020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0"/>
              </w:rPr>
              <w:t>Fair Value Measurements Using:</w:t>
            </w:r>
          </w:p>
        </w:tc>
        <w:tc>
          <w:tcPr>
            <w:tcW w:w="10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6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11,253</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11,253</w:t>
            </w:r>
          </w:p>
        </w:tc>
        <w:tc>
          <w:tcPr>
            <w:tcW w:w="15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200,912</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200,912</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200,912</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483,063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450,325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450,325</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6,291</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6,291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31,201</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31,201</w:t>
            </w:r>
          </w:p>
        </w:tc>
        <w:tc>
          <w:tcPr>
            <w:tcW w:w="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31,201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4,937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32,000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32,000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2,048,089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2,137,877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2,137,877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20,242</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20,242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20,242</w:t>
            </w:r>
          </w:p>
        </w:tc>
        <w:tc>
          <w:tcPr>
            <w:tcW w:w="0" w:type="dxa"/>
            <w:vAlign w:val="bottom"/>
          </w:tcPr>
          <w:p>
            <w:pPr>
              <w:spacing w:after="0"/>
              <w:rPr>
                <w:sz w:val="1"/>
                <w:szCs w:val="1"/>
                <w:color w:val="auto"/>
              </w:rPr>
            </w:pPr>
          </w:p>
        </w:tc>
      </w:tr>
      <w:tr>
        <w:trPr>
          <w:trHeight w:val="662"/>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2019</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0"/>
              </w:rPr>
              <w:t>Fair Value Measurements Using:</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6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5,295</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5,295</w:t>
            </w:r>
          </w:p>
        </w:tc>
        <w:tc>
          <w:tcPr>
            <w:tcW w:w="15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135,537</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135,537</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135,537</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885,890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841,160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841,160</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11,645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11,645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134,791</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134,791</w:t>
            </w:r>
          </w:p>
        </w:tc>
        <w:tc>
          <w:tcPr>
            <w:tcW w:w="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134,791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5,254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39,478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39,478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39,478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2,097,728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2,116,520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2,116,520</w:t>
            </w:r>
          </w:p>
        </w:tc>
        <w:tc>
          <w:tcPr>
            <w:tcW w:w="0" w:type="dxa"/>
            <w:vAlign w:val="bottom"/>
          </w:tcPr>
          <w:p>
            <w:pPr>
              <w:spacing w:after="0"/>
              <w:rPr>
                <w:sz w:val="1"/>
                <w:szCs w:val="1"/>
                <w:color w:val="auto"/>
              </w:rPr>
            </w:pPr>
          </w:p>
        </w:tc>
      </w:tr>
      <w:tr>
        <w:trPr>
          <w:trHeight w:val="432"/>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shd w:val="clear" w:color="auto" w:fill="EEEEEE"/>
          </w:tcPr>
          <w:p>
            <w:pPr>
              <w:spacing w:after="0"/>
              <w:rPr>
                <w:sz w:val="24"/>
                <w:szCs w:val="24"/>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17,534</w:t>
            </w:r>
          </w:p>
        </w:tc>
        <w:tc>
          <w:tcPr>
            <w:tcW w:w="180" w:type="dxa"/>
            <w:vAlign w:val="bottom"/>
            <w:shd w:val="clear" w:color="auto" w:fill="EEEEEE"/>
          </w:tcPr>
          <w:p>
            <w:pPr>
              <w:spacing w:after="0"/>
              <w:rPr>
                <w:sz w:val="24"/>
                <w:szCs w:val="24"/>
                <w:color w:val="auto"/>
              </w:rPr>
            </w:pPr>
          </w:p>
        </w:tc>
        <w:tc>
          <w:tcPr>
            <w:tcW w:w="240" w:type="dxa"/>
            <w:vAlign w:val="bottom"/>
            <w:shd w:val="clear" w:color="auto" w:fill="EEEEEE"/>
          </w:tcPr>
          <w:p>
            <w:pPr>
              <w:spacing w:after="0"/>
              <w:rPr>
                <w:sz w:val="24"/>
                <w:szCs w:val="24"/>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4"/>
                <w:szCs w:val="24"/>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17,534</w:t>
            </w: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540"/>
        </w:trPr>
        <w:tc>
          <w:tcPr>
            <w:tcW w:w="16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September 30, 2020, we have originated a total of approximately $16.8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4"/>
          </w:tcPr>
          <w:p>
            <w:pPr>
              <w:ind w:left="9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0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Contracts</w:t>
            </w: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w:t>
            </w:r>
          </w:p>
        </w:tc>
        <w:tc>
          <w:tcPr>
            <w:tcW w:w="8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Purchased in</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Portfolio at</w:t>
            </w:r>
          </w:p>
        </w:tc>
      </w:tr>
      <w:tr>
        <w:trPr>
          <w:trHeight w:val="234"/>
        </w:trPr>
        <w:tc>
          <w:tcPr>
            <w:tcW w:w="1000" w:type="dxa"/>
            <w:vAlign w:val="bottom"/>
          </w:tcPr>
          <w:p>
            <w:pPr>
              <w:spacing w:after="0"/>
              <w:rPr>
                <w:sz w:val="20"/>
                <w:szCs w:val="20"/>
                <w:color w:val="auto"/>
              </w:rPr>
            </w:pPr>
          </w:p>
        </w:tc>
        <w:tc>
          <w:tcPr>
            <w:tcW w:w="4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1000" w:type="dxa"/>
            <w:vAlign w:val="bottom"/>
            <w:tcBorders>
              <w:top w:val="single" w:sz="8" w:color="EEEEEE"/>
            </w:tcBorders>
            <w:shd w:val="clear" w:color="auto" w:fill="EEEEEE"/>
          </w:tcPr>
          <w:p>
            <w:pPr>
              <w:spacing w:after="0"/>
              <w:rPr>
                <w:sz w:val="18"/>
                <w:szCs w:val="18"/>
                <w:color w:val="auto"/>
              </w:rPr>
            </w:pPr>
          </w:p>
        </w:tc>
        <w:tc>
          <w:tcPr>
            <w:tcW w:w="4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0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240" w:type="dxa"/>
            <w:vAlign w:val="bottom"/>
            <w:tcBorders>
              <w:top w:val="single" w:sz="8" w:color="EEEEEE"/>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700" w:type="dxa"/>
            <w:vAlign w:val="bottom"/>
            <w:gridSpan w:val="2"/>
          </w:tcPr>
          <w:p>
            <w:pPr>
              <w:jc w:val="center"/>
              <w:ind w:left="890"/>
              <w:spacing w:after="0"/>
              <w:rPr>
                <w:sz w:val="20"/>
                <w:szCs w:val="20"/>
                <w:color w:val="auto"/>
              </w:rPr>
            </w:pPr>
            <w:r>
              <w:rPr>
                <w:rFonts w:ascii="Arial" w:cs="Arial" w:eastAsia="Arial" w:hAnsi="Arial"/>
                <w:sz w:val="18"/>
                <w:szCs w:val="18"/>
                <w:color w:val="333333"/>
                <w:w w:val="89"/>
              </w:rPr>
              <w:t>2016</w:t>
            </w: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1,088,785</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2,308,070</w:t>
            </w:r>
          </w:p>
        </w:tc>
      </w:tr>
      <w:tr>
        <w:trPr>
          <w:trHeight w:val="216"/>
        </w:trPr>
        <w:tc>
          <w:tcPr>
            <w:tcW w:w="5700" w:type="dxa"/>
            <w:vAlign w:val="bottom"/>
            <w:gridSpan w:val="2"/>
            <w:shd w:val="clear" w:color="auto" w:fill="EEEEEE"/>
          </w:tcPr>
          <w:p>
            <w:pPr>
              <w:jc w:val="center"/>
              <w:ind w:left="890"/>
              <w:spacing w:after="0"/>
              <w:rPr>
                <w:sz w:val="20"/>
                <w:szCs w:val="20"/>
                <w:color w:val="auto"/>
              </w:rPr>
            </w:pPr>
            <w:r>
              <w:rPr>
                <w:rFonts w:ascii="Arial" w:cs="Arial" w:eastAsia="Arial" w:hAnsi="Arial"/>
                <w:sz w:val="18"/>
                <w:szCs w:val="18"/>
                <w:color w:val="333333"/>
                <w:w w:val="89"/>
              </w:rPr>
              <w:t>2017</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859,069</w:t>
            </w:r>
          </w:p>
        </w:tc>
        <w:tc>
          <w:tcPr>
            <w:tcW w:w="1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2,333,530</w:t>
            </w:r>
          </w:p>
        </w:tc>
      </w:tr>
      <w:tr>
        <w:trPr>
          <w:trHeight w:val="216"/>
        </w:trPr>
        <w:tc>
          <w:tcPr>
            <w:tcW w:w="5700" w:type="dxa"/>
            <w:vAlign w:val="bottom"/>
            <w:gridSpan w:val="2"/>
          </w:tcPr>
          <w:p>
            <w:pPr>
              <w:jc w:val="center"/>
              <w:ind w:left="890"/>
              <w:spacing w:after="0"/>
              <w:rPr>
                <w:sz w:val="20"/>
                <w:szCs w:val="20"/>
                <w:color w:val="auto"/>
              </w:rPr>
            </w:pPr>
            <w:r>
              <w:rPr>
                <w:rFonts w:ascii="Arial" w:cs="Arial" w:eastAsia="Arial" w:hAnsi="Arial"/>
                <w:sz w:val="18"/>
                <w:szCs w:val="18"/>
                <w:color w:val="333333"/>
                <w:w w:val="89"/>
              </w:rPr>
              <w:t>2018</w:t>
            </w: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902,416</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2,380,847</w:t>
            </w:r>
          </w:p>
        </w:tc>
      </w:tr>
      <w:tr>
        <w:trPr>
          <w:trHeight w:val="216"/>
        </w:trPr>
        <w:tc>
          <w:tcPr>
            <w:tcW w:w="5700" w:type="dxa"/>
            <w:vAlign w:val="bottom"/>
            <w:gridSpan w:val="2"/>
            <w:shd w:val="clear" w:color="auto" w:fill="EEEEEE"/>
          </w:tcPr>
          <w:p>
            <w:pPr>
              <w:jc w:val="center"/>
              <w:ind w:left="890"/>
              <w:spacing w:after="0"/>
              <w:rPr>
                <w:sz w:val="20"/>
                <w:szCs w:val="20"/>
                <w:color w:val="auto"/>
              </w:rPr>
            </w:pPr>
            <w:r>
              <w:rPr>
                <w:rFonts w:ascii="Arial" w:cs="Arial" w:eastAsia="Arial" w:hAnsi="Arial"/>
                <w:sz w:val="18"/>
                <w:szCs w:val="18"/>
                <w:color w:val="333333"/>
                <w:w w:val="89"/>
              </w:rPr>
              <w:t>2019</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1,002,782</w:t>
            </w:r>
          </w:p>
        </w:tc>
        <w:tc>
          <w:tcPr>
            <w:tcW w:w="1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2,416,042</w:t>
            </w:r>
          </w:p>
        </w:tc>
      </w:tr>
      <w:tr>
        <w:trPr>
          <w:trHeight w:val="230"/>
        </w:trPr>
        <w:tc>
          <w:tcPr>
            <w:tcW w:w="1000" w:type="dxa"/>
            <w:vAlign w:val="bottom"/>
          </w:tcPr>
          <w:p>
            <w:pPr>
              <w:spacing w:after="0"/>
              <w:rPr>
                <w:sz w:val="20"/>
                <w:szCs w:val="20"/>
                <w:color w:val="auto"/>
              </w:rPr>
            </w:pPr>
          </w:p>
        </w:tc>
        <w:tc>
          <w:tcPr>
            <w:tcW w:w="49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Nine months ended September 30, 2020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575,876</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2,250,395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-1405890</wp:posOffset>
            </wp:positionV>
            <wp:extent cx="625475" cy="1397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5475" cy="1397000"/>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April 2020, due to the onset of the pandemic, we have seen a decrease in the monthly volumes of our contract purchases compared to the prior year period and also compared to our first quarter of 2020.</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 as we did during the three-month and nine-month periods ended September 30, 2020 as a result of the uncertainty related to the pandemic.</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1994 we have conducted 87 term securitizations of automobile contracts that we originated. As of September 30, 2020, 22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480" w:type="dxa"/>
            <w:vAlign w:val="bottom"/>
            <w:gridSpan w:val="4"/>
          </w:tcPr>
          <w:p>
            <w:pPr>
              <w:ind w:left="3000"/>
              <w:spacing w:after="0"/>
              <w:rPr>
                <w:sz w:val="20"/>
                <w:szCs w:val="20"/>
                <w:color w:val="auto"/>
              </w:rPr>
            </w:pPr>
            <w:r>
              <w:rPr>
                <w:rFonts w:ascii="Arial" w:cs="Arial" w:eastAsia="Arial" w:hAnsi="Arial"/>
                <w:sz w:val="18"/>
                <w:szCs w:val="18"/>
                <w:b w:val="1"/>
                <w:bCs w:val="1"/>
                <w:color w:val="auto"/>
                <w:w w:val="94"/>
              </w:rPr>
              <w:t>Recent Asset-Backed Term Securitizations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0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5"/>
          </w:tcPr>
          <w:p>
            <w:pPr>
              <w:ind w:left="9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0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6"/>
              </w:rPr>
              <w:t>Receivables</w:t>
            </w:r>
          </w:p>
        </w:tc>
        <w:tc>
          <w:tcPr>
            <w:tcW w:w="8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 Term</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Pledged in Term</w:t>
            </w:r>
          </w:p>
        </w:tc>
      </w:tr>
      <w:tr>
        <w:trPr>
          <w:trHeight w:val="234"/>
        </w:trPr>
        <w:tc>
          <w:tcPr>
            <w:tcW w:w="1000" w:type="dxa"/>
            <w:vAlign w:val="bottom"/>
          </w:tcPr>
          <w:p>
            <w:pPr>
              <w:spacing w:after="0"/>
              <w:rPr>
                <w:sz w:val="20"/>
                <w:szCs w:val="20"/>
                <w:color w:val="auto"/>
              </w:rPr>
            </w:pPr>
          </w:p>
        </w:tc>
        <w:tc>
          <w:tcPr>
            <w:tcW w:w="4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Securitizations</w:t>
            </w:r>
          </w:p>
        </w:tc>
        <w:tc>
          <w:tcPr>
            <w:tcW w:w="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1000" w:type="dxa"/>
            <w:vAlign w:val="bottom"/>
            <w:tcBorders>
              <w:top w:val="single" w:sz="8" w:color="EEEEEE"/>
            </w:tcBorders>
            <w:shd w:val="clear" w:color="auto" w:fill="EEEEEE"/>
          </w:tcPr>
          <w:p>
            <w:pPr>
              <w:spacing w:after="0"/>
              <w:rPr>
                <w:sz w:val="18"/>
                <w:szCs w:val="18"/>
                <w:color w:val="auto"/>
              </w:rPr>
            </w:pPr>
          </w:p>
        </w:tc>
        <w:tc>
          <w:tcPr>
            <w:tcW w:w="4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00" w:type="dxa"/>
            <w:vAlign w:val="bottom"/>
            <w:tcBorders>
              <w:top w:val="single" w:sz="8" w:color="EEEEEE"/>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ind w:right="490"/>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700" w:type="dxa"/>
            <w:vAlign w:val="bottom"/>
            <w:gridSpan w:val="2"/>
          </w:tcPr>
          <w:p>
            <w:pPr>
              <w:jc w:val="center"/>
              <w:ind w:left="890"/>
              <w:spacing w:after="0"/>
              <w:rPr>
                <w:sz w:val="20"/>
                <w:szCs w:val="20"/>
                <w:color w:val="auto"/>
              </w:rPr>
            </w:pPr>
            <w:r>
              <w:rPr>
                <w:rFonts w:ascii="Arial" w:cs="Arial" w:eastAsia="Arial" w:hAnsi="Arial"/>
                <w:sz w:val="18"/>
                <w:szCs w:val="18"/>
                <w:color w:val="333333"/>
                <w:w w:val="89"/>
              </w:rPr>
              <w:t>2016</w:t>
            </w:r>
          </w:p>
        </w:tc>
        <w:tc>
          <w:tcPr>
            <w:tcW w:w="20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1,214,997</w:t>
            </w:r>
          </w:p>
        </w:tc>
      </w:tr>
      <w:tr>
        <w:trPr>
          <w:trHeight w:val="216"/>
        </w:trPr>
        <w:tc>
          <w:tcPr>
            <w:tcW w:w="5700" w:type="dxa"/>
            <w:vAlign w:val="bottom"/>
            <w:gridSpan w:val="2"/>
            <w:shd w:val="clear" w:color="auto" w:fill="EEEEEE"/>
          </w:tcPr>
          <w:p>
            <w:pPr>
              <w:jc w:val="center"/>
              <w:ind w:left="890"/>
              <w:spacing w:after="0"/>
              <w:rPr>
                <w:sz w:val="20"/>
                <w:szCs w:val="20"/>
                <w:color w:val="auto"/>
              </w:rPr>
            </w:pPr>
            <w:r>
              <w:rPr>
                <w:rFonts w:ascii="Arial" w:cs="Arial" w:eastAsia="Arial" w:hAnsi="Arial"/>
                <w:sz w:val="18"/>
                <w:szCs w:val="18"/>
                <w:color w:val="333333"/>
                <w:w w:val="89"/>
              </w:rPr>
              <w:t>2017</w:t>
            </w:r>
          </w:p>
        </w:tc>
        <w:tc>
          <w:tcPr>
            <w:tcW w:w="2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870,000</w:t>
            </w:r>
          </w:p>
        </w:tc>
      </w:tr>
      <w:tr>
        <w:trPr>
          <w:trHeight w:val="216"/>
        </w:trPr>
        <w:tc>
          <w:tcPr>
            <w:tcW w:w="5700" w:type="dxa"/>
            <w:vAlign w:val="bottom"/>
            <w:gridSpan w:val="2"/>
          </w:tcPr>
          <w:p>
            <w:pPr>
              <w:jc w:val="center"/>
              <w:ind w:left="890"/>
              <w:spacing w:after="0"/>
              <w:rPr>
                <w:sz w:val="20"/>
                <w:szCs w:val="20"/>
                <w:color w:val="auto"/>
              </w:rPr>
            </w:pPr>
            <w:r>
              <w:rPr>
                <w:rFonts w:ascii="Arial" w:cs="Arial" w:eastAsia="Arial" w:hAnsi="Arial"/>
                <w:sz w:val="18"/>
                <w:szCs w:val="18"/>
                <w:color w:val="333333"/>
                <w:w w:val="89"/>
              </w:rPr>
              <w:t>2018</w:t>
            </w:r>
          </w:p>
        </w:tc>
        <w:tc>
          <w:tcPr>
            <w:tcW w:w="20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883,452</w:t>
            </w:r>
          </w:p>
        </w:tc>
      </w:tr>
      <w:tr>
        <w:trPr>
          <w:trHeight w:val="216"/>
        </w:trPr>
        <w:tc>
          <w:tcPr>
            <w:tcW w:w="5700" w:type="dxa"/>
            <w:vAlign w:val="bottom"/>
            <w:gridSpan w:val="2"/>
            <w:shd w:val="clear" w:color="auto" w:fill="EEEEEE"/>
          </w:tcPr>
          <w:p>
            <w:pPr>
              <w:jc w:val="center"/>
              <w:ind w:left="890"/>
              <w:spacing w:after="0"/>
              <w:rPr>
                <w:sz w:val="20"/>
                <w:szCs w:val="20"/>
                <w:color w:val="auto"/>
              </w:rPr>
            </w:pPr>
            <w:r>
              <w:rPr>
                <w:rFonts w:ascii="Arial" w:cs="Arial" w:eastAsia="Arial" w:hAnsi="Arial"/>
                <w:sz w:val="18"/>
                <w:szCs w:val="18"/>
                <w:color w:val="333333"/>
                <w:w w:val="89"/>
              </w:rPr>
              <w:t>2019</w:t>
            </w:r>
          </w:p>
        </w:tc>
        <w:tc>
          <w:tcPr>
            <w:tcW w:w="2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1,014,124</w:t>
            </w:r>
          </w:p>
        </w:tc>
      </w:tr>
      <w:tr>
        <w:trPr>
          <w:trHeight w:val="230"/>
        </w:trPr>
        <w:tc>
          <w:tcPr>
            <w:tcW w:w="1000" w:type="dxa"/>
            <w:vAlign w:val="bottom"/>
          </w:tcPr>
          <w:p>
            <w:pPr>
              <w:spacing w:after="0"/>
              <w:rPr>
                <w:sz w:val="20"/>
                <w:szCs w:val="20"/>
                <w:color w:val="auto"/>
              </w:rPr>
            </w:pPr>
          </w:p>
        </w:tc>
        <w:tc>
          <w:tcPr>
            <w:tcW w:w="49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Nine months ended September 30, 2020</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741,867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-1405890</wp:posOffset>
            </wp:positionV>
            <wp:extent cx="625475" cy="1397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5475" cy="1397000"/>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The revolving period for this facility was extended to November 2020.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and again in December 2019, extending the revolving period to December 2021, followed by an amortization period to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2020,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2020 with the three months ended September 30, 2019</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three months ended September 30, 2020, our revenues were $70.7 million, a decrease of $14.9 million, or 17.4%,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revenue of $85.5 million. The primary reason for the decrease in revenues is a decrease in interest income and a mark down to the recorded value of the portion of the receivables portfolio accounted for at fair value. Interest income for the three months ended September 30, 2020 decreased $10.9 million, or 13.1%, to $72.6 million from $83.5 million in the prior year. The primary reason for the decrease in interest income is the continued runoff of our portfolio of finance receivables originated prior to January 2018, which accrued interest at an average of 18.5%,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the two components of our loan portfolio for the three months ended September 30, 2020 and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Interest</w:t>
            </w:r>
          </w:p>
        </w:tc>
        <w:tc>
          <w:tcPr>
            <w:tcW w:w="0" w:type="dxa"/>
            <w:vAlign w:val="bottom"/>
          </w:tcPr>
          <w:p>
            <w:pPr>
              <w:spacing w:after="0"/>
              <w:rPr>
                <w:sz w:val="1"/>
                <w:szCs w:val="1"/>
                <w:color w:val="auto"/>
              </w:rPr>
            </w:pPr>
          </w:p>
        </w:tc>
      </w:tr>
      <w:tr>
        <w:trPr>
          <w:trHeight w:val="219"/>
        </w:trPr>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Interest</w:t>
            </w:r>
          </w:p>
        </w:tc>
        <w:tc>
          <w:tcPr>
            <w:tcW w:w="360" w:type="dxa"/>
            <w:vAlign w:val="bottom"/>
          </w:tcPr>
          <w:p>
            <w:pPr>
              <w:spacing w:after="0"/>
              <w:rPr>
                <w:sz w:val="19"/>
                <w:szCs w:val="19"/>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Yield</w:t>
            </w:r>
          </w:p>
        </w:tc>
        <w:tc>
          <w:tcPr>
            <w:tcW w:w="18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9"/>
                <w:szCs w:val="19"/>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Yield</w:t>
            </w:r>
          </w:p>
        </w:tc>
        <w:tc>
          <w:tcPr>
            <w:tcW w:w="0" w:type="dxa"/>
            <w:vAlign w:val="bottom"/>
          </w:tcPr>
          <w:p>
            <w:pPr>
              <w:spacing w:after="0"/>
              <w:rPr>
                <w:sz w:val="1"/>
                <w:szCs w:val="1"/>
                <w:color w:val="auto"/>
              </w:rPr>
            </w:pPr>
          </w:p>
        </w:tc>
      </w:tr>
      <w:tr>
        <w:trPr>
          <w:trHeight w:val="179"/>
        </w:trPr>
        <w:tc>
          <w:tcPr>
            <w:tcW w:w="440" w:type="dxa"/>
            <w:vAlign w:val="bottom"/>
            <w:tcBorders>
              <w:top w:val="single" w:sz="8" w:color="EEEEEE"/>
              <w:bottom w:val="single" w:sz="8" w:color="EEEEEE"/>
            </w:tcBorders>
            <w:shd w:val="clear" w:color="auto" w:fill="EEEEEE"/>
          </w:tcPr>
          <w:p>
            <w:pPr>
              <w:spacing w:after="0"/>
              <w:rPr>
                <w:sz w:val="15"/>
                <w:szCs w:val="15"/>
                <w:color w:val="auto"/>
              </w:rPr>
            </w:pPr>
          </w:p>
        </w:tc>
        <w:tc>
          <w:tcPr>
            <w:tcW w:w="1620" w:type="dxa"/>
            <w:vAlign w:val="bottom"/>
            <w:tcBorders>
              <w:top w:val="single" w:sz="8" w:color="EEEEEE"/>
              <w:bottom w:val="single" w:sz="8" w:color="auto"/>
            </w:tcBorders>
            <w:shd w:val="clear" w:color="auto" w:fill="EEEEEE"/>
          </w:tcPr>
          <w:p>
            <w:pPr>
              <w:spacing w:after="0" w:line="158" w:lineRule="exact"/>
              <w:rPr>
                <w:sz w:val="20"/>
                <w:szCs w:val="20"/>
                <w:color w:val="auto"/>
              </w:rPr>
            </w:pPr>
            <w:r>
              <w:rPr>
                <w:rFonts w:ascii="Arial" w:cs="Arial" w:eastAsia="Arial" w:hAnsi="Arial"/>
                <w:sz w:val="16"/>
                <w:szCs w:val="16"/>
                <w:b w:val="1"/>
                <w:bCs w:val="1"/>
                <w:color w:val="auto"/>
                <w:w w:val="89"/>
              </w:rPr>
              <w:t>Interest Earning Assets</w:t>
            </w:r>
          </w:p>
        </w:tc>
        <w:tc>
          <w:tcPr>
            <w:tcW w:w="48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auto"/>
              <w:bottom w:val="single" w:sz="8" w:color="EEEEEE"/>
            </w:tcBorders>
            <w:shd w:val="clear" w:color="auto" w:fill="EEEEEE"/>
          </w:tcPr>
          <w:p>
            <w:pPr>
              <w:spacing w:after="0"/>
              <w:rPr>
                <w:sz w:val="15"/>
                <w:szCs w:val="15"/>
                <w:color w:val="auto"/>
              </w:rPr>
            </w:pPr>
          </w:p>
        </w:tc>
        <w:tc>
          <w:tcPr>
            <w:tcW w:w="960" w:type="dxa"/>
            <w:vAlign w:val="bottom"/>
            <w:tcBorders>
              <w:top w:val="single" w:sz="8" w:color="auto"/>
              <w:bottom w:val="single" w:sz="8" w:color="EEEEEE"/>
            </w:tcBorders>
            <w:shd w:val="clear" w:color="auto" w:fill="EEEEEE"/>
          </w:tcPr>
          <w:p>
            <w:pPr>
              <w:spacing w:after="0"/>
              <w:rPr>
                <w:sz w:val="15"/>
                <w:szCs w:val="15"/>
                <w:color w:val="auto"/>
              </w:rPr>
            </w:pPr>
          </w:p>
        </w:tc>
        <w:tc>
          <w:tcPr>
            <w:tcW w:w="340" w:type="dxa"/>
            <w:vAlign w:val="bottom"/>
            <w:tcBorders>
              <w:top w:val="single" w:sz="8" w:color="EEEEEE"/>
              <w:bottom w:val="single" w:sz="8" w:color="EEEEEE"/>
            </w:tcBorders>
            <w:shd w:val="clear" w:color="auto" w:fill="EEEEEE"/>
          </w:tcPr>
          <w:p>
            <w:pPr>
              <w:spacing w:after="0"/>
              <w:rPr>
                <w:sz w:val="15"/>
                <w:szCs w:val="15"/>
                <w:color w:val="auto"/>
              </w:rPr>
            </w:pPr>
          </w:p>
        </w:tc>
        <w:tc>
          <w:tcPr>
            <w:tcW w:w="200" w:type="dxa"/>
            <w:vAlign w:val="bottom"/>
            <w:tcBorders>
              <w:top w:val="single" w:sz="8" w:color="auto"/>
              <w:bottom w:val="single" w:sz="8" w:color="EEEEEE"/>
            </w:tcBorders>
            <w:shd w:val="clear" w:color="auto" w:fill="EEEEEE"/>
          </w:tcPr>
          <w:p>
            <w:pPr>
              <w:spacing w:after="0"/>
              <w:rPr>
                <w:sz w:val="15"/>
                <w:szCs w:val="15"/>
                <w:color w:val="auto"/>
              </w:rPr>
            </w:pPr>
          </w:p>
        </w:tc>
        <w:tc>
          <w:tcPr>
            <w:tcW w:w="940" w:type="dxa"/>
            <w:vAlign w:val="bottom"/>
            <w:tcBorders>
              <w:top w:val="single" w:sz="8" w:color="auto"/>
              <w:bottom w:val="single" w:sz="8" w:color="EEEEEE"/>
            </w:tcBorders>
            <w:shd w:val="clear" w:color="auto" w:fill="EEEEEE"/>
          </w:tcPr>
          <w:p>
            <w:pPr>
              <w:spacing w:after="0"/>
              <w:rPr>
                <w:sz w:val="15"/>
                <w:szCs w:val="15"/>
                <w:color w:val="auto"/>
              </w:rPr>
            </w:pPr>
          </w:p>
        </w:tc>
        <w:tc>
          <w:tcPr>
            <w:tcW w:w="360" w:type="dxa"/>
            <w:vAlign w:val="bottom"/>
            <w:tcBorders>
              <w:top w:val="single" w:sz="8" w:color="EEEEEE"/>
              <w:bottom w:val="single" w:sz="8" w:color="EEEEEE"/>
            </w:tcBorders>
            <w:shd w:val="clear" w:color="auto" w:fill="EEEEEE"/>
          </w:tcPr>
          <w:p>
            <w:pPr>
              <w:spacing w:after="0"/>
              <w:rPr>
                <w:sz w:val="15"/>
                <w:szCs w:val="15"/>
                <w:color w:val="auto"/>
              </w:rPr>
            </w:pPr>
          </w:p>
        </w:tc>
        <w:tc>
          <w:tcPr>
            <w:tcW w:w="1120" w:type="dxa"/>
            <w:vAlign w:val="bottom"/>
            <w:tcBorders>
              <w:top w:val="single" w:sz="8" w:color="auto"/>
              <w:bottom w:val="single" w:sz="8" w:color="EEEEEE"/>
            </w:tcBorders>
            <w:shd w:val="clear" w:color="auto" w:fill="EEEEEE"/>
          </w:tcPr>
          <w:p>
            <w:pPr>
              <w:spacing w:after="0"/>
              <w:rPr>
                <w:sz w:val="15"/>
                <w:szCs w:val="15"/>
                <w:color w:val="auto"/>
              </w:rPr>
            </w:pPr>
          </w:p>
        </w:tc>
        <w:tc>
          <w:tcPr>
            <w:tcW w:w="34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auto"/>
              <w:bottom w:val="single" w:sz="8" w:color="EEEEEE"/>
            </w:tcBorders>
            <w:shd w:val="clear" w:color="auto" w:fill="EEEEEE"/>
          </w:tcPr>
          <w:p>
            <w:pPr>
              <w:spacing w:after="0"/>
              <w:rPr>
                <w:sz w:val="15"/>
                <w:szCs w:val="15"/>
                <w:color w:val="auto"/>
              </w:rPr>
            </w:pPr>
          </w:p>
        </w:tc>
        <w:tc>
          <w:tcPr>
            <w:tcW w:w="920" w:type="dxa"/>
            <w:vAlign w:val="bottom"/>
            <w:tcBorders>
              <w:top w:val="single" w:sz="8" w:color="auto"/>
              <w:bottom w:val="single" w:sz="8" w:color="EEEEEE"/>
            </w:tcBorders>
            <w:shd w:val="clear" w:color="auto" w:fill="EEEEEE"/>
          </w:tcPr>
          <w:p>
            <w:pPr>
              <w:spacing w:after="0"/>
              <w:rPr>
                <w:sz w:val="15"/>
                <w:szCs w:val="15"/>
                <w:color w:val="auto"/>
              </w:rPr>
            </w:pPr>
          </w:p>
        </w:tc>
        <w:tc>
          <w:tcPr>
            <w:tcW w:w="34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auto"/>
              <w:bottom w:val="single" w:sz="8" w:color="EEEEEE"/>
            </w:tcBorders>
            <w:shd w:val="clear" w:color="auto" w:fill="EEEEEE"/>
          </w:tcPr>
          <w:p>
            <w:pPr>
              <w:spacing w:after="0"/>
              <w:rPr>
                <w:sz w:val="15"/>
                <w:szCs w:val="15"/>
                <w:color w:val="auto"/>
              </w:rPr>
            </w:pPr>
          </w:p>
        </w:tc>
        <w:tc>
          <w:tcPr>
            <w:tcW w:w="920" w:type="dxa"/>
            <w:vAlign w:val="bottom"/>
            <w:tcBorders>
              <w:top w:val="single" w:sz="8" w:color="auto"/>
              <w:bottom w:val="single" w:sz="8" w:color="EEEEEE"/>
            </w:tcBorders>
            <w:shd w:val="clear" w:color="auto" w:fill="EEEEEE"/>
          </w:tcPr>
          <w:p>
            <w:pPr>
              <w:spacing w:after="0"/>
              <w:rPr>
                <w:sz w:val="15"/>
                <w:szCs w:val="15"/>
                <w:color w:val="auto"/>
              </w:rPr>
            </w:pPr>
          </w:p>
        </w:tc>
        <w:tc>
          <w:tcPr>
            <w:tcW w:w="320" w:type="dxa"/>
            <w:vAlign w:val="bottom"/>
            <w:tcBorders>
              <w:top w:val="single" w:sz="8" w:color="EEEEEE"/>
              <w:bottom w:val="single" w:sz="8" w:color="EEEEEE"/>
            </w:tcBorders>
            <w:shd w:val="clear" w:color="auto" w:fill="EEEEEE"/>
          </w:tcPr>
          <w:p>
            <w:pPr>
              <w:spacing w:after="0"/>
              <w:rPr>
                <w:sz w:val="15"/>
                <w:szCs w:val="15"/>
                <w:color w:val="auto"/>
              </w:rPr>
            </w:pPr>
          </w:p>
        </w:tc>
        <w:tc>
          <w:tcPr>
            <w:tcW w:w="1120" w:type="dxa"/>
            <w:vAlign w:val="bottom"/>
            <w:tcBorders>
              <w:top w:val="single" w:sz="8" w:color="auto"/>
              <w:bottom w:val="single" w:sz="8" w:color="EEEEEE"/>
            </w:tcBorders>
            <w:shd w:val="clear" w:color="auto" w:fill="EEEEEE"/>
          </w:tcPr>
          <w:p>
            <w:pPr>
              <w:spacing w:after="0"/>
              <w:rPr>
                <w:sz w:val="15"/>
                <w:szCs w:val="15"/>
                <w:color w:val="auto"/>
              </w:rPr>
            </w:pPr>
          </w:p>
        </w:tc>
        <w:tc>
          <w:tcPr>
            <w:tcW w:w="100" w:type="dxa"/>
            <w:vAlign w:val="bottom"/>
            <w:tcBorders>
              <w:top w:val="single" w:sz="8" w:color="EEEEEE"/>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gridSpan w:val="3"/>
          </w:tcPr>
          <w:p>
            <w:pPr>
              <w:spacing w:after="0"/>
              <w:rPr>
                <w:sz w:val="20"/>
                <w:szCs w:val="20"/>
                <w:color w:val="auto"/>
              </w:rPr>
            </w:pPr>
            <w:r>
              <w:rPr>
                <w:rFonts w:ascii="Arial" w:cs="Arial" w:eastAsia="Arial" w:hAnsi="Arial"/>
                <w:sz w:val="16"/>
                <w:szCs w:val="16"/>
                <w:color w:val="auto"/>
              </w:rPr>
              <w:t>Finance receivables</w:t>
            </w:r>
          </w:p>
        </w:tc>
        <w:tc>
          <w:tcPr>
            <w:tcW w:w="3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624,532</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29,775</w:t>
            </w:r>
          </w:p>
        </w:tc>
        <w:tc>
          <w:tcPr>
            <w:tcW w:w="1820" w:type="dxa"/>
            <w:vAlign w:val="bottom"/>
            <w:gridSpan w:val="3"/>
          </w:tcPr>
          <w:p>
            <w:pPr>
              <w:jc w:val="right"/>
              <w:ind w:right="340"/>
              <w:spacing w:after="0"/>
              <w:rPr>
                <w:sz w:val="20"/>
                <w:szCs w:val="20"/>
                <w:color w:val="auto"/>
              </w:rPr>
            </w:pPr>
            <w:r>
              <w:rPr>
                <w:rFonts w:ascii="Arial" w:cs="Arial" w:eastAsia="Arial" w:hAnsi="Arial"/>
                <w:sz w:val="16"/>
                <w:szCs w:val="16"/>
                <w:color w:val="auto"/>
              </w:rPr>
              <w:t>19.1%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1,105,087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50,625</w:t>
            </w:r>
          </w:p>
        </w:tc>
        <w:tc>
          <w:tcPr>
            <w:tcW w:w="11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gridSpan w:val="3"/>
            <w:shd w:val="clear" w:color="auto" w:fill="EEEEEE"/>
          </w:tcPr>
          <w:p>
            <w:pPr>
              <w:spacing w:after="0"/>
              <w:rPr>
                <w:sz w:val="20"/>
                <w:szCs w:val="20"/>
                <w:color w:val="auto"/>
              </w:rPr>
            </w:pPr>
            <w:r>
              <w:rPr>
                <w:rFonts w:ascii="Arial" w:cs="Arial" w:eastAsia="Arial" w:hAnsi="Arial"/>
                <w:sz w:val="16"/>
                <w:szCs w:val="16"/>
                <w:color w:val="auto"/>
                <w:w w:val="96"/>
              </w:rPr>
              <w:t>Finance receivables measured at fair</w:t>
            </w:r>
          </w:p>
        </w:tc>
        <w:tc>
          <w:tcPr>
            <w:tcW w:w="1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540" w:type="dxa"/>
            <w:vAlign w:val="bottom"/>
            <w:gridSpan w:val="3"/>
            <w:shd w:val="clear" w:color="auto" w:fill="EEEEEE"/>
          </w:tcPr>
          <w:p>
            <w:pPr>
              <w:ind w:left="100"/>
              <w:spacing w:after="0"/>
              <w:rPr>
                <w:sz w:val="20"/>
                <w:szCs w:val="20"/>
                <w:color w:val="auto"/>
              </w:rPr>
            </w:pPr>
            <w:r>
              <w:rPr>
                <w:rFonts w:ascii="Arial" w:cs="Arial" w:eastAsia="Arial" w:hAnsi="Arial"/>
                <w:sz w:val="16"/>
                <w:szCs w:val="16"/>
                <w:color w:val="auto"/>
              </w:rPr>
              <w:t>value</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1,646,022</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42,807</w:t>
            </w:r>
          </w:p>
        </w:tc>
        <w:tc>
          <w:tcPr>
            <w:tcW w:w="36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10.4%</w:t>
            </w: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1,304,012</w:t>
            </w:r>
          </w:p>
        </w:tc>
        <w:tc>
          <w:tcPr>
            <w:tcW w:w="1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32,903</w:t>
            </w:r>
          </w:p>
        </w:tc>
        <w:tc>
          <w:tcPr>
            <w:tcW w:w="11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2,270,554</w:t>
            </w:r>
          </w:p>
        </w:tc>
        <w:tc>
          <w:tcPr>
            <w:tcW w:w="3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72,582</w:t>
            </w:r>
          </w:p>
        </w:tc>
        <w:tc>
          <w:tcPr>
            <w:tcW w:w="36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12.8%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2,409,099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83,528</w:t>
            </w:r>
          </w:p>
        </w:tc>
        <w:tc>
          <w:tcPr>
            <w:tcW w:w="11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ind w:firstLine="648"/>
        <w:spacing w:after="0" w:line="263" w:lineRule="auto"/>
        <w:rPr>
          <w:sz w:val="20"/>
          <w:szCs w:val="20"/>
          <w:color w:val="auto"/>
        </w:rPr>
      </w:pPr>
      <w:r>
        <w:rPr>
          <w:rFonts w:ascii="Arial" w:cs="Arial" w:eastAsia="Arial" w:hAnsi="Arial"/>
          <w:sz w:val="18"/>
          <w:szCs w:val="18"/>
          <w:color w:val="auto"/>
        </w:rPr>
        <w:t>Revenues for the third quarter of 2020 include a $3.2 million mark down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three months ended September 30, 2020, other income of $1.2 million decreased by $755,000, or 37.9% compared to the prior year. The three-month period ended September 30, 2020 includes a decrease of $361,000 in revenues associated with direct mail and other related products and services that we offer to our dealers and a decrease of $320,000 in payments from third-party providers of convenience fees paid by our customers for web based and other electronic payments.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expenses were $64.8 million for the three months ended September 30, 2020, compared to $82.7 million for the prior period, a decrease of $17.9 million, or 21.7%. The decrease is primarily due to a decrease in provision for credit losses.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Employee costs decreased by $1.1 million or 5.4%, to $19.2 million during the three months ended September 30, 2020, representing 29.6% of total operating expenses, from $20.3 million for the prior year, or 24.5% of total operating expenses. The table below summarizes our employees by category as well as contract purchases and units in our managed portfolio as of, and for the three-month periods ended, September 30, 2020 and 2019:</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 30, 2020</w:t>
            </w:r>
          </w:p>
        </w:tc>
        <w:tc>
          <w:tcPr>
            <w:tcW w:w="3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September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174.0</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2,250.4</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2,412.6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168,071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second quarter, we laid off 114 staff members due to the decrease in our business caused by the pandemic. Throughout the third quarter we experienced further staff reductions due in part to the fact that our contract purchases have not returned to pre-pandemic levels. If our contract purchase volumes remain at current levels, we expect somewhat lower employee costs in future periods.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$7.8 million, a decrease from $8.2 million in the previous year and represented 12.1% of total operating expenses.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three months ended September 30, 2020 were $24.9 million and represented 38.4% of total operating expenses, compared to $27.9 million in the previous year, when it was 33.8% of total operating expenses.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Interest on securitization trust debt decreased by $2.6 million for the three months ended September 30, 2020 compared to the prior period. The average balance of securitization trust debt decreased to $1,979.5 million for the three months ended September 30, 2020 compared to $2,165.9 million for the three months ended September 30, 2019. The blended interest rates on new term securitizations have generally increased in 2017 and 2018 before declining in 2019 and 2020.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280" w:type="dxa"/>
        <w:tblCellMar>
          <w:top w:w="0" w:type="dxa"/>
          <w:left w:w="0" w:type="dxa"/>
          <w:bottom w:w="0" w:type="dxa"/>
          <w:right w:w="0" w:type="dxa"/>
        </w:tblCellMar>
      </w:tblPr>
      <w:tr>
        <w:trPr>
          <w:trHeight w:val="234"/>
        </w:trPr>
        <w:tc>
          <w:tcPr>
            <w:tcW w:w="2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22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January 2017</w:t>
            </w:r>
          </w:p>
        </w:tc>
        <w:tc>
          <w:tcPr>
            <w:tcW w:w="200" w:type="dxa"/>
            <w:vAlign w:val="bottom"/>
            <w:tcBorders>
              <w:top w:val="single" w:sz="8" w:color="EEEEEE"/>
            </w:tcBorders>
            <w:shd w:val="clear" w:color="auto" w:fill="EEEEEE"/>
          </w:tcPr>
          <w:p>
            <w:pPr>
              <w:spacing w:after="0"/>
              <w:rPr>
                <w:sz w:val="18"/>
                <w:szCs w:val="18"/>
                <w:color w:val="auto"/>
              </w:rPr>
            </w:pPr>
          </w:p>
        </w:tc>
        <w:tc>
          <w:tcPr>
            <w:tcW w:w="22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2017</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2017</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2017</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2018</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2018</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2019</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2019</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2019</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2019</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2020</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2020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September 2020</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4.4% for the three months ended September 30, 2020 compared to 4.5% in the prior year period.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Interest expense on subordinated renewable notes increased by $194,000. The average balance of the outstanding subordinated debt increased 30.4% to $19.7 million for the three months ended September 30, 2020 compared to $15.1 million for the three months ended September 30, 2019. The average yield of subordinated notes increased to 11.4% in the three-month period ended September 30, 2020 compared to 9.8% in the prior period.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ind w:firstLine="648"/>
        <w:spacing w:after="0" w:line="263" w:lineRule="auto"/>
        <w:rPr>
          <w:sz w:val="20"/>
          <w:szCs w:val="20"/>
          <w:color w:val="auto"/>
        </w:rPr>
      </w:pPr>
      <w:r>
        <w:rPr>
          <w:rFonts w:ascii="Arial" w:cs="Arial" w:eastAsia="Arial" w:hAnsi="Arial"/>
          <w:sz w:val="18"/>
          <w:szCs w:val="18"/>
          <w:color w:val="auto"/>
        </w:rPr>
        <w:t>Interest expense on warehouse debt decreased by $550,000 to $1.9 million for the three months ended September 30, 2020 compared to $2.4 million in the prior year period. The average rate on the debt also declined to 8.2% for the third quarter of 2020 compared to 9.8% for the same quarter in 2019.</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16, 2018, we completed a $40.0 million securitization of residual interests from previously issued securitizations. Interest expense on this residual interest financing was $876,000 for the three months ended September 30, 2020 compared to $956,000 in the prior year period.</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September 30,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3"/>
              </w:rPr>
              <w:t>Three Months Ended September 30,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right"/>
              <w:ind w:right="8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Interest</w:t>
            </w:r>
          </w:p>
        </w:tc>
        <w:tc>
          <w:tcPr>
            <w:tcW w:w="2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Yield/Rate</w:t>
            </w: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20" w:type="dxa"/>
            <w:vAlign w:val="bottom"/>
            <w:tcBorders>
              <w:top w:val="single" w:sz="8" w:color="EEEEEE"/>
            </w:tcBorders>
            <w:shd w:val="clear" w:color="auto" w:fill="EEEEEE"/>
          </w:tcPr>
          <w:p>
            <w:pPr>
              <w:spacing w:after="0"/>
              <w:rPr>
                <w:sz w:val="14"/>
                <w:szCs w:val="14"/>
                <w:color w:val="auto"/>
              </w:rPr>
            </w:pPr>
          </w:p>
        </w:tc>
        <w:tc>
          <w:tcPr>
            <w:tcW w:w="2380" w:type="dxa"/>
            <w:vAlign w:val="bottom"/>
            <w:tcBorders>
              <w:top w:val="single" w:sz="8" w:color="EEEEEE"/>
            </w:tcBorders>
            <w:gridSpan w:val="4"/>
            <w:shd w:val="clear" w:color="auto" w:fill="EEEEEE"/>
          </w:tcPr>
          <w:p>
            <w:pPr>
              <w:jc w:val="center"/>
              <w:ind w:right="320"/>
              <w:spacing w:after="0" w:line="169" w:lineRule="exact"/>
              <w:rPr>
                <w:sz w:val="20"/>
                <w:szCs w:val="20"/>
                <w:color w:val="auto"/>
              </w:rPr>
            </w:pPr>
            <w:r>
              <w:rPr>
                <w:rFonts w:ascii="Arial" w:cs="Arial" w:eastAsia="Arial" w:hAnsi="Arial"/>
                <w:sz w:val="18"/>
                <w:szCs w:val="18"/>
                <w:b w:val="1"/>
                <w:bCs w:val="1"/>
                <w:color w:val="auto"/>
                <w:w w:val="88"/>
              </w:rPr>
              <w:t>Interest Earning Assets</w:t>
            </w:r>
          </w:p>
        </w:tc>
        <w:tc>
          <w:tcPr>
            <w:tcW w:w="1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260" w:type="dxa"/>
            <w:vAlign w:val="bottom"/>
            <w:tcBorders>
              <w:top w:val="single" w:sz="8" w:color="EEEEEE"/>
            </w:tcBorders>
            <w:shd w:val="clear" w:color="auto" w:fill="EEEEEE"/>
          </w:tcPr>
          <w:p>
            <w:pPr>
              <w:spacing w:after="0"/>
              <w:rPr>
                <w:sz w:val="14"/>
                <w:szCs w:val="14"/>
                <w:color w:val="auto"/>
              </w:rPr>
            </w:pPr>
          </w:p>
        </w:tc>
        <w:tc>
          <w:tcPr>
            <w:tcW w:w="112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00" w:type="dxa"/>
            <w:vAlign w:val="bottom"/>
            <w:tcBorders>
              <w:top w:val="single" w:sz="8" w:color="auto"/>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2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624,532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29,775</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1,105,087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50,625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260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9"/>
              </w:rPr>
              <w:t>Finance receivables at fair value</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1,646,022</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42,807</w:t>
            </w: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1,304,012</w:t>
            </w:r>
          </w:p>
        </w:tc>
        <w:tc>
          <w:tcPr>
            <w:tcW w:w="1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32,903</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2,270,554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72,582</w:t>
            </w:r>
          </w:p>
        </w:tc>
        <w:tc>
          <w:tcPr>
            <w:tcW w:w="100" w:type="dxa"/>
            <w:vAlign w:val="bottom"/>
          </w:tcPr>
          <w:p>
            <w:pPr>
              <w:spacing w:after="0"/>
              <w:rPr>
                <w:sz w:val="18"/>
                <w:szCs w:val="18"/>
                <w:color w:val="auto"/>
              </w:rPr>
            </w:pP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2,409,099</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83,528</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75"/>
        </w:trPr>
        <w:tc>
          <w:tcPr>
            <w:tcW w:w="2600" w:type="dxa"/>
            <w:vAlign w:val="bottom"/>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FFFFFF"/>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90,697</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1,857</w:t>
            </w: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98,520</w:t>
            </w: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2,407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60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36,407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956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1,979,491</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21,605</w:t>
            </w: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2,165,927</w:t>
            </w: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24,208</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60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19,737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15,133</w:t>
            </w: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1720" w:type="dxa"/>
            <w:vAlign w:val="bottom"/>
            <w:gridSpan w:val="3"/>
            <w:vMerge w:val="restart"/>
            <w:shd w:val="clear" w:color="auto" w:fill="EEEEEE"/>
          </w:tcPr>
          <w:p>
            <w:pPr>
              <w:jc w:val="right"/>
              <w:ind w:right="3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236"/>
        </w:trPr>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2,126,332</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24,901</w:t>
            </w:r>
          </w:p>
        </w:tc>
        <w:tc>
          <w:tcPr>
            <w:tcW w:w="100" w:type="dxa"/>
            <w:vAlign w:val="bottom"/>
            <w:vMerge w:val="continue"/>
            <w:shd w:val="clear" w:color="auto" w:fill="EEEEEE"/>
          </w:tcPr>
          <w:p>
            <w:pPr>
              <w:spacing w:after="0"/>
              <w:rPr>
                <w:sz w:val="20"/>
                <w:szCs w:val="20"/>
                <w:color w:val="auto"/>
              </w:rPr>
            </w:pPr>
          </w:p>
        </w:tc>
        <w:tc>
          <w:tcPr>
            <w:tcW w:w="1720" w:type="dxa"/>
            <w:vAlign w:val="bottom"/>
            <w:gridSpan w:val="3"/>
            <w:vMerge w:val="continue"/>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2,319,580</w:t>
            </w:r>
          </w:p>
        </w:tc>
        <w:tc>
          <w:tcPr>
            <w:tcW w:w="16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27,940</w:t>
            </w:r>
          </w:p>
        </w:tc>
        <w:tc>
          <w:tcPr>
            <w:tcW w:w="32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bottom w:val="single" w:sz="8" w:color="EEEEEE"/>
            </w:tcBorders>
            <w:gridSpan w:val="2"/>
            <w:vMerge w:val="restart"/>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20" w:type="dxa"/>
            <w:vAlign w:val="bottom"/>
            <w:tcBorders>
              <w:bottom w:val="single" w:sz="8" w:color="EEEE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0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00" w:type="dxa"/>
            <w:vAlign w:val="bottom"/>
            <w:tcBorders>
              <w:bottom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47,681</w:t>
            </w:r>
          </w:p>
        </w:tc>
        <w:tc>
          <w:tcPr>
            <w:tcW w:w="10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55,588</w:t>
            </w:r>
          </w:p>
        </w:tc>
        <w:tc>
          <w:tcPr>
            <w:tcW w:w="32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gridSpan w:val="5"/>
            <w:vMerge w:val="restart"/>
          </w:tcPr>
          <w:p>
            <w:pPr>
              <w:spacing w:after="0"/>
              <w:rPr>
                <w:sz w:val="20"/>
                <w:szCs w:val="20"/>
                <w:color w:val="auto"/>
              </w:rPr>
            </w:pPr>
            <w:r>
              <w:rPr>
                <w:rFonts w:ascii="Arial" w:cs="Arial" w:eastAsia="Arial" w:hAnsi="Arial"/>
                <w:sz w:val="18"/>
                <w:szCs w:val="18"/>
                <w:color w:val="auto"/>
              </w:rPr>
              <w:t>Net interest yield (3)</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96"/>
        </w:trPr>
        <w:tc>
          <w:tcPr>
            <w:tcW w:w="26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8"/>
              </w:rPr>
              <w:t>Ratio of average interest earning</w:t>
            </w: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5"/>
            <w:shd w:val="clear" w:color="auto" w:fill="EEEEEE"/>
          </w:tcPr>
          <w:p>
            <w:pPr>
              <w:ind w:left="100"/>
              <w:spacing w:after="0"/>
              <w:rPr>
                <w:sz w:val="20"/>
                <w:szCs w:val="20"/>
                <w:color w:val="auto"/>
              </w:rPr>
            </w:pPr>
            <w:r>
              <w:rPr>
                <w:rFonts w:ascii="Arial" w:cs="Arial" w:eastAsia="Arial" w:hAnsi="Arial"/>
                <w:sz w:val="18"/>
                <w:szCs w:val="18"/>
                <w:color w:val="auto"/>
                <w:w w:val="91"/>
              </w:rPr>
              <w:t>assets to average interest bearing</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5"/>
            <w:shd w:val="clear" w:color="auto" w:fill="EEEEEE"/>
          </w:tcPr>
          <w:p>
            <w:pPr>
              <w:ind w:left="10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hanging="36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49" w:lineRule="exact"/>
        <w:rPr>
          <w:rFonts w:ascii="Arial" w:cs="Arial" w:eastAsia="Arial" w:hAnsi="Arial"/>
          <w:sz w:val="18"/>
          <w:szCs w:val="18"/>
          <w:color w:val="auto"/>
        </w:rPr>
      </w:pPr>
    </w:p>
    <w:p>
      <w:pPr>
        <w:ind w:left="720" w:hanging="36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36" w:lineRule="exact"/>
        <w:rPr>
          <w:rFonts w:ascii="Arial" w:cs="Arial" w:eastAsia="Arial" w:hAnsi="Arial"/>
          <w:sz w:val="18"/>
          <w:szCs w:val="18"/>
          <w:color w:val="auto"/>
        </w:rPr>
      </w:pPr>
    </w:p>
    <w:p>
      <w:pPr>
        <w:ind w:left="720" w:hanging="36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90"/>
              </w:rPr>
              <w:t>Three Months Ended September 30, 2020</w:t>
            </w:r>
          </w:p>
        </w:tc>
      </w:t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0"/>
              </w:rPr>
              <w:t>Compared to September 30, 2019</w:t>
            </w:r>
          </w:p>
        </w:tc>
      </w:tr>
      <w:tr>
        <w:trPr>
          <w:trHeight w:val="220"/>
        </w:trPr>
        <w:tc>
          <w:tcPr>
            <w:tcW w:w="660" w:type="dxa"/>
            <w:vAlign w:val="bottom"/>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72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89"/>
              </w:rPr>
              <w:t>Change Due</w:t>
            </w:r>
          </w:p>
        </w:tc>
        <w:tc>
          <w:tcPr>
            <w:tcW w:w="160" w:type="dxa"/>
            <w:vAlign w:val="bottom"/>
          </w:tcPr>
          <w:p>
            <w:pPr>
              <w:spacing w:after="0"/>
              <w:rPr>
                <w:sz w:val="19"/>
                <w:szCs w:val="19"/>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Change Due</w:t>
            </w:r>
          </w:p>
        </w:tc>
      </w:tr>
      <w:tr>
        <w:trPr>
          <w:trHeight w:val="244"/>
        </w:trPr>
        <w:tc>
          <w:tcPr>
            <w:tcW w:w="660" w:type="dxa"/>
            <w:vAlign w:val="bottom"/>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89"/>
              </w:rPr>
              <w:t>to Volume</w:t>
            </w:r>
          </w:p>
        </w:tc>
        <w:tc>
          <w:tcPr>
            <w:tcW w:w="160" w:type="dxa"/>
            <w:vAlign w:val="bottom"/>
          </w:tcPr>
          <w:p>
            <w:pPr>
              <w:spacing w:after="0"/>
              <w:rPr>
                <w:sz w:val="21"/>
                <w:szCs w:val="21"/>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 Rate</w:t>
            </w:r>
          </w:p>
        </w:tc>
      </w:tr>
      <w:tr>
        <w:trPr>
          <w:trHeight w:val="209"/>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321"/>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000" w:type="dxa"/>
            <w:vAlign w:val="bottom"/>
            <w:tcBorders>
              <w:bottom w:val="single" w:sz="8" w:color="EEEEEE"/>
            </w:tcBorders>
            <w:gridSpan w:val="2"/>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440" w:type="dxa"/>
            <w:vAlign w:val="bottom"/>
            <w:tcBorders>
              <w:bottom w:val="single" w:sz="8" w:color="EEEEEE"/>
            </w:tcBorders>
            <w:gridSpan w:val="2"/>
            <w:shd w:val="clear" w:color="auto" w:fill="EEEEEE"/>
          </w:tcPr>
          <w:p>
            <w:pPr>
              <w:jc w:val="right"/>
              <w:ind w:right="261"/>
              <w:spacing w:after="0" w:line="176" w:lineRule="exact"/>
              <w:rPr>
                <w:sz w:val="20"/>
                <w:szCs w:val="20"/>
                <w:color w:val="auto"/>
              </w:rPr>
            </w:pPr>
            <w:r>
              <w:rPr>
                <w:rFonts w:ascii="Arial" w:cs="Arial" w:eastAsia="Arial" w:hAnsi="Arial"/>
                <w:sz w:val="18"/>
                <w:szCs w:val="18"/>
                <w:color w:val="FFFFFF"/>
              </w:rPr>
              <w:t>$</w:t>
            </w:r>
          </w:p>
        </w:tc>
        <w:tc>
          <w:tcPr>
            <w:tcW w:w="100" w:type="dxa"/>
            <w:vAlign w:val="bottom"/>
            <w:tcBorders>
              <w:bottom w:val="single" w:sz="8" w:color="EEEEEE"/>
            </w:tcBorders>
            <w:shd w:val="clear" w:color="auto" w:fill="EEEEEE"/>
          </w:tcPr>
          <w:p>
            <w:pPr>
              <w:spacing w:after="0"/>
              <w:rPr>
                <w:sz w:val="17"/>
                <w:szCs w:val="17"/>
                <w:color w:val="auto"/>
              </w:rPr>
            </w:pPr>
          </w:p>
        </w:tc>
        <w:tc>
          <w:tcPr>
            <w:tcW w:w="124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3600" w:type="dxa"/>
            <w:vAlign w:val="bottom"/>
            <w:gridSpan w:val="5"/>
          </w:tcPr>
          <w:p>
            <w:pPr>
              <w:spacing w:after="0"/>
              <w:rPr>
                <w:sz w:val="20"/>
                <w:szCs w:val="20"/>
                <w:color w:val="auto"/>
              </w:rPr>
            </w:pPr>
            <w:r>
              <w:rPr>
                <w:rFonts w:ascii="Arial" w:cs="Arial" w:eastAsia="Arial" w:hAnsi="Arial"/>
                <w:sz w:val="18"/>
                <w:szCs w:val="18"/>
                <w:color w:val="auto"/>
              </w:rPr>
              <w:t>Finance receivables gross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(20,850)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(22,099)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8"/>
                <w:szCs w:val="18"/>
                <w:color w:val="auto"/>
              </w:rPr>
            </w:pPr>
          </w:p>
        </w:tc>
      </w:tr>
      <w:tr>
        <w:trPr>
          <w:trHeight w:val="230"/>
        </w:trPr>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9,904</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8,669</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EEEEEE"/>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(10,946)</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(13,430)</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660" w:type="dxa"/>
            <w:vAlign w:val="bottom"/>
            <w:shd w:val="clear" w:color="auto" w:fill="EEEEEE"/>
          </w:tcPr>
          <w:p>
            <w:pPr>
              <w:spacing w:after="0"/>
              <w:rPr>
                <w:sz w:val="15"/>
                <w:szCs w:val="15"/>
                <w:color w:val="auto"/>
              </w:rPr>
            </w:pPr>
          </w:p>
        </w:tc>
        <w:tc>
          <w:tcPr>
            <w:tcW w:w="2940" w:type="dxa"/>
            <w:vAlign w:val="bottom"/>
            <w:gridSpan w:val="4"/>
            <w:shd w:val="clear" w:color="auto" w:fill="EEEEEE"/>
          </w:tcPr>
          <w:p>
            <w:pPr>
              <w:jc w:val="center"/>
              <w:ind w:right="88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40" w:type="dxa"/>
            <w:vAlign w:val="bottom"/>
            <w:shd w:val="clear" w:color="auto" w:fill="EEEEEE"/>
          </w:tcPr>
          <w:p>
            <w:pPr>
              <w:spacing w:after="0"/>
              <w:rPr>
                <w:sz w:val="15"/>
                <w:szCs w:val="15"/>
                <w:color w:val="auto"/>
              </w:rPr>
            </w:pPr>
          </w:p>
        </w:tc>
        <w:tc>
          <w:tcPr>
            <w:tcW w:w="1440" w:type="dxa"/>
            <w:vAlign w:val="bottom"/>
            <w:gridSpan w:val="2"/>
            <w:shd w:val="clear" w:color="auto" w:fill="EEEEEE"/>
          </w:tcPr>
          <w:p>
            <w:pPr>
              <w:jc w:val="right"/>
              <w:ind w:right="261"/>
              <w:spacing w:after="0" w:line="176" w:lineRule="exact"/>
              <w:rPr>
                <w:sz w:val="20"/>
                <w:szCs w:val="20"/>
                <w:color w:val="auto"/>
              </w:rPr>
            </w:pPr>
            <w:r>
              <w:rPr>
                <w:rFonts w:ascii="Arial" w:cs="Arial" w:eastAsia="Arial" w:hAnsi="Arial"/>
                <w:sz w:val="18"/>
                <w:szCs w:val="18"/>
                <w:color w:val="FFFFFF"/>
              </w:rPr>
              <w:t>$</w:t>
            </w:r>
          </w:p>
        </w:tc>
        <w:tc>
          <w:tcPr>
            <w:tcW w:w="10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r>
      <w:tr>
        <w:trPr>
          <w:trHeight w:val="20"/>
        </w:trPr>
        <w:tc>
          <w:tcPr>
            <w:tcW w:w="6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r>
        <w:trPr>
          <w:trHeight w:val="216"/>
        </w:trPr>
        <w:tc>
          <w:tcPr>
            <w:tcW w:w="36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(363)</w:t>
            </w:r>
          </w:p>
        </w:tc>
      </w:tr>
      <w:tr>
        <w:trPr>
          <w:trHeight w:val="216"/>
        </w:trPr>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(80)</w:t>
            </w:r>
          </w:p>
        </w:tc>
        <w:tc>
          <w:tcPr>
            <w:tcW w:w="16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(495)</w:t>
            </w:r>
          </w:p>
        </w:tc>
      </w:tr>
      <w:tr>
        <w:trPr>
          <w:trHeight w:val="229"/>
        </w:trPr>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EEEEEE"/>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gridSpan w:val="2"/>
          </w:tcPr>
          <w:p>
            <w:pPr>
              <w:spacing w:after="0"/>
              <w:rPr>
                <w:sz w:val="18"/>
                <w:szCs w:val="18"/>
                <w:color w:val="auto"/>
              </w:rPr>
            </w:pPr>
          </w:p>
        </w:tc>
      </w:tr>
      <w:tr>
        <w:trPr>
          <w:trHeight w:val="229"/>
        </w:trPr>
        <w:tc>
          <w:tcPr>
            <w:tcW w:w="6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23"/>
        </w:trPr>
        <w:tc>
          <w:tcPr>
            <w:tcW w:w="36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reduction in the annualized yield on our finance receivables for the three months ended September 30, 2020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$1,646.0 million for the three months ended September 30, 2020 compared to $1,304.0 million in the prior year period.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 for credit losses was $7.4 million for the three months ended September 30, 2020. The provision represents our estimate of additional forecasted losses that may be incurred on the portfolio of finance receivables resulting from the pandemic. Such losses were not considered in our initial estimate of remaining lifetime losses that we recorded with the adoption of CECL in January 2020. In the prior year period, prior to the adoption of CECL, provision for credit losses was $19.9 million.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2" w:name="page33"/>
    <w:bookmarkEnd w:id="32"/>
    <w:p>
      <w:pPr>
        <w:jc w:val="both"/>
        <w:ind w:firstLine="648"/>
        <w:spacing w:after="0" w:line="254" w:lineRule="auto"/>
        <w:rPr>
          <w:sz w:val="20"/>
          <w:szCs w:val="20"/>
          <w:color w:val="auto"/>
        </w:rPr>
      </w:pPr>
      <w:r>
        <w:rPr>
          <w:rFonts w:ascii="Arial" w:cs="Arial" w:eastAsia="Arial" w:hAnsi="Arial"/>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$1.2 million to $3.2 million during the three months ended September 30, 2020 and represented 4.9% of total operating expenses. We purchased $174.0 million of new contracts during the three months ended September 30, 2020 compared to $262.1 million in the prior year period. In our second quarter of 2020, we experienced a significant reduction in contract purchases due to the pandemic and partial shutdown of the economy. In our third quarter our contract purchase volumes increased but have not recovered to pre-pandemic levels.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Occupancy expenses was $1.8 million for the three months ending September 30, 2020 and 2019.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to $438,000 compared to $276,000 in the previous year and represented 0.7%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September 30, 2020 we recorded income tax expense of $2.1 million, representing a 36% effective tax rate. In the prior year period, we our income tax expense was $991,000, for an effective income tax rate of 35%.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2020 with the nine months ended September 30, 2019</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nine months ended September 30, 2020, our revenues were $208.7 million, a decrease of $51.3 million, or 19.7%,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revenue of $260.1 million. The primary reason for the decrease in revenues is a decrease in interest income and a mark down to the recorded value of the portion of the receivables portfolio accounted for at fair value. Interest income for the nine months ended September 30, 2020 decreased $26.5 million, or 10.5%, to $227.3 million from $253.8 million in the prior year. The primary reason for the decrease in interest income is the continued runoff of our portfolio of finance receivables originated prior to January 2018, which accrued interest at an average of 18.5%,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our loan portfolio for the nine months ended September 30, 2020 and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6"/>
                <w:szCs w:val="16"/>
                <w:b w:val="1"/>
                <w:bCs w:val="1"/>
                <w:color w:val="auto"/>
                <w:w w:val="91"/>
              </w:rPr>
              <w:t>Nine Months Ended September 30,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Interest</w:t>
            </w:r>
          </w:p>
        </w:tc>
        <w:tc>
          <w:tcPr>
            <w:tcW w:w="0" w:type="dxa"/>
            <w:vAlign w:val="bottom"/>
          </w:tcPr>
          <w:p>
            <w:pPr>
              <w:spacing w:after="0"/>
              <w:rPr>
                <w:sz w:val="1"/>
                <w:szCs w:val="1"/>
                <w:color w:val="auto"/>
              </w:rPr>
            </w:pPr>
          </w:p>
        </w:tc>
      </w:tr>
      <w:tr>
        <w:trPr>
          <w:trHeight w:val="219"/>
        </w:trPr>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Interest</w:t>
            </w:r>
          </w:p>
        </w:tc>
        <w:tc>
          <w:tcPr>
            <w:tcW w:w="146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Yield</w:t>
            </w:r>
          </w:p>
        </w:tc>
        <w:tc>
          <w:tcPr>
            <w:tcW w:w="18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9"/>
                <w:szCs w:val="19"/>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Yield</w:t>
            </w:r>
          </w:p>
        </w:tc>
        <w:tc>
          <w:tcPr>
            <w:tcW w:w="0" w:type="dxa"/>
            <w:vAlign w:val="bottom"/>
          </w:tcPr>
          <w:p>
            <w:pPr>
              <w:spacing w:after="0"/>
              <w:rPr>
                <w:sz w:val="1"/>
                <w:szCs w:val="1"/>
                <w:color w:val="auto"/>
              </w:rPr>
            </w:pPr>
          </w:p>
        </w:tc>
      </w:tr>
      <w:tr>
        <w:trPr>
          <w:trHeight w:val="179"/>
        </w:trPr>
        <w:tc>
          <w:tcPr>
            <w:tcW w:w="440" w:type="dxa"/>
            <w:vAlign w:val="bottom"/>
            <w:tcBorders>
              <w:top w:val="single" w:sz="8" w:color="EEEEEE"/>
              <w:bottom w:val="single" w:sz="8" w:color="EEEEEE"/>
            </w:tcBorders>
            <w:shd w:val="clear" w:color="auto" w:fill="EEEEEE"/>
          </w:tcPr>
          <w:p>
            <w:pPr>
              <w:spacing w:after="0"/>
              <w:rPr>
                <w:sz w:val="15"/>
                <w:szCs w:val="15"/>
                <w:color w:val="auto"/>
              </w:rPr>
            </w:pPr>
          </w:p>
        </w:tc>
        <w:tc>
          <w:tcPr>
            <w:tcW w:w="1620" w:type="dxa"/>
            <w:vAlign w:val="bottom"/>
            <w:tcBorders>
              <w:top w:val="single" w:sz="8" w:color="EEEEEE"/>
              <w:bottom w:val="single" w:sz="8" w:color="auto"/>
            </w:tcBorders>
            <w:shd w:val="clear" w:color="auto" w:fill="EEEEEE"/>
          </w:tcPr>
          <w:p>
            <w:pPr>
              <w:spacing w:after="0" w:line="158" w:lineRule="exact"/>
              <w:rPr>
                <w:sz w:val="20"/>
                <w:szCs w:val="20"/>
                <w:color w:val="auto"/>
              </w:rPr>
            </w:pPr>
            <w:r>
              <w:rPr>
                <w:rFonts w:ascii="Arial" w:cs="Arial" w:eastAsia="Arial" w:hAnsi="Arial"/>
                <w:sz w:val="16"/>
                <w:szCs w:val="16"/>
                <w:b w:val="1"/>
                <w:bCs w:val="1"/>
                <w:color w:val="auto"/>
                <w:w w:val="89"/>
              </w:rPr>
              <w:t>Interest Earning Assets</w:t>
            </w:r>
          </w:p>
        </w:tc>
        <w:tc>
          <w:tcPr>
            <w:tcW w:w="48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auto"/>
              <w:bottom w:val="single" w:sz="8" w:color="EEEEEE"/>
            </w:tcBorders>
            <w:shd w:val="clear" w:color="auto" w:fill="EEEEEE"/>
          </w:tcPr>
          <w:p>
            <w:pPr>
              <w:spacing w:after="0"/>
              <w:rPr>
                <w:sz w:val="15"/>
                <w:szCs w:val="15"/>
                <w:color w:val="auto"/>
              </w:rPr>
            </w:pPr>
          </w:p>
        </w:tc>
        <w:tc>
          <w:tcPr>
            <w:tcW w:w="960" w:type="dxa"/>
            <w:vAlign w:val="bottom"/>
            <w:tcBorders>
              <w:top w:val="single" w:sz="8" w:color="auto"/>
              <w:bottom w:val="single" w:sz="8" w:color="EEEEEE"/>
            </w:tcBorders>
            <w:shd w:val="clear" w:color="auto" w:fill="EEEEEE"/>
          </w:tcPr>
          <w:p>
            <w:pPr>
              <w:spacing w:after="0"/>
              <w:rPr>
                <w:sz w:val="15"/>
                <w:szCs w:val="15"/>
                <w:color w:val="auto"/>
              </w:rPr>
            </w:pPr>
          </w:p>
        </w:tc>
        <w:tc>
          <w:tcPr>
            <w:tcW w:w="340" w:type="dxa"/>
            <w:vAlign w:val="bottom"/>
            <w:tcBorders>
              <w:top w:val="single" w:sz="8" w:color="EEEEEE"/>
              <w:bottom w:val="single" w:sz="8" w:color="EEEEEE"/>
            </w:tcBorders>
            <w:shd w:val="clear" w:color="auto" w:fill="EEEEEE"/>
          </w:tcPr>
          <w:p>
            <w:pPr>
              <w:spacing w:after="0"/>
              <w:rPr>
                <w:sz w:val="15"/>
                <w:szCs w:val="15"/>
                <w:color w:val="auto"/>
              </w:rPr>
            </w:pPr>
          </w:p>
        </w:tc>
        <w:tc>
          <w:tcPr>
            <w:tcW w:w="200" w:type="dxa"/>
            <w:vAlign w:val="bottom"/>
            <w:tcBorders>
              <w:top w:val="single" w:sz="8" w:color="auto"/>
              <w:bottom w:val="single" w:sz="8" w:color="EEEEEE"/>
            </w:tcBorders>
            <w:shd w:val="clear" w:color="auto" w:fill="EEEEEE"/>
          </w:tcPr>
          <w:p>
            <w:pPr>
              <w:spacing w:after="0"/>
              <w:rPr>
                <w:sz w:val="15"/>
                <w:szCs w:val="15"/>
                <w:color w:val="auto"/>
              </w:rPr>
            </w:pPr>
          </w:p>
        </w:tc>
        <w:tc>
          <w:tcPr>
            <w:tcW w:w="940" w:type="dxa"/>
            <w:vAlign w:val="bottom"/>
            <w:tcBorders>
              <w:top w:val="single" w:sz="8" w:color="auto"/>
              <w:bottom w:val="single" w:sz="8" w:color="EEEEEE"/>
            </w:tcBorders>
            <w:shd w:val="clear" w:color="auto" w:fill="EEEEEE"/>
          </w:tcPr>
          <w:p>
            <w:pPr>
              <w:spacing w:after="0"/>
              <w:rPr>
                <w:sz w:val="15"/>
                <w:szCs w:val="15"/>
                <w:color w:val="auto"/>
              </w:rPr>
            </w:pPr>
          </w:p>
        </w:tc>
        <w:tc>
          <w:tcPr>
            <w:tcW w:w="360" w:type="dxa"/>
            <w:vAlign w:val="bottom"/>
            <w:tcBorders>
              <w:top w:val="single" w:sz="8" w:color="EEEEEE"/>
              <w:bottom w:val="single" w:sz="8" w:color="EEEEEE"/>
            </w:tcBorders>
            <w:shd w:val="clear" w:color="auto" w:fill="EEEEEE"/>
          </w:tcPr>
          <w:p>
            <w:pPr>
              <w:spacing w:after="0"/>
              <w:rPr>
                <w:sz w:val="15"/>
                <w:szCs w:val="15"/>
                <w:color w:val="auto"/>
              </w:rPr>
            </w:pPr>
          </w:p>
        </w:tc>
        <w:tc>
          <w:tcPr>
            <w:tcW w:w="1120" w:type="dxa"/>
            <w:vAlign w:val="bottom"/>
            <w:tcBorders>
              <w:top w:val="single" w:sz="8" w:color="auto"/>
              <w:bottom w:val="single" w:sz="8" w:color="EEEEEE"/>
            </w:tcBorders>
            <w:shd w:val="clear" w:color="auto" w:fill="EEEEEE"/>
          </w:tcPr>
          <w:p>
            <w:pPr>
              <w:spacing w:after="0"/>
              <w:rPr>
                <w:sz w:val="15"/>
                <w:szCs w:val="15"/>
                <w:color w:val="auto"/>
              </w:rPr>
            </w:pPr>
          </w:p>
        </w:tc>
        <w:tc>
          <w:tcPr>
            <w:tcW w:w="34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auto"/>
              <w:bottom w:val="single" w:sz="8" w:color="EEEEEE"/>
            </w:tcBorders>
            <w:shd w:val="clear" w:color="auto" w:fill="EEEEEE"/>
          </w:tcPr>
          <w:p>
            <w:pPr>
              <w:spacing w:after="0"/>
              <w:rPr>
                <w:sz w:val="15"/>
                <w:szCs w:val="15"/>
                <w:color w:val="auto"/>
              </w:rPr>
            </w:pPr>
          </w:p>
        </w:tc>
        <w:tc>
          <w:tcPr>
            <w:tcW w:w="920" w:type="dxa"/>
            <w:vAlign w:val="bottom"/>
            <w:tcBorders>
              <w:top w:val="single" w:sz="8" w:color="auto"/>
              <w:bottom w:val="single" w:sz="8" w:color="EEEEEE"/>
            </w:tcBorders>
            <w:shd w:val="clear" w:color="auto" w:fill="EEEEEE"/>
          </w:tcPr>
          <w:p>
            <w:pPr>
              <w:spacing w:after="0"/>
              <w:rPr>
                <w:sz w:val="15"/>
                <w:szCs w:val="15"/>
                <w:color w:val="auto"/>
              </w:rPr>
            </w:pPr>
          </w:p>
        </w:tc>
        <w:tc>
          <w:tcPr>
            <w:tcW w:w="340" w:type="dxa"/>
            <w:vAlign w:val="bottom"/>
            <w:tcBorders>
              <w:top w:val="single" w:sz="8" w:color="EEEEEE"/>
              <w:bottom w:val="single" w:sz="8" w:color="EEEEEE"/>
            </w:tcBorders>
            <w:shd w:val="clear" w:color="auto" w:fill="EEEEEE"/>
          </w:tcPr>
          <w:p>
            <w:pPr>
              <w:spacing w:after="0"/>
              <w:rPr>
                <w:sz w:val="15"/>
                <w:szCs w:val="15"/>
                <w:color w:val="auto"/>
              </w:rPr>
            </w:pPr>
          </w:p>
        </w:tc>
        <w:tc>
          <w:tcPr>
            <w:tcW w:w="180" w:type="dxa"/>
            <w:vAlign w:val="bottom"/>
            <w:tcBorders>
              <w:top w:val="single" w:sz="8" w:color="auto"/>
              <w:bottom w:val="single" w:sz="8" w:color="EEEEEE"/>
            </w:tcBorders>
            <w:shd w:val="clear" w:color="auto" w:fill="EEEEEE"/>
          </w:tcPr>
          <w:p>
            <w:pPr>
              <w:spacing w:after="0"/>
              <w:rPr>
                <w:sz w:val="15"/>
                <w:szCs w:val="15"/>
                <w:color w:val="auto"/>
              </w:rPr>
            </w:pPr>
          </w:p>
        </w:tc>
        <w:tc>
          <w:tcPr>
            <w:tcW w:w="920" w:type="dxa"/>
            <w:vAlign w:val="bottom"/>
            <w:tcBorders>
              <w:top w:val="single" w:sz="8" w:color="auto"/>
              <w:bottom w:val="single" w:sz="8" w:color="EEEEEE"/>
            </w:tcBorders>
            <w:shd w:val="clear" w:color="auto" w:fill="EEEEEE"/>
          </w:tcPr>
          <w:p>
            <w:pPr>
              <w:spacing w:after="0"/>
              <w:rPr>
                <w:sz w:val="15"/>
                <w:szCs w:val="15"/>
                <w:color w:val="auto"/>
              </w:rPr>
            </w:pPr>
          </w:p>
        </w:tc>
        <w:tc>
          <w:tcPr>
            <w:tcW w:w="320" w:type="dxa"/>
            <w:vAlign w:val="bottom"/>
            <w:tcBorders>
              <w:top w:val="single" w:sz="8" w:color="EEEEEE"/>
              <w:bottom w:val="single" w:sz="8" w:color="EEEEEE"/>
            </w:tcBorders>
            <w:shd w:val="clear" w:color="auto" w:fill="EEEEEE"/>
          </w:tcPr>
          <w:p>
            <w:pPr>
              <w:spacing w:after="0"/>
              <w:rPr>
                <w:sz w:val="15"/>
                <w:szCs w:val="15"/>
                <w:color w:val="auto"/>
              </w:rPr>
            </w:pPr>
          </w:p>
        </w:tc>
        <w:tc>
          <w:tcPr>
            <w:tcW w:w="1120" w:type="dxa"/>
            <w:vAlign w:val="bottom"/>
            <w:tcBorders>
              <w:top w:val="single" w:sz="8" w:color="auto"/>
              <w:bottom w:val="single" w:sz="8" w:color="EEEEEE"/>
            </w:tcBorders>
            <w:shd w:val="clear" w:color="auto" w:fill="EEEEEE"/>
          </w:tcPr>
          <w:p>
            <w:pPr>
              <w:spacing w:after="0"/>
              <w:rPr>
                <w:sz w:val="15"/>
                <w:szCs w:val="15"/>
                <w:color w:val="auto"/>
              </w:rPr>
            </w:pPr>
          </w:p>
        </w:tc>
        <w:tc>
          <w:tcPr>
            <w:tcW w:w="100" w:type="dxa"/>
            <w:vAlign w:val="bottom"/>
            <w:tcBorders>
              <w:top w:val="single" w:sz="8" w:color="EEEEEE"/>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gridSpan w:val="3"/>
          </w:tcPr>
          <w:p>
            <w:pPr>
              <w:spacing w:after="0"/>
              <w:rPr>
                <w:sz w:val="20"/>
                <w:szCs w:val="20"/>
                <w:color w:val="auto"/>
              </w:rPr>
            </w:pPr>
            <w:r>
              <w:rPr>
                <w:rFonts w:ascii="Arial" w:cs="Arial" w:eastAsia="Arial" w:hAnsi="Arial"/>
                <w:sz w:val="16"/>
                <w:szCs w:val="16"/>
                <w:color w:val="auto"/>
              </w:rPr>
              <w:t>Finance receivables</w:t>
            </w:r>
          </w:p>
        </w:tc>
        <w:tc>
          <w:tcPr>
            <w:tcW w:w="3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734,195</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101,998</w:t>
            </w:r>
          </w:p>
        </w:tc>
        <w:tc>
          <w:tcPr>
            <w:tcW w:w="36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18.5%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1,268,190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170,126</w:t>
            </w:r>
          </w:p>
        </w:tc>
        <w:tc>
          <w:tcPr>
            <w:tcW w:w="11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gridSpan w:val="3"/>
            <w:shd w:val="clear" w:color="auto" w:fill="EEEEEE"/>
          </w:tcPr>
          <w:p>
            <w:pPr>
              <w:spacing w:after="0"/>
              <w:rPr>
                <w:sz w:val="20"/>
                <w:szCs w:val="20"/>
                <w:color w:val="auto"/>
              </w:rPr>
            </w:pPr>
            <w:r>
              <w:rPr>
                <w:rFonts w:ascii="Arial" w:cs="Arial" w:eastAsia="Arial" w:hAnsi="Arial"/>
                <w:sz w:val="16"/>
                <w:szCs w:val="16"/>
                <w:color w:val="auto"/>
                <w:w w:val="96"/>
              </w:rPr>
              <w:t>Finance receivables measured at fair</w:t>
            </w:r>
          </w:p>
        </w:tc>
        <w:tc>
          <w:tcPr>
            <w:tcW w:w="1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540" w:type="dxa"/>
            <w:vAlign w:val="bottom"/>
            <w:gridSpan w:val="3"/>
            <w:shd w:val="clear" w:color="auto" w:fill="EEEEEE"/>
          </w:tcPr>
          <w:p>
            <w:pPr>
              <w:ind w:left="100"/>
              <w:spacing w:after="0"/>
              <w:rPr>
                <w:sz w:val="20"/>
                <w:szCs w:val="20"/>
                <w:color w:val="auto"/>
              </w:rPr>
            </w:pPr>
            <w:r>
              <w:rPr>
                <w:rFonts w:ascii="Arial" w:cs="Arial" w:eastAsia="Arial" w:hAnsi="Arial"/>
                <w:sz w:val="16"/>
                <w:szCs w:val="16"/>
                <w:color w:val="auto"/>
              </w:rPr>
              <w:t>value</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1,619,399</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125,273</w:t>
            </w:r>
          </w:p>
        </w:tc>
        <w:tc>
          <w:tcPr>
            <w:tcW w:w="36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10.3%</w:t>
            </w: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1,131,888</w:t>
            </w:r>
          </w:p>
        </w:tc>
        <w:tc>
          <w:tcPr>
            <w:tcW w:w="1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83,696</w:t>
            </w:r>
          </w:p>
        </w:tc>
        <w:tc>
          <w:tcPr>
            <w:tcW w:w="11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2,353,594</w:t>
            </w:r>
          </w:p>
        </w:tc>
        <w:tc>
          <w:tcPr>
            <w:tcW w:w="3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227,271</w:t>
            </w:r>
          </w:p>
        </w:tc>
        <w:tc>
          <w:tcPr>
            <w:tcW w:w="36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12.9%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2,400,078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253,822</w:t>
            </w: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Revenues for the nine months ended September 30, 2020 include a $23.1 million mark down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In the nine months ended September 30, 2020, other income of $4.5 million decreased by $1.7 million, or 27.9% compared to the prior year. The nine-month period ended September 30, 2020 includes a decrease of $1.3 million in revenues associated with direct mail and other related products and services that we offer to our dealers and a decrease of $530,000 in payments from third-party providers of convenience fees paid by our customers for web based and other electronic payments.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expenses were $195.1 million for the nine months ended September 30, 2020, compared to $251.8 million for the prior period, a decrease of $56.7 million, or 22.5%. The decrease is primarily due to a decrease in provision for credit losses.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Employee costs increased by $1.8 million or 3.0%, to $60.8 million during the nine months ended September 30, 2020, representing 31.2% of total operating expenses, from $59.0 million for the prior year, or 23.4% of total operating expenses. The table below summarizes our employees by category as well as contract purchases and units in our managed portfolio as of, and for the nine-month periods ended, September 30, 2020 and 2019:</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 30, 2020</w:t>
            </w:r>
          </w:p>
        </w:tc>
        <w:tc>
          <w:tcPr>
            <w:tcW w:w="3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September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575.9</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31,475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2,250.4</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2,412.6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168,071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2020, prior to the onset of the pandemic, our employee costs were greater than in the first quarter of 2019. Those increases have been partially offset by decreases since the first quarter of 2020, which are the result of staff reductions due in part to the fact that our contract purchases have not returned to pre-pandemic levels. If our contract purchase volumes remain at current levels, we expect somewhat lower employee costs in future periods.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$24.4 million, a decrease from $25.1 million in the previous year and represented 12.5% of total operating expenses.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nine months ended September 30, 2020 were $78.4 million and represented 40.2% of total operating expenses, compared to $82.9 million in the previous year.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Interest on securitization trust debt decreased by $4.9 million for the nine months ended September 30, 2020 compared to the prior period. The average balance of securitization trust debt decreased to $2,058.1 million for the nine months ended September 30, 2020 compared to $2,178.4 million for the nine months ended September 30, 2019. The blended interest rates on new term securitizations have generally increased in 2017 and 2018 before declining in 2019 and 2020.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280" w:type="dxa"/>
        <w:tblCellMar>
          <w:top w:w="0" w:type="dxa"/>
          <w:left w:w="0" w:type="dxa"/>
          <w:bottom w:w="0" w:type="dxa"/>
          <w:right w:w="0" w:type="dxa"/>
        </w:tblCellMar>
      </w:tblPr>
      <w:tr>
        <w:trPr>
          <w:trHeight w:val="234"/>
        </w:trPr>
        <w:tc>
          <w:tcPr>
            <w:tcW w:w="2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2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January 2017</w:t>
            </w:r>
          </w:p>
        </w:tc>
        <w:tc>
          <w:tcPr>
            <w:tcW w:w="200" w:type="dxa"/>
            <w:vAlign w:val="bottom"/>
            <w:tcBorders>
              <w:top w:val="single" w:sz="8" w:color="EEEEEE"/>
            </w:tcBorders>
            <w:shd w:val="clear" w:color="auto" w:fill="EEEEEE"/>
          </w:tcPr>
          <w:p>
            <w:pPr>
              <w:spacing w:after="0"/>
              <w:rPr>
                <w:sz w:val="18"/>
                <w:szCs w:val="18"/>
                <w:color w:val="auto"/>
              </w:rPr>
            </w:pPr>
          </w:p>
        </w:tc>
        <w:tc>
          <w:tcPr>
            <w:tcW w:w="22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2017</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2017</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2017</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2018</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2018</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2019</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2019</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2019</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2019</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2020</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2020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24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September 2020</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4.4% for the nine months ended September 30, 2020 and 2019.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ind w:right="20" w:firstLine="648"/>
        <w:spacing w:after="0" w:line="311" w:lineRule="auto"/>
        <w:rPr>
          <w:sz w:val="20"/>
          <w:szCs w:val="20"/>
          <w:color w:val="auto"/>
        </w:rPr>
      </w:pPr>
      <w:r>
        <w:rPr>
          <w:rFonts w:ascii="Arial" w:cs="Arial" w:eastAsia="Arial" w:hAnsi="Arial"/>
          <w:sz w:val="16"/>
          <w:szCs w:val="16"/>
          <w:color w:val="auto"/>
        </w:rPr>
        <w:t>Interest expense on subordinated renewable notes increased by $563,000. The average balance of the outstanding subordinated debt increased 30.0% to $18.8 million for the nine months ended September 30, 2020 compared to $14.5 million for the nine months ended September 30, 2019. The average yield of subordinated notes increased to 11.2% in the nine-month period ended September 30, 2020 compared to 9.3% in the prior period.</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on warehouse debt decreased by $93,000 for the nine months ended September 30, 2020 compared to the prior period. The average rate on the debt was 7.8% in 2020 compared to 10.0% in the prior year while the average balance of the warehouse debt increased to $107.4 million from $85.3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Interest expense on this residual interest financing was $2.7 million for the current year period and $2.9 million in the prior year period as the average outstanding balance has decreased.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nine-month periods ended September 30,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w w:val="93"/>
              </w:rPr>
              <w:t>Nine Months Ended September 30,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5"/>
          </w:tcPr>
          <w:p>
            <w:pPr>
              <w:jc w:val="right"/>
              <w:ind w:right="8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Yield/Rate</w:t>
            </w: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20" w:type="dxa"/>
            <w:vAlign w:val="bottom"/>
            <w:tcBorders>
              <w:top w:val="single" w:sz="8" w:color="EEEEEE"/>
            </w:tcBorders>
            <w:shd w:val="clear" w:color="auto" w:fill="EEEEEE"/>
          </w:tcPr>
          <w:p>
            <w:pPr>
              <w:spacing w:after="0"/>
              <w:rPr>
                <w:sz w:val="14"/>
                <w:szCs w:val="14"/>
                <w:color w:val="auto"/>
              </w:rPr>
            </w:pPr>
          </w:p>
        </w:tc>
        <w:tc>
          <w:tcPr>
            <w:tcW w:w="2380" w:type="dxa"/>
            <w:vAlign w:val="bottom"/>
            <w:tcBorders>
              <w:top w:val="single" w:sz="8" w:color="EEEEEE"/>
            </w:tcBorders>
            <w:gridSpan w:val="4"/>
            <w:shd w:val="clear" w:color="auto" w:fill="EEEEEE"/>
          </w:tcPr>
          <w:p>
            <w:pPr>
              <w:jc w:val="center"/>
              <w:ind w:right="320"/>
              <w:spacing w:after="0" w:line="169" w:lineRule="exact"/>
              <w:rPr>
                <w:sz w:val="20"/>
                <w:szCs w:val="20"/>
                <w:color w:val="auto"/>
              </w:rPr>
            </w:pPr>
            <w:r>
              <w:rPr>
                <w:rFonts w:ascii="Arial" w:cs="Arial" w:eastAsia="Arial" w:hAnsi="Arial"/>
                <w:sz w:val="18"/>
                <w:szCs w:val="18"/>
                <w:b w:val="1"/>
                <w:bCs w:val="1"/>
                <w:color w:val="auto"/>
                <w:w w:val="88"/>
              </w:rPr>
              <w:t>Interest Earning Assets</w:t>
            </w:r>
          </w:p>
        </w:tc>
        <w:tc>
          <w:tcPr>
            <w:tcW w:w="1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40" w:type="dxa"/>
            <w:vAlign w:val="bottom"/>
            <w:tcBorders>
              <w:top w:val="single" w:sz="8" w:color="EEEEEE"/>
            </w:tcBorders>
            <w:shd w:val="clear" w:color="auto" w:fill="EEEEEE"/>
          </w:tcPr>
          <w:p>
            <w:pPr>
              <w:spacing w:after="0"/>
              <w:rPr>
                <w:sz w:val="14"/>
                <w:szCs w:val="14"/>
                <w:color w:val="auto"/>
              </w:rPr>
            </w:pPr>
          </w:p>
        </w:tc>
        <w:tc>
          <w:tcPr>
            <w:tcW w:w="112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00" w:type="dxa"/>
            <w:vAlign w:val="bottom"/>
            <w:tcBorders>
              <w:top w:val="single" w:sz="8" w:color="auto"/>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2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734,195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101,998</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1,233,413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170,125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260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9"/>
              </w:rPr>
              <w:t>Finance receivables at fair value</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1,619,399</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125,273</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1,131,888</w:t>
            </w:r>
          </w:p>
        </w:tc>
        <w:tc>
          <w:tcPr>
            <w:tcW w:w="1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83,696</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2,353,594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227,271</w:t>
            </w:r>
          </w:p>
        </w:tc>
        <w:tc>
          <w:tcPr>
            <w:tcW w:w="120" w:type="dxa"/>
            <w:vAlign w:val="bottom"/>
          </w:tcPr>
          <w:p>
            <w:pPr>
              <w:spacing w:after="0"/>
              <w:rPr>
                <w:sz w:val="18"/>
                <w:szCs w:val="18"/>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2,365,301</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253,821</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75"/>
        </w:trPr>
        <w:tc>
          <w:tcPr>
            <w:tcW w:w="2600" w:type="dxa"/>
            <w:vAlign w:val="bottom"/>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FFFFFF"/>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107,388</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6,294</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85,289</w:t>
            </w: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6,387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60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37,959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2,734</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2,867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2,058,110</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67,770</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2,178,437</w:t>
            </w: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72,662</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60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1,580</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14,513</w:t>
            </w: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EEEEEE"/>
          </w:tcPr>
          <w:p>
            <w:pPr>
              <w:spacing w:after="0" w:line="20" w:lineRule="exact"/>
              <w:rPr>
                <w:sz w:val="1"/>
                <w:szCs w:val="1"/>
                <w:color w:val="auto"/>
              </w:rPr>
            </w:pPr>
          </w:p>
        </w:tc>
        <w:tc>
          <w:tcPr>
            <w:tcW w:w="1700" w:type="dxa"/>
            <w:vAlign w:val="bottom"/>
            <w:gridSpan w:val="3"/>
            <w:vMerge w:val="restart"/>
            <w:shd w:val="clear" w:color="auto" w:fill="EEEEEE"/>
          </w:tcPr>
          <w:p>
            <w:pPr>
              <w:jc w:val="right"/>
              <w:ind w:right="3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237"/>
        </w:trPr>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2,222,304</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78,378</w:t>
            </w:r>
          </w:p>
        </w:tc>
        <w:tc>
          <w:tcPr>
            <w:tcW w:w="120" w:type="dxa"/>
            <w:vAlign w:val="bottom"/>
            <w:vMerge w:val="continue"/>
            <w:shd w:val="clear" w:color="auto" w:fill="EEEEEE"/>
          </w:tcPr>
          <w:p>
            <w:pPr>
              <w:spacing w:after="0"/>
              <w:rPr>
                <w:sz w:val="20"/>
                <w:szCs w:val="20"/>
                <w:color w:val="auto"/>
              </w:rPr>
            </w:pPr>
          </w:p>
        </w:tc>
        <w:tc>
          <w:tcPr>
            <w:tcW w:w="1700" w:type="dxa"/>
            <w:vAlign w:val="bottom"/>
            <w:gridSpan w:val="3"/>
            <w:vMerge w:val="continue"/>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2,318,239</w:t>
            </w:r>
          </w:p>
        </w:tc>
        <w:tc>
          <w:tcPr>
            <w:tcW w:w="16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82,933</w:t>
            </w:r>
          </w:p>
        </w:tc>
        <w:tc>
          <w:tcPr>
            <w:tcW w:w="32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bottom w:val="single" w:sz="8" w:color="EEEEEE"/>
            </w:tcBorders>
            <w:gridSpan w:val="2"/>
            <w:vMerge w:val="restart"/>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line="20" w:lineRule="exact"/>
              <w:rPr>
                <w:sz w:val="1"/>
                <w:szCs w:val="1"/>
                <w:color w:val="auto"/>
              </w:rPr>
            </w:pPr>
          </w:p>
        </w:tc>
      </w:tr>
      <w:tr>
        <w:trPr>
          <w:trHeight w:val="197"/>
        </w:trPr>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20" w:type="dxa"/>
            <w:vAlign w:val="bottom"/>
            <w:tcBorders>
              <w:bottom w:val="single" w:sz="8" w:color="EEEE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0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00" w:type="dxa"/>
            <w:vAlign w:val="bottom"/>
            <w:tcBorders>
              <w:bottom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148,893</w:t>
            </w:r>
          </w:p>
        </w:tc>
        <w:tc>
          <w:tcPr>
            <w:tcW w:w="1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170,888</w:t>
            </w:r>
          </w:p>
        </w:tc>
        <w:tc>
          <w:tcPr>
            <w:tcW w:w="32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gridSpan w:val="5"/>
            <w:vMerge w:val="restart"/>
          </w:tcPr>
          <w:p>
            <w:pPr>
              <w:spacing w:after="0"/>
              <w:rPr>
                <w:sz w:val="20"/>
                <w:szCs w:val="20"/>
                <w:color w:val="auto"/>
              </w:rPr>
            </w:pPr>
            <w:r>
              <w:rPr>
                <w:rFonts w:ascii="Arial" w:cs="Arial" w:eastAsia="Arial" w:hAnsi="Arial"/>
                <w:sz w:val="18"/>
                <w:szCs w:val="18"/>
                <w:color w:val="auto"/>
              </w:rPr>
              <w:t>Net interest yield (3)</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96"/>
        </w:trPr>
        <w:tc>
          <w:tcPr>
            <w:tcW w:w="26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8"/>
              </w:rPr>
              <w:t>Ratio of average interest earning</w:t>
            </w: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5"/>
            <w:shd w:val="clear" w:color="auto" w:fill="EEEEEE"/>
          </w:tcPr>
          <w:p>
            <w:pPr>
              <w:ind w:left="100"/>
              <w:spacing w:after="0"/>
              <w:rPr>
                <w:sz w:val="20"/>
                <w:szCs w:val="20"/>
                <w:color w:val="auto"/>
              </w:rPr>
            </w:pPr>
            <w:r>
              <w:rPr>
                <w:rFonts w:ascii="Arial" w:cs="Arial" w:eastAsia="Arial" w:hAnsi="Arial"/>
                <w:sz w:val="18"/>
                <w:szCs w:val="18"/>
                <w:color w:val="auto"/>
                <w:w w:val="91"/>
              </w:rPr>
              <w:t>assets to average interest bearing</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5"/>
            <w:shd w:val="clear" w:color="auto" w:fill="EEEEEE"/>
          </w:tcPr>
          <w:p>
            <w:pPr>
              <w:ind w:left="10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49"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36"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0"/>
              </w:rPr>
              <w:t>Nine Months Ended September 30, 2020</w:t>
            </w:r>
          </w:p>
        </w:tc>
      </w:t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0"/>
              </w:rPr>
              <w:t>Compared to September 30, 2019</w:t>
            </w:r>
          </w:p>
        </w:tc>
      </w:tr>
      <w:tr>
        <w:trPr>
          <w:trHeight w:val="220"/>
        </w:trPr>
        <w:tc>
          <w:tcPr>
            <w:tcW w:w="660" w:type="dxa"/>
            <w:vAlign w:val="bottom"/>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72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89"/>
              </w:rPr>
              <w:t>Change Due</w:t>
            </w:r>
          </w:p>
        </w:tc>
        <w:tc>
          <w:tcPr>
            <w:tcW w:w="160" w:type="dxa"/>
            <w:vAlign w:val="bottom"/>
          </w:tcPr>
          <w:p>
            <w:pPr>
              <w:spacing w:after="0"/>
              <w:rPr>
                <w:sz w:val="19"/>
                <w:szCs w:val="19"/>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Change Due</w:t>
            </w:r>
          </w:p>
        </w:tc>
      </w:tr>
      <w:tr>
        <w:trPr>
          <w:trHeight w:val="244"/>
        </w:trPr>
        <w:tc>
          <w:tcPr>
            <w:tcW w:w="660" w:type="dxa"/>
            <w:vAlign w:val="bottom"/>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89"/>
              </w:rPr>
              <w:t>to Volume</w:t>
            </w:r>
          </w:p>
        </w:tc>
        <w:tc>
          <w:tcPr>
            <w:tcW w:w="160" w:type="dxa"/>
            <w:vAlign w:val="bottom"/>
          </w:tcPr>
          <w:p>
            <w:pPr>
              <w:spacing w:after="0"/>
              <w:rPr>
                <w:sz w:val="21"/>
                <w:szCs w:val="21"/>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 Rate</w:t>
            </w:r>
          </w:p>
        </w:tc>
      </w:tr>
      <w:tr>
        <w:trPr>
          <w:trHeight w:val="209"/>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321"/>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000" w:type="dxa"/>
            <w:vAlign w:val="bottom"/>
            <w:tcBorders>
              <w:bottom w:val="single" w:sz="8" w:color="EEEEEE"/>
            </w:tcBorders>
            <w:gridSpan w:val="2"/>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440" w:type="dxa"/>
            <w:vAlign w:val="bottom"/>
            <w:tcBorders>
              <w:bottom w:val="single" w:sz="8" w:color="EEEEEE"/>
            </w:tcBorders>
            <w:gridSpan w:val="2"/>
            <w:shd w:val="clear" w:color="auto" w:fill="EEEEEE"/>
          </w:tcPr>
          <w:p>
            <w:pPr>
              <w:jc w:val="right"/>
              <w:ind w:right="261"/>
              <w:spacing w:after="0" w:line="176" w:lineRule="exact"/>
              <w:rPr>
                <w:sz w:val="20"/>
                <w:szCs w:val="20"/>
                <w:color w:val="auto"/>
              </w:rPr>
            </w:pPr>
            <w:r>
              <w:rPr>
                <w:rFonts w:ascii="Arial" w:cs="Arial" w:eastAsia="Arial" w:hAnsi="Arial"/>
                <w:sz w:val="18"/>
                <w:szCs w:val="18"/>
                <w:color w:val="FFFFFF"/>
              </w:rPr>
              <w:t>$</w:t>
            </w:r>
          </w:p>
        </w:tc>
        <w:tc>
          <w:tcPr>
            <w:tcW w:w="100" w:type="dxa"/>
            <w:vAlign w:val="bottom"/>
            <w:tcBorders>
              <w:bottom w:val="single" w:sz="8" w:color="EEEEEE"/>
            </w:tcBorders>
            <w:shd w:val="clear" w:color="auto" w:fill="EEEEEE"/>
          </w:tcPr>
          <w:p>
            <w:pPr>
              <w:spacing w:after="0"/>
              <w:rPr>
                <w:sz w:val="17"/>
                <w:szCs w:val="17"/>
                <w:color w:val="auto"/>
              </w:rPr>
            </w:pPr>
          </w:p>
        </w:tc>
        <w:tc>
          <w:tcPr>
            <w:tcW w:w="124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3600" w:type="dxa"/>
            <w:vAlign w:val="bottom"/>
            <w:gridSpan w:val="5"/>
          </w:tcPr>
          <w:p>
            <w:pPr>
              <w:spacing w:after="0"/>
              <w:rPr>
                <w:sz w:val="20"/>
                <w:szCs w:val="20"/>
                <w:color w:val="auto"/>
              </w:rPr>
            </w:pPr>
            <w:r>
              <w:rPr>
                <w:rFonts w:ascii="Arial" w:cs="Arial" w:eastAsia="Arial" w:hAnsi="Arial"/>
                <w:sz w:val="18"/>
                <w:szCs w:val="18"/>
                <w:color w:val="auto"/>
              </w:rPr>
              <w:t>Finance receivables gross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(68,127)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(69,033)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r>
      <w:tr>
        <w:trPr>
          <w:trHeight w:val="229"/>
        </w:trPr>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41,577</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34,867</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EEEEEE"/>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(26,550)</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(34,166)</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660" w:type="dxa"/>
            <w:vAlign w:val="bottom"/>
            <w:shd w:val="clear" w:color="auto" w:fill="EEEEEE"/>
          </w:tcPr>
          <w:p>
            <w:pPr>
              <w:spacing w:after="0"/>
              <w:rPr>
                <w:sz w:val="15"/>
                <w:szCs w:val="15"/>
                <w:color w:val="auto"/>
              </w:rPr>
            </w:pPr>
          </w:p>
        </w:tc>
        <w:tc>
          <w:tcPr>
            <w:tcW w:w="2940" w:type="dxa"/>
            <w:vAlign w:val="bottom"/>
            <w:gridSpan w:val="4"/>
            <w:shd w:val="clear" w:color="auto" w:fill="EEEEEE"/>
          </w:tcPr>
          <w:p>
            <w:pPr>
              <w:jc w:val="center"/>
              <w:ind w:right="88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40" w:type="dxa"/>
            <w:vAlign w:val="bottom"/>
            <w:shd w:val="clear" w:color="auto" w:fill="EEEEEE"/>
          </w:tcPr>
          <w:p>
            <w:pPr>
              <w:spacing w:after="0"/>
              <w:rPr>
                <w:sz w:val="15"/>
                <w:szCs w:val="15"/>
                <w:color w:val="auto"/>
              </w:rPr>
            </w:pPr>
          </w:p>
        </w:tc>
        <w:tc>
          <w:tcPr>
            <w:tcW w:w="1440" w:type="dxa"/>
            <w:vAlign w:val="bottom"/>
            <w:gridSpan w:val="2"/>
            <w:shd w:val="clear" w:color="auto" w:fill="EEEEEE"/>
          </w:tcPr>
          <w:p>
            <w:pPr>
              <w:jc w:val="right"/>
              <w:ind w:right="261"/>
              <w:spacing w:after="0" w:line="176" w:lineRule="exact"/>
              <w:rPr>
                <w:sz w:val="20"/>
                <w:szCs w:val="20"/>
                <w:color w:val="auto"/>
              </w:rPr>
            </w:pPr>
            <w:r>
              <w:rPr>
                <w:rFonts w:ascii="Arial" w:cs="Arial" w:eastAsia="Arial" w:hAnsi="Arial"/>
                <w:sz w:val="18"/>
                <w:szCs w:val="18"/>
                <w:color w:val="FFFFFF"/>
              </w:rPr>
              <w:t>$</w:t>
            </w:r>
          </w:p>
        </w:tc>
        <w:tc>
          <w:tcPr>
            <w:tcW w:w="10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r>
      <w:tr>
        <w:trPr>
          <w:trHeight w:val="21"/>
        </w:trPr>
        <w:tc>
          <w:tcPr>
            <w:tcW w:w="6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r>
        <w:trPr>
          <w:trHeight w:val="216"/>
        </w:trPr>
        <w:tc>
          <w:tcPr>
            <w:tcW w:w="36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2,254</w:t>
            </w:r>
          </w:p>
        </w:tc>
        <w:tc>
          <w:tcPr>
            <w:tcW w:w="1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(2,347)</w:t>
            </w:r>
          </w:p>
        </w:tc>
      </w:tr>
      <w:tr>
        <w:trPr>
          <w:trHeight w:val="216"/>
        </w:trPr>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1"/>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(4,695)</w:t>
            </w:r>
          </w:p>
        </w:tc>
        <w:tc>
          <w:tcPr>
            <w:tcW w:w="1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EEEEEE"/>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20" w:type="dxa"/>
            <w:vAlign w:val="bottom"/>
            <w:gridSpan w:val="2"/>
          </w:tcPr>
          <w:p>
            <w:pPr>
              <w:spacing w:after="0"/>
              <w:rPr>
                <w:sz w:val="18"/>
                <w:szCs w:val="18"/>
                <w:color w:val="auto"/>
              </w:rPr>
            </w:pPr>
          </w:p>
        </w:tc>
      </w:tr>
      <w:tr>
        <w:trPr>
          <w:trHeight w:val="229"/>
        </w:trPr>
        <w:tc>
          <w:tcPr>
            <w:tcW w:w="6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23"/>
        </w:trPr>
        <w:tc>
          <w:tcPr>
            <w:tcW w:w="36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reduction in the annualized yield on our finance receivables for the nine months ended September 30, 2020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$1,619.4 million for the nine months ended September 30, 2020 compared to $1,131.9 million in the prior year period.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 for credit losses was $14.1 million for the nine months ended September 30, 2020. The provision represents our estimate of additional losses that may be incurred on the portfolio of finance receivables resulting from the pandemic. Such losses were not considered in our initial estimate of remaining lifetime losses that we recorded with the adoption of CECL in January 2020. In the prior year period, prior to the adoption of CECL, provision for credit losses was $64.3 million.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7" w:name="page38"/>
    <w:bookmarkEnd w:id="37"/>
    <w:p>
      <w:pPr>
        <w:jc w:val="both"/>
        <w:ind w:firstLine="648"/>
        <w:spacing w:after="0" w:line="254" w:lineRule="auto"/>
        <w:rPr>
          <w:sz w:val="20"/>
          <w:szCs w:val="20"/>
          <w:color w:val="auto"/>
        </w:rPr>
      </w:pPr>
      <w:r>
        <w:rPr>
          <w:rFonts w:ascii="Arial" w:cs="Arial" w:eastAsia="Arial" w:hAnsi="Arial"/>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$3.2 million to $10.7 million during the nine months ended September 30, 2020 and represented 5.5% of total operating expenses. We purchased $575.9 million of new contracts during the nine months ended September 30, 2020 compared to $755.3 million in the prior year period. In our second quarter of 2020, we experienced a significant reduction in contract purchases due to the pandemic and partial shutdown of the economy. In our third quarter our contract purchase volumes increased but have not recovered to pre-pandemic levels.</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Occupancy expenses decreased by $383,000 or 6.7%, to $5.4 million compared to $5.7 million in the previous year and represented 2.7%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to $1.3 million compared to $789,000 in the previous year and represented 0.7% of total operating expenses.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Income tax benefit was $3.9 million for the nine months ended September 30, 2020, which includes an $8.8 million tax benefit.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would have been $4.9 million, representing an effective income tax rate of 36%. For the prior year period, income tax expense was $2.9 million, which represents an effective income tax rate of 35%.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Recent effects of the pandemic include higher volumes of payment extensions requested by our customers and, in some states, temporary suspension of our rights to repossess automobiles. The pandemic will likely have a negative effect on our delinquency and charge off experience in the future, which is not yet reflected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September 30, 2020</w:t>
            </w: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September 30, 2019</w:t>
            </w:r>
          </w:p>
        </w:tc>
        <w:tc>
          <w:tcPr>
            <w:tcW w:w="264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 2019</w:t>
            </w:r>
          </w:p>
        </w:tc>
      </w:tr>
      <w:tr>
        <w:trPr>
          <w:trHeight w:val="155"/>
        </w:trPr>
        <w:tc>
          <w:tcPr>
            <w:tcW w:w="2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Contracts</w:t>
            </w: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Contracts</w:t>
            </w: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Contracts</w:t>
            </w: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r>
      <w:tr>
        <w:trPr>
          <w:trHeight w:val="196"/>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9"/>
        </w:trPr>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Delinquency Experience</w:t>
            </w:r>
          </w:p>
        </w:tc>
        <w:tc>
          <w:tcPr>
            <w:tcW w:w="1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168,071</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2,250,395</w:t>
            </w: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177,575</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2,412,638</w:t>
            </w:r>
          </w:p>
        </w:tc>
        <w:tc>
          <w:tcPr>
            <w:tcW w:w="14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177,604</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2,416,042</w:t>
            </w:r>
          </w:p>
        </w:tc>
      </w:tr>
      <w:tr>
        <w:trPr>
          <w:trHeight w:val="148"/>
        </w:trPr>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Period of delinquency (2)</w:t>
            </w:r>
          </w:p>
        </w:tc>
        <w:tc>
          <w:tcPr>
            <w:tcW w:w="1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2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31-60 days</w:t>
            </w: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9,883</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133,671</w:t>
            </w: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14,071</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195,016</w:t>
            </w:r>
          </w:p>
        </w:tc>
        <w:tc>
          <w:tcPr>
            <w:tcW w:w="14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13,737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189,214</w:t>
            </w:r>
          </w:p>
        </w:tc>
      </w:tr>
      <w:tr>
        <w:trPr>
          <w:trHeight w:val="148"/>
        </w:trPr>
        <w:tc>
          <w:tcPr>
            <w:tcW w:w="2720" w:type="dxa"/>
            <w:vAlign w:val="bottom"/>
            <w:gridSpan w:val="2"/>
            <w:shd w:val="clear" w:color="auto" w:fill="EEEEEE"/>
          </w:tcPr>
          <w:p>
            <w:pPr>
              <w:ind w:left="120"/>
              <w:spacing w:after="0" w:line="149" w:lineRule="exact"/>
              <w:rPr>
                <w:sz w:val="20"/>
                <w:szCs w:val="20"/>
                <w:color w:val="auto"/>
              </w:rPr>
            </w:pPr>
            <w:r>
              <w:rPr>
                <w:rFonts w:ascii="Arial" w:cs="Arial" w:eastAsia="Arial" w:hAnsi="Arial"/>
                <w:sz w:val="14"/>
                <w:szCs w:val="14"/>
                <w:color w:val="auto"/>
              </w:rPr>
              <w:t>61-90 days</w:t>
            </w:r>
          </w:p>
        </w:tc>
        <w:tc>
          <w:tcPr>
            <w:tcW w:w="13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3,771</w:t>
            </w: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49,376</w:t>
            </w:r>
          </w:p>
        </w:tc>
        <w:tc>
          <w:tcPr>
            <w:tcW w:w="146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6,909</w:t>
            </w:r>
          </w:p>
        </w:tc>
        <w:tc>
          <w:tcPr>
            <w:tcW w:w="18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94,603</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6,695</w:t>
            </w:r>
          </w:p>
        </w:tc>
        <w:tc>
          <w:tcPr>
            <w:tcW w:w="2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91,675</w:t>
            </w:r>
          </w:p>
        </w:tc>
      </w:tr>
      <w:tr>
        <w:trPr>
          <w:trHeight w:val="162"/>
        </w:trPr>
        <w:tc>
          <w:tcPr>
            <w:tcW w:w="2720" w:type="dxa"/>
            <w:vAlign w:val="bottom"/>
            <w:gridSpan w:val="2"/>
          </w:tcPr>
          <w:p>
            <w:pPr>
              <w:ind w:left="120"/>
              <w:spacing w:after="0"/>
              <w:rPr>
                <w:sz w:val="20"/>
                <w:szCs w:val="20"/>
                <w:color w:val="auto"/>
              </w:rPr>
            </w:pPr>
            <w:r>
              <w:rPr>
                <w:rFonts w:ascii="Arial" w:cs="Arial" w:eastAsia="Arial" w:hAnsi="Arial"/>
                <w:sz w:val="14"/>
                <w:szCs w:val="14"/>
                <w:color w:val="auto"/>
              </w:rPr>
              <w:t>91+ days</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1,413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16,067</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3,059</w:t>
            </w:r>
          </w:p>
        </w:tc>
        <w:tc>
          <w:tcPr>
            <w:tcW w:w="18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39,476</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3,530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46,516</w:t>
            </w:r>
          </w:p>
        </w:tc>
      </w:tr>
      <w:tr>
        <w:trPr>
          <w:trHeight w:val="142"/>
        </w:trPr>
        <w:tc>
          <w:tcPr>
            <w:tcW w:w="2720" w:type="dxa"/>
            <w:vAlign w:val="bottom"/>
            <w:tcBorders>
              <w:top w:val="single" w:sz="8" w:color="EEEEEE"/>
            </w:tcBorders>
            <w:gridSpan w:val="2"/>
            <w:shd w:val="clear" w:color="auto" w:fill="EEEEEE"/>
          </w:tcPr>
          <w:p>
            <w:pPr>
              <w:spacing w:after="0" w:line="142" w:lineRule="exact"/>
              <w:rPr>
                <w:sz w:val="20"/>
                <w:szCs w:val="20"/>
                <w:color w:val="auto"/>
              </w:rPr>
            </w:pPr>
            <w:r>
              <w:rPr>
                <w:rFonts w:ascii="Arial" w:cs="Arial" w:eastAsia="Arial" w:hAnsi="Arial"/>
                <w:sz w:val="14"/>
                <w:szCs w:val="14"/>
                <w:color w:val="auto"/>
              </w:rPr>
              <w:t>Total delinquencies (2)</w:t>
            </w: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15,067</w:t>
            </w:r>
          </w:p>
        </w:tc>
        <w:tc>
          <w:tcPr>
            <w:tcW w:w="18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199,114</w:t>
            </w:r>
          </w:p>
        </w:tc>
        <w:tc>
          <w:tcPr>
            <w:tcW w:w="36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24,039</w:t>
            </w:r>
          </w:p>
        </w:tc>
        <w:tc>
          <w:tcPr>
            <w:tcW w:w="3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329,095</w:t>
            </w:r>
          </w:p>
        </w:tc>
        <w:tc>
          <w:tcPr>
            <w:tcW w:w="34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23,962</w:t>
            </w:r>
          </w:p>
        </w:tc>
        <w:tc>
          <w:tcPr>
            <w:tcW w:w="3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327,405</w:t>
            </w:r>
          </w:p>
        </w:tc>
        <w:tc>
          <w:tcPr>
            <w:tcW w:w="100" w:type="dxa"/>
            <w:vAlign w:val="bottom"/>
            <w:tcBorders>
              <w:top w:val="single" w:sz="8" w:color="EEEEEE"/>
            </w:tcBorders>
            <w:shd w:val="clear" w:color="auto" w:fill="EEEEEE"/>
          </w:tcPr>
          <w:p>
            <w:pPr>
              <w:spacing w:after="0"/>
              <w:rPr>
                <w:sz w:val="12"/>
                <w:szCs w:val="12"/>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Amount in repossession (3)</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2,733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32,383</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4,047</w:t>
            </w:r>
          </w:p>
        </w:tc>
        <w:tc>
          <w:tcPr>
            <w:tcW w:w="18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50,779</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3,779</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46,144</w:t>
            </w:r>
          </w:p>
        </w:tc>
      </w:tr>
      <w:tr>
        <w:trPr>
          <w:trHeight w:val="110"/>
        </w:trPr>
        <w:tc>
          <w:tcPr>
            <w:tcW w:w="2720" w:type="dxa"/>
            <w:vAlign w:val="bottom"/>
            <w:tcBorders>
              <w:top w:val="single" w:sz="8" w:color="EEEEEE"/>
            </w:tcBorders>
            <w:gridSpan w:val="2"/>
            <w:shd w:val="clear" w:color="auto" w:fill="EEEEEE"/>
          </w:tcPr>
          <w:p>
            <w:pPr>
              <w:spacing w:after="0" w:line="110" w:lineRule="exact"/>
              <w:rPr>
                <w:sz w:val="20"/>
                <w:szCs w:val="20"/>
                <w:color w:val="auto"/>
              </w:rPr>
            </w:pPr>
            <w:r>
              <w:rPr>
                <w:rFonts w:ascii="Arial" w:cs="Arial" w:eastAsia="Arial" w:hAnsi="Arial"/>
                <w:sz w:val="12"/>
                <w:szCs w:val="12"/>
                <w:color w:val="auto"/>
              </w:rPr>
              <w:t>Total delinquencies and amount in</w:t>
            </w:r>
          </w:p>
        </w:tc>
        <w:tc>
          <w:tcPr>
            <w:tcW w:w="1140" w:type="dxa"/>
            <w:vAlign w:val="bottom"/>
            <w:tcBorders>
              <w:top w:val="single" w:sz="8" w:color="auto"/>
            </w:tcBorders>
            <w:shd w:val="clear" w:color="auto" w:fill="EEEEEE"/>
          </w:tcPr>
          <w:p>
            <w:pPr>
              <w:spacing w:after="0"/>
              <w:rPr>
                <w:sz w:val="9"/>
                <w:szCs w:val="9"/>
                <w:color w:val="auto"/>
              </w:rPr>
            </w:pPr>
          </w:p>
        </w:tc>
        <w:tc>
          <w:tcPr>
            <w:tcW w:w="180" w:type="dxa"/>
            <w:vAlign w:val="bottom"/>
            <w:tcBorders>
              <w:top w:val="single" w:sz="8" w:color="EEEEEE"/>
            </w:tcBorders>
            <w:shd w:val="clear" w:color="auto" w:fill="EEEEEE"/>
          </w:tcPr>
          <w:p>
            <w:pPr>
              <w:spacing w:after="0"/>
              <w:rPr>
                <w:sz w:val="9"/>
                <w:szCs w:val="9"/>
                <w:color w:val="auto"/>
              </w:rPr>
            </w:pPr>
          </w:p>
        </w:tc>
        <w:tc>
          <w:tcPr>
            <w:tcW w:w="160" w:type="dxa"/>
            <w:vAlign w:val="bottom"/>
            <w:tcBorders>
              <w:top w:val="single" w:sz="8" w:color="EEEEEE"/>
            </w:tcBorders>
            <w:shd w:val="clear" w:color="auto" w:fill="EEEEEE"/>
          </w:tcPr>
          <w:p>
            <w:pPr>
              <w:spacing w:after="0"/>
              <w:rPr>
                <w:sz w:val="9"/>
                <w:szCs w:val="9"/>
                <w:color w:val="auto"/>
              </w:rPr>
            </w:pPr>
          </w:p>
        </w:tc>
        <w:tc>
          <w:tcPr>
            <w:tcW w:w="200" w:type="dxa"/>
            <w:vAlign w:val="bottom"/>
            <w:tcBorders>
              <w:top w:val="single" w:sz="8" w:color="auto"/>
            </w:tcBorders>
            <w:shd w:val="clear" w:color="auto" w:fill="EEEEEE"/>
          </w:tcPr>
          <w:p>
            <w:pPr>
              <w:spacing w:after="0"/>
              <w:rPr>
                <w:sz w:val="9"/>
                <w:szCs w:val="9"/>
                <w:color w:val="auto"/>
              </w:rPr>
            </w:pPr>
          </w:p>
        </w:tc>
        <w:tc>
          <w:tcPr>
            <w:tcW w:w="940" w:type="dxa"/>
            <w:vAlign w:val="bottom"/>
            <w:tcBorders>
              <w:top w:val="single" w:sz="8" w:color="auto"/>
            </w:tcBorders>
            <w:shd w:val="clear" w:color="auto" w:fill="EEEEEE"/>
          </w:tcPr>
          <w:p>
            <w:pPr>
              <w:spacing w:after="0"/>
              <w:rPr>
                <w:sz w:val="9"/>
                <w:szCs w:val="9"/>
                <w:color w:val="auto"/>
              </w:rPr>
            </w:pPr>
          </w:p>
        </w:tc>
        <w:tc>
          <w:tcPr>
            <w:tcW w:w="360" w:type="dxa"/>
            <w:vAlign w:val="bottom"/>
            <w:tcBorders>
              <w:top w:val="single" w:sz="8" w:color="EEEEEE"/>
            </w:tcBorders>
            <w:shd w:val="clear" w:color="auto" w:fill="EEEEEE"/>
          </w:tcPr>
          <w:p>
            <w:pPr>
              <w:spacing w:after="0"/>
              <w:rPr>
                <w:sz w:val="9"/>
                <w:szCs w:val="9"/>
                <w:color w:val="auto"/>
              </w:rPr>
            </w:pPr>
          </w:p>
        </w:tc>
        <w:tc>
          <w:tcPr>
            <w:tcW w:w="1120" w:type="dxa"/>
            <w:vAlign w:val="bottom"/>
            <w:tcBorders>
              <w:top w:val="single" w:sz="8" w:color="auto"/>
            </w:tcBorders>
            <w:shd w:val="clear" w:color="auto" w:fill="EEEEEE"/>
          </w:tcPr>
          <w:p>
            <w:pPr>
              <w:spacing w:after="0"/>
              <w:rPr>
                <w:sz w:val="9"/>
                <w:szCs w:val="9"/>
                <w:color w:val="auto"/>
              </w:rPr>
            </w:pPr>
          </w:p>
        </w:tc>
        <w:tc>
          <w:tcPr>
            <w:tcW w:w="340" w:type="dxa"/>
            <w:vAlign w:val="bottom"/>
            <w:tcBorders>
              <w:top w:val="single" w:sz="8" w:color="EEEEEE"/>
            </w:tcBorders>
            <w:shd w:val="clear" w:color="auto" w:fill="EEEEEE"/>
          </w:tcPr>
          <w:p>
            <w:pPr>
              <w:spacing w:after="0"/>
              <w:rPr>
                <w:sz w:val="9"/>
                <w:szCs w:val="9"/>
                <w:color w:val="auto"/>
              </w:rPr>
            </w:pPr>
          </w:p>
        </w:tc>
        <w:tc>
          <w:tcPr>
            <w:tcW w:w="180" w:type="dxa"/>
            <w:vAlign w:val="bottom"/>
            <w:tcBorders>
              <w:top w:val="single" w:sz="8" w:color="auto"/>
            </w:tcBorders>
            <w:shd w:val="clear" w:color="auto" w:fill="EEEEEE"/>
          </w:tcPr>
          <w:p>
            <w:pPr>
              <w:spacing w:after="0"/>
              <w:rPr>
                <w:sz w:val="9"/>
                <w:szCs w:val="9"/>
                <w:color w:val="auto"/>
              </w:rPr>
            </w:pPr>
          </w:p>
        </w:tc>
        <w:tc>
          <w:tcPr>
            <w:tcW w:w="920" w:type="dxa"/>
            <w:vAlign w:val="bottom"/>
            <w:tcBorders>
              <w:top w:val="single" w:sz="8" w:color="auto"/>
            </w:tcBorders>
            <w:shd w:val="clear" w:color="auto" w:fill="EEEEEE"/>
          </w:tcPr>
          <w:p>
            <w:pPr>
              <w:spacing w:after="0"/>
              <w:rPr>
                <w:sz w:val="9"/>
                <w:szCs w:val="9"/>
                <w:color w:val="auto"/>
              </w:rPr>
            </w:pPr>
          </w:p>
        </w:tc>
        <w:tc>
          <w:tcPr>
            <w:tcW w:w="340" w:type="dxa"/>
            <w:vAlign w:val="bottom"/>
            <w:tcBorders>
              <w:top w:val="single" w:sz="8" w:color="EEEEEE"/>
            </w:tcBorders>
            <w:shd w:val="clear" w:color="auto" w:fill="EEEEEE"/>
          </w:tcPr>
          <w:p>
            <w:pPr>
              <w:spacing w:after="0"/>
              <w:rPr>
                <w:sz w:val="9"/>
                <w:szCs w:val="9"/>
                <w:color w:val="auto"/>
              </w:rPr>
            </w:pPr>
          </w:p>
        </w:tc>
        <w:tc>
          <w:tcPr>
            <w:tcW w:w="1100" w:type="dxa"/>
            <w:vAlign w:val="bottom"/>
            <w:tcBorders>
              <w:top w:val="single" w:sz="8" w:color="auto"/>
            </w:tcBorders>
            <w:shd w:val="clear" w:color="auto" w:fill="EEEEEE"/>
          </w:tcPr>
          <w:p>
            <w:pPr>
              <w:spacing w:after="0"/>
              <w:rPr>
                <w:sz w:val="9"/>
                <w:szCs w:val="9"/>
                <w:color w:val="auto"/>
              </w:rPr>
            </w:pPr>
          </w:p>
        </w:tc>
        <w:tc>
          <w:tcPr>
            <w:tcW w:w="320" w:type="dxa"/>
            <w:vAlign w:val="bottom"/>
            <w:tcBorders>
              <w:top w:val="single" w:sz="8" w:color="EEEEEE"/>
            </w:tcBorders>
            <w:shd w:val="clear" w:color="auto" w:fill="EEEEEE"/>
          </w:tcPr>
          <w:p>
            <w:pPr>
              <w:spacing w:after="0"/>
              <w:rPr>
                <w:sz w:val="9"/>
                <w:szCs w:val="9"/>
                <w:color w:val="auto"/>
              </w:rPr>
            </w:pPr>
          </w:p>
        </w:tc>
        <w:tc>
          <w:tcPr>
            <w:tcW w:w="200" w:type="dxa"/>
            <w:vAlign w:val="bottom"/>
            <w:tcBorders>
              <w:top w:val="single" w:sz="8" w:color="auto"/>
            </w:tcBorders>
            <w:shd w:val="clear" w:color="auto" w:fill="EEEEEE"/>
          </w:tcPr>
          <w:p>
            <w:pPr>
              <w:spacing w:after="0"/>
              <w:rPr>
                <w:sz w:val="9"/>
                <w:szCs w:val="9"/>
                <w:color w:val="auto"/>
              </w:rPr>
            </w:pPr>
          </w:p>
        </w:tc>
        <w:tc>
          <w:tcPr>
            <w:tcW w:w="920" w:type="dxa"/>
            <w:vAlign w:val="bottom"/>
            <w:tcBorders>
              <w:top w:val="single" w:sz="8" w:color="auto"/>
            </w:tcBorders>
            <w:shd w:val="clear" w:color="auto" w:fill="EEEEEE"/>
          </w:tcPr>
          <w:p>
            <w:pPr>
              <w:spacing w:after="0"/>
              <w:rPr>
                <w:sz w:val="9"/>
                <w:szCs w:val="9"/>
                <w:color w:val="auto"/>
              </w:rPr>
            </w:pPr>
          </w:p>
        </w:tc>
        <w:tc>
          <w:tcPr>
            <w:tcW w:w="100" w:type="dxa"/>
            <w:vAlign w:val="bottom"/>
            <w:tcBorders>
              <w:top w:val="single" w:sz="8" w:color="EEEEEE"/>
            </w:tcBorders>
            <w:shd w:val="clear" w:color="auto" w:fill="EEEEEE"/>
          </w:tcPr>
          <w:p>
            <w:pPr>
              <w:spacing w:after="0"/>
              <w:rPr>
                <w:sz w:val="9"/>
                <w:szCs w:val="9"/>
                <w:color w:val="auto"/>
              </w:rPr>
            </w:pPr>
          </w:p>
        </w:tc>
      </w:tr>
      <w:tr>
        <w:trPr>
          <w:trHeight w:val="194"/>
        </w:trPr>
        <w:tc>
          <w:tcPr>
            <w:tcW w:w="2720" w:type="dxa"/>
            <w:vAlign w:val="bottom"/>
            <w:gridSpan w:val="2"/>
            <w:shd w:val="clear" w:color="auto" w:fill="EEEEEE"/>
          </w:tcPr>
          <w:p>
            <w:pPr>
              <w:ind w:left="100"/>
              <w:spacing w:after="0"/>
              <w:rPr>
                <w:sz w:val="20"/>
                <w:szCs w:val="20"/>
                <w:color w:val="auto"/>
              </w:rPr>
            </w:pPr>
            <w:r>
              <w:rPr>
                <w:rFonts w:ascii="Arial" w:cs="Arial" w:eastAsia="Arial" w:hAnsi="Arial"/>
                <w:sz w:val="14"/>
                <w:szCs w:val="14"/>
                <w:color w:val="auto"/>
              </w:rPr>
              <w:t>repossession (2)</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17,800</w:t>
            </w:r>
          </w:p>
        </w:tc>
        <w:tc>
          <w:tcPr>
            <w:tcW w:w="3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231,497</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28,086</w:t>
            </w:r>
          </w:p>
        </w:tc>
        <w:tc>
          <w:tcPr>
            <w:tcW w:w="180" w:type="dxa"/>
            <w:vAlign w:val="bottom"/>
            <w:shd w:val="clear" w:color="auto" w:fill="EEEEEE"/>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379,874</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27,741</w:t>
            </w:r>
          </w:p>
        </w:tc>
        <w:tc>
          <w:tcPr>
            <w:tcW w:w="200" w:type="dxa"/>
            <w:vAlign w:val="bottom"/>
            <w:shd w:val="clear" w:color="auto" w:fill="EEEEEE"/>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373,549</w:t>
            </w:r>
          </w:p>
        </w:tc>
      </w:tr>
      <w:tr>
        <w:trPr>
          <w:trHeight w:val="20"/>
        </w:trPr>
        <w:tc>
          <w:tcPr>
            <w:tcW w:w="2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688" w:right="339" w:bottom="1440" w:gutter="0" w:footer="0" w:header="0"/>
        </w:sectPr>
      </w:pPr>
    </w:p>
    <w:p>
      <w:pPr>
        <w:ind w:left="100" w:right="20" w:hanging="89"/>
        <w:spacing w:after="0" w:line="253" w:lineRule="auto"/>
        <w:rPr>
          <w:sz w:val="20"/>
          <w:szCs w:val="20"/>
          <w:color w:val="auto"/>
        </w:rPr>
      </w:pPr>
      <w:r>
        <w:rPr>
          <w:rFonts w:ascii="Arial" w:cs="Arial" w:eastAsia="Arial" w:hAnsi="Arial"/>
          <w:sz w:val="14"/>
          <w:szCs w:val="14"/>
          <w:color w:val="auto"/>
        </w:rPr>
        <w:t>Delinquencies as a percentage of gross servicing portfolio</w:t>
      </w:r>
    </w:p>
    <w:p>
      <w:pPr>
        <w:spacing w:after="0" w:line="147" w:lineRule="exact"/>
        <w:rPr>
          <w:sz w:val="20"/>
          <w:szCs w:val="20"/>
          <w:color w:val="auto"/>
        </w:rPr>
      </w:pPr>
    </w:p>
    <w:p>
      <w:pPr>
        <w:ind w:left="100" w:right="20" w:hanging="89"/>
        <w:spacing w:after="0" w:line="238" w:lineRule="auto"/>
        <w:rPr>
          <w:sz w:val="20"/>
          <w:szCs w:val="20"/>
          <w:color w:val="auto"/>
        </w:rPr>
      </w:pPr>
      <w:r>
        <w:rPr>
          <w:rFonts w:ascii="Arial" w:cs="Arial" w:eastAsia="Arial" w:hAnsi="Arial"/>
          <w:sz w:val="14"/>
          <w:szCs w:val="14"/>
          <w:color w:val="auto"/>
        </w:rPr>
        <w:t>Total delinquencies and amount in repossession as a percentage of gross servicing portfolio</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Extension Experience</w:t>
      </w:r>
    </w:p>
    <w:p>
      <w:pPr>
        <w:spacing w:after="0"/>
        <w:rPr>
          <w:sz w:val="20"/>
          <w:szCs w:val="20"/>
          <w:color w:val="auto"/>
        </w:rPr>
      </w:pPr>
      <w:r>
        <w:rPr>
          <w:rFonts w:ascii="Arial" w:cs="Arial" w:eastAsia="Arial" w:hAnsi="Arial"/>
          <w:sz w:val="13"/>
          <w:szCs w:val="13"/>
          <w:color w:val="auto"/>
        </w:rPr>
        <w:t>Contracts with one extension, accruing</w:t>
      </w:r>
    </w:p>
    <w:p>
      <w:pPr>
        <w:spacing w:after="0" w:line="28" w:lineRule="exact"/>
        <w:rPr>
          <w:sz w:val="20"/>
          <w:szCs w:val="20"/>
          <w:color w:val="auto"/>
        </w:rPr>
      </w:pPr>
    </w:p>
    <w:p>
      <w:pPr>
        <w:ind w:left="100" w:hanging="89"/>
        <w:spacing w:after="0" w:line="253" w:lineRule="auto"/>
        <w:rPr>
          <w:sz w:val="20"/>
          <w:szCs w:val="20"/>
          <w:color w:val="auto"/>
        </w:rPr>
      </w:pPr>
      <w:r>
        <w:rPr>
          <w:rFonts w:ascii="Arial" w:cs="Arial" w:eastAsia="Arial" w:hAnsi="Arial"/>
          <w:sz w:val="14"/>
          <w:szCs w:val="14"/>
          <w:color w:val="auto"/>
        </w:rPr>
        <w:t>Contracts with two or more extensions, accruing</w:t>
      </w:r>
    </w:p>
    <w:p>
      <w:pPr>
        <w:spacing w:after="0" w:line="309" w:lineRule="exact"/>
        <w:rPr>
          <w:sz w:val="20"/>
          <w:szCs w:val="20"/>
          <w:color w:val="auto"/>
        </w:rPr>
      </w:pPr>
    </w:p>
    <w:p>
      <w:pPr>
        <w:ind w:left="100" w:right="240" w:hanging="89"/>
        <w:spacing w:after="0" w:line="251" w:lineRule="auto"/>
        <w:rPr>
          <w:sz w:val="20"/>
          <w:szCs w:val="20"/>
          <w:color w:val="auto"/>
        </w:rPr>
      </w:pPr>
      <w:r>
        <w:rPr>
          <w:rFonts w:ascii="Arial" w:cs="Arial" w:eastAsia="Arial" w:hAnsi="Arial"/>
          <w:sz w:val="14"/>
          <w:szCs w:val="14"/>
          <w:color w:val="auto"/>
        </w:rPr>
        <w:t>Contracts with one extension, non-accrual (4)</w:t>
      </w:r>
    </w:p>
    <w:p>
      <w:pPr>
        <w:spacing w:after="0" w:line="1" w:lineRule="exact"/>
        <w:rPr>
          <w:sz w:val="20"/>
          <w:szCs w:val="20"/>
          <w:color w:val="auto"/>
        </w:rPr>
      </w:pPr>
    </w:p>
    <w:p>
      <w:pPr>
        <w:ind w:left="100" w:hanging="89"/>
        <w:spacing w:after="0" w:line="253" w:lineRule="auto"/>
        <w:rPr>
          <w:sz w:val="20"/>
          <w:szCs w:val="20"/>
          <w:color w:val="auto"/>
        </w:rPr>
      </w:pPr>
      <w:r>
        <w:rPr>
          <w:rFonts w:ascii="Arial" w:cs="Arial" w:eastAsia="Arial" w:hAnsi="Arial"/>
          <w:sz w:val="14"/>
          <w:szCs w:val="14"/>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8.8%</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13.5%</w:t>
            </w:r>
          </w:p>
        </w:tc>
        <w:tc>
          <w:tcPr>
            <w:tcW w:w="3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13.6%</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13.5%</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634"/>
        </w:trPr>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10.6%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10.3%</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15.8%</w:t>
            </w:r>
          </w:p>
        </w:tc>
        <w:tc>
          <w:tcPr>
            <w:tcW w:w="3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15.7%</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15.6%</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486"/>
        </w:trPr>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30,912</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441,306</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25,036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337,383</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27,677</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385,673</w:t>
            </w:r>
          </w:p>
        </w:tc>
      </w:tr>
      <w:tr>
        <w:trPr>
          <w:trHeight w:val="323"/>
        </w:trPr>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56,204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675,607</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54,182</w:t>
            </w:r>
          </w:p>
        </w:tc>
        <w:tc>
          <w:tcPr>
            <w:tcW w:w="3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681,939</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54,440</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673,918</w:t>
            </w:r>
          </w:p>
        </w:tc>
      </w:tr>
      <w:tr>
        <w:trPr>
          <w:trHeight w:val="176"/>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87,116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1,116,913</w:t>
            </w:r>
          </w:p>
        </w:tc>
        <w:tc>
          <w:tcPr>
            <w:tcW w:w="36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79,218</w:t>
            </w:r>
          </w:p>
        </w:tc>
        <w:tc>
          <w:tcPr>
            <w:tcW w:w="3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1,019,322</w:t>
            </w:r>
          </w:p>
        </w:tc>
        <w:tc>
          <w:tcPr>
            <w:tcW w:w="34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82,117</w:t>
            </w: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1,059,591</w:t>
            </w:r>
          </w:p>
        </w:tc>
      </w:tr>
      <w:tr>
        <w:trPr>
          <w:trHeight w:val="467"/>
        </w:trPr>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761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9,872</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1,084</w:t>
            </w:r>
          </w:p>
        </w:tc>
        <w:tc>
          <w:tcPr>
            <w:tcW w:w="3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13,636</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1,130</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14,528</w:t>
            </w:r>
          </w:p>
        </w:tc>
      </w:tr>
      <w:tr>
        <w:trPr>
          <w:trHeight w:val="323"/>
        </w:trPr>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2,505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28,126</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4,435</w:t>
            </w:r>
          </w:p>
        </w:tc>
        <w:tc>
          <w:tcPr>
            <w:tcW w:w="3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56,347</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4,441</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-1765300</wp:posOffset>
            </wp:positionV>
            <wp:extent cx="71323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-1456690</wp:posOffset>
            </wp:positionV>
            <wp:extent cx="713232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-1054100</wp:posOffset>
            </wp:positionV>
            <wp:extent cx="71323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-839470</wp:posOffset>
            </wp:positionV>
            <wp:extent cx="71323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-521970</wp:posOffset>
            </wp:positionV>
            <wp:extent cx="7132320"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-213995</wp:posOffset>
            </wp:positionV>
            <wp:extent cx="713232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260" w:space="460"/>
            <w:col w:w="85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7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3,266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37,998</w:t>
            </w:r>
          </w:p>
        </w:tc>
        <w:tc>
          <w:tcPr>
            <w:tcW w:w="36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5,519</w:t>
            </w: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69,983</w:t>
            </w:r>
          </w:p>
        </w:tc>
        <w:tc>
          <w:tcPr>
            <w:tcW w:w="34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5,571</w:t>
            </w: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69,964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EEEEEE"/>
          </w:tcPr>
          <w:p>
            <w:pPr>
              <w:spacing w:after="0"/>
              <w:rPr>
                <w:sz w:val="14"/>
                <w:szCs w:val="14"/>
                <w:color w:val="auto"/>
              </w:rPr>
            </w:pPr>
          </w:p>
        </w:tc>
        <w:tc>
          <w:tcPr>
            <w:tcW w:w="1140" w:type="dxa"/>
            <w:vAlign w:val="bottom"/>
            <w:tcBorders>
              <w:bottom w:val="single" w:sz="8" w:color="auto"/>
            </w:tcBorders>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320" w:type="dxa"/>
            <w:vAlign w:val="bottom"/>
            <w:tcBorders>
              <w:bottom w:val="single" w:sz="8" w:color="auto"/>
            </w:tcBorders>
            <w:shd w:val="clear" w:color="auto" w:fill="EEEEEE"/>
          </w:tcPr>
          <w:p>
            <w:pPr>
              <w:spacing w:after="0"/>
              <w:rPr>
                <w:sz w:val="14"/>
                <w:szCs w:val="14"/>
                <w:color w:val="auto"/>
              </w:rPr>
            </w:pPr>
          </w:p>
        </w:tc>
        <w:tc>
          <w:tcPr>
            <w:tcW w:w="820" w:type="dxa"/>
            <w:vAlign w:val="bottom"/>
            <w:tcBorders>
              <w:bottom w:val="single" w:sz="8" w:color="auto"/>
            </w:tcBorders>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1120" w:type="dxa"/>
            <w:vAlign w:val="bottom"/>
            <w:tcBorders>
              <w:bottom w:val="single" w:sz="8" w:color="auto"/>
            </w:tcBorders>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300" w:type="dxa"/>
            <w:vAlign w:val="bottom"/>
            <w:tcBorders>
              <w:bottom w:val="single" w:sz="8" w:color="auto"/>
            </w:tcBorders>
            <w:shd w:val="clear" w:color="auto" w:fill="EEEEEE"/>
          </w:tcPr>
          <w:p>
            <w:pPr>
              <w:spacing w:after="0"/>
              <w:rPr>
                <w:sz w:val="14"/>
                <w:szCs w:val="14"/>
                <w:color w:val="auto"/>
              </w:rPr>
            </w:pPr>
          </w:p>
        </w:tc>
        <w:tc>
          <w:tcPr>
            <w:tcW w:w="800" w:type="dxa"/>
            <w:vAlign w:val="bottom"/>
            <w:tcBorders>
              <w:bottom w:val="single" w:sz="8" w:color="auto"/>
            </w:tcBorders>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110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300" w:type="dxa"/>
            <w:vAlign w:val="bottom"/>
            <w:tcBorders>
              <w:bottom w:val="single" w:sz="8" w:color="auto"/>
            </w:tcBorders>
            <w:shd w:val="clear" w:color="auto" w:fill="EEEEEE"/>
          </w:tcPr>
          <w:p>
            <w:pPr>
              <w:spacing w:after="0"/>
              <w:rPr>
                <w:sz w:val="14"/>
                <w:szCs w:val="14"/>
                <w:color w:val="auto"/>
              </w:rPr>
            </w:pPr>
          </w:p>
        </w:tc>
        <w:tc>
          <w:tcPr>
            <w:tcW w:w="82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line="155" w:lineRule="exact"/>
              <w:rPr>
                <w:sz w:val="20"/>
                <w:szCs w:val="20"/>
                <w:color w:val="auto"/>
              </w:rPr>
            </w:pPr>
            <w:r>
              <w:rPr>
                <w:rFonts w:ascii="Arial" w:cs="Arial" w:eastAsia="Arial" w:hAnsi="Arial"/>
                <w:sz w:val="14"/>
                <w:szCs w:val="14"/>
                <w:color w:val="auto"/>
              </w:rPr>
              <w:t>Total contracts with extensions</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90,382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1,154,911</w:t>
            </w:r>
          </w:p>
        </w:tc>
        <w:tc>
          <w:tcPr>
            <w:tcW w:w="36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84,737</w:t>
            </w:r>
          </w:p>
        </w:tc>
        <w:tc>
          <w:tcPr>
            <w:tcW w:w="3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1,089,305</w:t>
            </w:r>
          </w:p>
        </w:tc>
        <w:tc>
          <w:tcPr>
            <w:tcW w:w="34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87,688</w:t>
            </w:r>
          </w:p>
        </w:tc>
        <w:tc>
          <w:tcPr>
            <w:tcW w:w="3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1,129,555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w w:val="74"/>
              </w:rPr>
              <w:t>____________________________________</w:t>
            </w: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7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6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89"/>
              </w:rPr>
              <w:t>Finance Receivables Portfolio</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9"/>
                <w:szCs w:val="19"/>
                <w:color w:val="auto"/>
              </w:rPr>
            </w:pPr>
          </w:p>
        </w:tc>
        <w:tc>
          <w:tcPr>
            <w:tcW w:w="15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624,532</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1,105,087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1,192,484</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426"/>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Fair Value Receivables Portfolio</w:t>
            </w: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9"/>
                <w:szCs w:val="19"/>
                <w:color w:val="auto"/>
              </w:rPr>
            </w:pPr>
          </w:p>
        </w:tc>
        <w:tc>
          <w:tcPr>
            <w:tcW w:w="15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1,646,022</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1,304,012</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1,212,226</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426"/>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Total Managed Portfolio</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9"/>
                <w:szCs w:val="19"/>
                <w:color w:val="auto"/>
              </w:rPr>
            </w:pPr>
          </w:p>
        </w:tc>
        <w:tc>
          <w:tcPr>
            <w:tcW w:w="15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2,270,554</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2,409,099</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2,404,710</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6.4%</w:t>
            </w:r>
          </w:p>
        </w:tc>
        <w:tc>
          <w:tcPr>
            <w:tcW w:w="440" w:type="dxa"/>
            <w:vAlign w:val="bottom"/>
          </w:tcPr>
          <w:p>
            <w:pPr>
              <w:spacing w:after="0"/>
              <w:rPr>
                <w:sz w:val="17"/>
                <w:szCs w:val="17"/>
                <w:color w:val="auto"/>
              </w:rPr>
            </w:pPr>
          </w:p>
        </w:tc>
        <w:tc>
          <w:tcPr>
            <w:tcW w:w="15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13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8.0%</w:t>
            </w:r>
          </w:p>
        </w:tc>
      </w:tr>
      <w:tr>
        <w:trPr>
          <w:trHeight w:val="230"/>
        </w:trPr>
        <w:tc>
          <w:tcPr>
            <w:tcW w:w="598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1"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95" w:lineRule="auto"/>
        <w:tabs>
          <w:tab w:leader="none" w:pos="257"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2020 and September 30, 2019 percentages represent three months ended September 30, 2020 and September 30, 2019 annualized. December 31, 2019 represents 12 months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54" w:lineRule="auto"/>
        <w:rPr>
          <w:sz w:val="20"/>
          <w:szCs w:val="20"/>
          <w:color w:val="auto"/>
        </w:rPr>
      </w:pPr>
      <w:r>
        <w:rPr>
          <w:rFonts w:ascii="Arial" w:cs="Arial" w:eastAsia="Arial" w:hAnsi="Arial"/>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September 30, 2020, for accounts that received extensions from 2008 through 2019 (2020 extension data are not included at this time due to insufficient passage of time for meaningful evaluation of results):</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Active or Paid</w:t>
            </w:r>
          </w:p>
        </w:tc>
        <w:tc>
          <w:tcPr>
            <w:tcW w:w="2560" w:type="dxa"/>
            <w:vAlign w:val="bottom"/>
            <w:gridSpan w:val="10"/>
          </w:tcPr>
          <w:p>
            <w:pPr>
              <w:jc w:val="right"/>
              <w:ind w:right="100"/>
              <w:spacing w:after="0"/>
              <w:rPr>
                <w:sz w:val="20"/>
                <w:szCs w:val="20"/>
                <w:color w:val="auto"/>
              </w:rPr>
            </w:pPr>
            <w:r>
              <w:rPr>
                <w:rFonts w:ascii="Arial" w:cs="Arial" w:eastAsia="Arial" w:hAnsi="Arial"/>
                <w:sz w:val="18"/>
                <w:szCs w:val="18"/>
                <w:color w:val="auto"/>
                <w:w w:val="91"/>
              </w:rPr>
              <w:t>% Active or Paid Charged Off &gt; 6</w:t>
            </w:r>
          </w:p>
        </w:tc>
        <w:tc>
          <w:tcPr>
            <w:tcW w:w="118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 Charged Off</w:t>
            </w:r>
          </w:p>
        </w:tc>
        <w:tc>
          <w:tcPr>
            <w:tcW w:w="132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Charged Off &lt;=</w:t>
            </w:r>
          </w:p>
        </w:tc>
        <w:tc>
          <w:tcPr>
            <w:tcW w:w="1260" w:type="dxa"/>
            <w:vAlign w:val="bottom"/>
            <w:gridSpan w:val="4"/>
          </w:tcPr>
          <w:p>
            <w:pPr>
              <w:jc w:val="center"/>
              <w:ind w:right="160"/>
              <w:spacing w:after="0"/>
              <w:rPr>
                <w:sz w:val="20"/>
                <w:szCs w:val="20"/>
                <w:color w:val="auto"/>
              </w:rPr>
            </w:pPr>
            <w:r>
              <w:rPr>
                <w:rFonts w:ascii="Arial" w:cs="Arial" w:eastAsia="Arial" w:hAnsi="Arial"/>
                <w:sz w:val="18"/>
                <w:szCs w:val="18"/>
                <w:color w:val="auto"/>
                <w:w w:val="92"/>
              </w:rPr>
              <w:t>% Charged Off</w:t>
            </w:r>
          </w:p>
        </w:tc>
        <w:tc>
          <w:tcPr>
            <w:tcW w:w="100" w:type="dxa"/>
            <w:vAlign w:val="bottom"/>
          </w:tcPr>
          <w:p>
            <w:pPr>
              <w:spacing w:after="0"/>
              <w:rPr>
                <w:sz w:val="17"/>
                <w:szCs w:val="17"/>
                <w:color w:val="auto"/>
              </w:rPr>
            </w:pPr>
          </w:p>
        </w:tc>
        <w:tc>
          <w:tcPr>
            <w:tcW w:w="1120" w:type="dxa"/>
            <w:vAlign w:val="bottom"/>
            <w:gridSpan w:val="4"/>
          </w:tcPr>
          <w:p>
            <w:pPr>
              <w:jc w:val="center"/>
              <w:ind w:right="40"/>
              <w:spacing w:after="0"/>
              <w:rPr>
                <w:sz w:val="20"/>
                <w:szCs w:val="20"/>
                <w:color w:val="auto"/>
              </w:rPr>
            </w:pPr>
            <w:r>
              <w:rPr>
                <w:rFonts w:ascii="Arial" w:cs="Arial" w:eastAsia="Arial" w:hAnsi="Arial"/>
                <w:sz w:val="18"/>
                <w:szCs w:val="18"/>
                <w:color w:val="auto"/>
                <w:w w:val="93"/>
              </w:rPr>
              <w:t>Avg Months to</w:t>
            </w:r>
          </w:p>
        </w:tc>
      </w:tr>
      <w:tr>
        <w:trPr>
          <w:trHeight w:val="20"/>
        </w:trPr>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1"/>
              </w:rPr>
              <w:t>Period of</w:t>
            </w:r>
          </w:p>
        </w:tc>
        <w:tc>
          <w:tcPr>
            <w:tcW w:w="126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89"/>
              </w:rPr>
              <w:t># Extensions</w:t>
            </w:r>
          </w:p>
        </w:tc>
        <w:tc>
          <w:tcPr>
            <w:tcW w:w="2520" w:type="dxa"/>
            <w:vAlign w:val="bottom"/>
            <w:gridSpan w:val="9"/>
          </w:tcPr>
          <w:p>
            <w:pPr>
              <w:jc w:val="right"/>
              <w:ind w:right="40"/>
              <w:spacing w:after="0" w:line="196" w:lineRule="exact"/>
              <w:rPr>
                <w:sz w:val="20"/>
                <w:szCs w:val="20"/>
                <w:color w:val="auto"/>
              </w:rPr>
            </w:pPr>
            <w:r>
              <w:rPr>
                <w:rFonts w:ascii="Arial" w:cs="Arial" w:eastAsia="Arial" w:hAnsi="Arial"/>
                <w:sz w:val="18"/>
                <w:szCs w:val="18"/>
                <w:color w:val="auto"/>
                <w:w w:val="89"/>
              </w:rPr>
              <w:t>Off at SeptemberOff at September</w:t>
            </w:r>
          </w:p>
        </w:tc>
        <w:tc>
          <w:tcPr>
            <w:tcW w:w="100" w:type="dxa"/>
            <w:vAlign w:val="bottom"/>
          </w:tcPr>
          <w:p>
            <w:pPr>
              <w:spacing w:after="0"/>
              <w:rPr>
                <w:sz w:val="17"/>
                <w:szCs w:val="17"/>
                <w:color w:val="auto"/>
              </w:rPr>
            </w:pPr>
          </w:p>
        </w:tc>
        <w:tc>
          <w:tcPr>
            <w:tcW w:w="1180" w:type="dxa"/>
            <w:vAlign w:val="bottom"/>
            <w:gridSpan w:val="5"/>
          </w:tcPr>
          <w:p>
            <w:pPr>
              <w:jc w:val="right"/>
              <w:ind w:right="200"/>
              <w:spacing w:after="0" w:line="196" w:lineRule="exact"/>
              <w:rPr>
                <w:sz w:val="20"/>
                <w:szCs w:val="20"/>
                <w:color w:val="auto"/>
              </w:rPr>
            </w:pPr>
            <w:r>
              <w:rPr>
                <w:rFonts w:ascii="Arial" w:cs="Arial" w:eastAsia="Arial" w:hAnsi="Arial"/>
                <w:sz w:val="18"/>
                <w:szCs w:val="18"/>
                <w:color w:val="auto"/>
                <w:w w:val="94"/>
              </w:rPr>
              <w:t>Months After</w:t>
            </w:r>
          </w:p>
        </w:tc>
        <w:tc>
          <w:tcPr>
            <w:tcW w:w="120" w:type="dxa"/>
            <w:vAlign w:val="bottom"/>
          </w:tcPr>
          <w:p>
            <w:pPr>
              <w:spacing w:after="0"/>
              <w:rPr>
                <w:sz w:val="17"/>
                <w:szCs w:val="17"/>
                <w:color w:val="auto"/>
              </w:rPr>
            </w:pPr>
          </w:p>
        </w:tc>
        <w:tc>
          <w:tcPr>
            <w:tcW w:w="1060" w:type="dxa"/>
            <w:vAlign w:val="bottom"/>
            <w:gridSpan w:val="3"/>
          </w:tcPr>
          <w:p>
            <w:pPr>
              <w:jc w:val="center"/>
              <w:ind w:right="220"/>
              <w:spacing w:after="0" w:line="196" w:lineRule="exact"/>
              <w:rPr>
                <w:sz w:val="20"/>
                <w:szCs w:val="20"/>
                <w:color w:val="auto"/>
              </w:rPr>
            </w:pPr>
            <w:r>
              <w:rPr>
                <w:rFonts w:ascii="Arial" w:cs="Arial" w:eastAsia="Arial" w:hAnsi="Arial"/>
                <w:sz w:val="18"/>
                <w:szCs w:val="18"/>
                <w:color w:val="auto"/>
                <w:w w:val="93"/>
              </w:rPr>
              <w:t>&gt; 6 Months</w:t>
            </w:r>
          </w:p>
        </w:tc>
        <w:tc>
          <w:tcPr>
            <w:tcW w:w="40" w:type="dxa"/>
            <w:vAlign w:val="bottom"/>
          </w:tcPr>
          <w:p>
            <w:pPr>
              <w:spacing w:after="0"/>
              <w:rPr>
                <w:sz w:val="17"/>
                <w:szCs w:val="17"/>
                <w:color w:val="auto"/>
              </w:rPr>
            </w:pPr>
          </w:p>
        </w:tc>
        <w:tc>
          <w:tcPr>
            <w:tcW w:w="1280" w:type="dxa"/>
            <w:vAlign w:val="bottom"/>
            <w:gridSpan w:val="4"/>
          </w:tcPr>
          <w:p>
            <w:pPr>
              <w:jc w:val="center"/>
              <w:ind w:right="180"/>
              <w:spacing w:after="0" w:line="196" w:lineRule="exact"/>
              <w:rPr>
                <w:sz w:val="20"/>
                <w:szCs w:val="20"/>
                <w:color w:val="auto"/>
              </w:rPr>
            </w:pPr>
            <w:r>
              <w:rPr>
                <w:rFonts w:ascii="Arial" w:cs="Arial" w:eastAsia="Arial" w:hAnsi="Arial"/>
                <w:sz w:val="18"/>
                <w:szCs w:val="18"/>
                <w:color w:val="auto"/>
                <w:w w:val="93"/>
              </w:rPr>
              <w:t>6 Months After</w:t>
            </w:r>
          </w:p>
        </w:tc>
        <w:tc>
          <w:tcPr>
            <w:tcW w:w="1260" w:type="dxa"/>
            <w:vAlign w:val="bottom"/>
            <w:gridSpan w:val="4"/>
          </w:tcPr>
          <w:p>
            <w:pPr>
              <w:jc w:val="center"/>
              <w:ind w:right="160"/>
              <w:spacing w:after="0" w:line="196" w:lineRule="exact"/>
              <w:rPr>
                <w:sz w:val="20"/>
                <w:szCs w:val="20"/>
                <w:color w:val="auto"/>
              </w:rPr>
            </w:pPr>
            <w:r>
              <w:rPr>
                <w:rFonts w:ascii="Arial" w:cs="Arial" w:eastAsia="Arial" w:hAnsi="Arial"/>
                <w:sz w:val="18"/>
                <w:szCs w:val="18"/>
                <w:color w:val="auto"/>
                <w:w w:val="93"/>
              </w:rPr>
              <w:t>&lt;= 6 Months</w:t>
            </w:r>
          </w:p>
        </w:tc>
        <w:tc>
          <w:tcPr>
            <w:tcW w:w="122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89"/>
              </w:rPr>
              <w:t>Charge Off Post</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196"/>
        </w:trPr>
        <w:tc>
          <w:tcPr>
            <w:tcW w:w="6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Extension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9"/>
              </w:rPr>
              <w:t>Granted</w:t>
            </w:r>
          </w:p>
        </w:tc>
        <w:tc>
          <w:tcPr>
            <w:tcW w:w="320" w:type="dxa"/>
            <w:vAlign w:val="bottom"/>
            <w:gridSpan w:val="2"/>
          </w:tcPr>
          <w:p>
            <w:pPr>
              <w:spacing w:after="0"/>
              <w:rPr>
                <w:sz w:val="17"/>
                <w:szCs w:val="17"/>
                <w:color w:val="auto"/>
              </w:rPr>
            </w:pPr>
          </w:p>
        </w:tc>
        <w:tc>
          <w:tcPr>
            <w:tcW w:w="1140" w:type="dxa"/>
            <w:vAlign w:val="bottom"/>
            <w:gridSpan w:val="4"/>
          </w:tcPr>
          <w:p>
            <w:pPr>
              <w:jc w:val="right"/>
              <w:ind w:right="200"/>
              <w:spacing w:after="0" w:line="196" w:lineRule="exact"/>
              <w:rPr>
                <w:sz w:val="20"/>
                <w:szCs w:val="20"/>
                <w:color w:val="auto"/>
              </w:rPr>
            </w:pPr>
            <w:r>
              <w:rPr>
                <w:rFonts w:ascii="Arial" w:cs="Arial" w:eastAsia="Arial" w:hAnsi="Arial"/>
                <w:sz w:val="18"/>
                <w:szCs w:val="18"/>
                <w:color w:val="auto"/>
              </w:rPr>
              <w:t>30, 2020</w:t>
            </w:r>
          </w:p>
        </w:tc>
        <w:tc>
          <w:tcPr>
            <w:tcW w:w="100" w:type="dxa"/>
            <w:vAlign w:val="bottom"/>
          </w:tcPr>
          <w:p>
            <w:pPr>
              <w:spacing w:after="0"/>
              <w:rPr>
                <w:sz w:val="17"/>
                <w:szCs w:val="17"/>
                <w:color w:val="auto"/>
              </w:rPr>
            </w:pPr>
          </w:p>
        </w:tc>
        <w:tc>
          <w:tcPr>
            <w:tcW w:w="1240" w:type="dxa"/>
            <w:vAlign w:val="bottom"/>
            <w:gridSpan w:val="3"/>
          </w:tcPr>
          <w:p>
            <w:pPr>
              <w:jc w:val="right"/>
              <w:ind w:right="300"/>
              <w:spacing w:after="0" w:line="196" w:lineRule="exact"/>
              <w:rPr>
                <w:sz w:val="20"/>
                <w:szCs w:val="20"/>
                <w:color w:val="auto"/>
              </w:rPr>
            </w:pPr>
            <w:r>
              <w:rPr>
                <w:rFonts w:ascii="Arial" w:cs="Arial" w:eastAsia="Arial" w:hAnsi="Arial"/>
                <w:sz w:val="18"/>
                <w:szCs w:val="18"/>
                <w:color w:val="auto"/>
              </w:rPr>
              <w:t>30, 2020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340"/>
              <w:spacing w:after="0" w:line="196" w:lineRule="exact"/>
              <w:rPr>
                <w:sz w:val="20"/>
                <w:szCs w:val="20"/>
                <w:color w:val="auto"/>
              </w:rPr>
            </w:pPr>
            <w:r>
              <w:rPr>
                <w:rFonts w:ascii="Arial" w:cs="Arial" w:eastAsia="Arial" w:hAnsi="Arial"/>
                <w:sz w:val="18"/>
                <w:szCs w:val="18"/>
                <w:color w:val="auto"/>
                <w:w w:val="88"/>
              </w:rPr>
              <w:t>Extension</w:t>
            </w:r>
          </w:p>
        </w:tc>
        <w:tc>
          <w:tcPr>
            <w:tcW w:w="1180" w:type="dxa"/>
            <w:vAlign w:val="bottom"/>
            <w:gridSpan w:val="4"/>
          </w:tcPr>
          <w:p>
            <w:pPr>
              <w:jc w:val="center"/>
              <w:ind w:right="60"/>
              <w:spacing w:after="0" w:line="196" w:lineRule="exact"/>
              <w:rPr>
                <w:sz w:val="20"/>
                <w:szCs w:val="20"/>
                <w:color w:val="auto"/>
              </w:rPr>
            </w:pPr>
            <w:r>
              <w:rPr>
                <w:rFonts w:ascii="Arial" w:cs="Arial" w:eastAsia="Arial" w:hAnsi="Arial"/>
                <w:sz w:val="18"/>
                <w:szCs w:val="18"/>
                <w:color w:val="auto"/>
                <w:w w:val="91"/>
              </w:rPr>
              <w:t>After Extension</w:t>
            </w:r>
          </w:p>
        </w:tc>
        <w:tc>
          <w:tcPr>
            <w:tcW w:w="40" w:type="dxa"/>
            <w:vAlign w:val="bottom"/>
          </w:tcPr>
          <w:p>
            <w:pPr>
              <w:spacing w:after="0"/>
              <w:rPr>
                <w:sz w:val="17"/>
                <w:szCs w:val="17"/>
                <w:color w:val="auto"/>
              </w:rPr>
            </w:pPr>
          </w:p>
        </w:tc>
        <w:tc>
          <w:tcPr>
            <w:tcW w:w="1280" w:type="dxa"/>
            <w:vAlign w:val="bottom"/>
            <w:gridSpan w:val="4"/>
          </w:tcPr>
          <w:p>
            <w:pPr>
              <w:jc w:val="center"/>
              <w:ind w:right="160"/>
              <w:spacing w:after="0" w:line="196" w:lineRule="exact"/>
              <w:rPr>
                <w:sz w:val="20"/>
                <w:szCs w:val="20"/>
                <w:color w:val="auto"/>
              </w:rPr>
            </w:pPr>
            <w:r>
              <w:rPr>
                <w:rFonts w:ascii="Arial" w:cs="Arial" w:eastAsia="Arial" w:hAnsi="Arial"/>
                <w:sz w:val="18"/>
                <w:szCs w:val="18"/>
                <w:color w:val="auto"/>
                <w:w w:val="91"/>
              </w:rPr>
              <w:t>Extension</w:t>
            </w:r>
          </w:p>
        </w:tc>
        <w:tc>
          <w:tcPr>
            <w:tcW w:w="1260" w:type="dxa"/>
            <w:vAlign w:val="bottom"/>
            <w:gridSpan w:val="4"/>
          </w:tcPr>
          <w:p>
            <w:pPr>
              <w:jc w:val="center"/>
              <w:ind w:right="140"/>
              <w:spacing w:after="0" w:line="196" w:lineRule="exact"/>
              <w:rPr>
                <w:sz w:val="20"/>
                <w:szCs w:val="20"/>
                <w:color w:val="auto"/>
              </w:rPr>
            </w:pPr>
            <w:r>
              <w:rPr>
                <w:rFonts w:ascii="Arial" w:cs="Arial" w:eastAsia="Arial" w:hAnsi="Arial"/>
                <w:sz w:val="18"/>
                <w:szCs w:val="18"/>
                <w:color w:val="auto"/>
                <w:w w:val="91"/>
              </w:rPr>
              <w:t>After Extension</w:t>
            </w:r>
          </w:p>
        </w:tc>
        <w:tc>
          <w:tcPr>
            <w:tcW w:w="100" w:type="dxa"/>
            <w:vAlign w:val="bottom"/>
          </w:tcPr>
          <w:p>
            <w:pPr>
              <w:spacing w:after="0"/>
              <w:rPr>
                <w:sz w:val="17"/>
                <w:szCs w:val="17"/>
                <w:color w:val="auto"/>
              </w:rPr>
            </w:pPr>
          </w:p>
        </w:tc>
        <w:tc>
          <w:tcPr>
            <w:tcW w:w="1120" w:type="dxa"/>
            <w:vAlign w:val="bottom"/>
            <w:gridSpan w:val="4"/>
          </w:tcPr>
          <w:p>
            <w:pPr>
              <w:jc w:val="center"/>
              <w:ind w:right="40"/>
              <w:spacing w:after="0" w:line="196" w:lineRule="exact"/>
              <w:rPr>
                <w:sz w:val="20"/>
                <w:szCs w:val="20"/>
                <w:color w:val="auto"/>
              </w:rPr>
            </w:pPr>
            <w:r>
              <w:rPr>
                <w:rFonts w:ascii="Arial" w:cs="Arial" w:eastAsia="Arial" w:hAnsi="Arial"/>
                <w:sz w:val="18"/>
                <w:szCs w:val="18"/>
                <w:color w:val="auto"/>
                <w:w w:val="91"/>
              </w:rPr>
              <w:t>Extension</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35,588</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10,710</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30.1%</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20,059</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56.4%</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4,819</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13.5%</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32,226</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10,274</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31.9%</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16,170</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50.2%</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5,783</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17.9%</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17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26,167</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12,165</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46.5%</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12,003</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45.9%</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1,999</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7.6%</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18,786</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10,974</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58.4%</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6,880</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36.6%</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932</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5.0%</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18,783</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11,322</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60.3%</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6,665</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35.5%</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796</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23,398</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11,197</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47.9%</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11,225</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48.0%</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976</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23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25,773</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10,707</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41.5%</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14,240</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55.3%</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826</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24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53,319</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23,602</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44.3%</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28,635</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53.7%</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1,082</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24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80,897</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40,998</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50.7%</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37,966</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46.9%</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1,933</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2.4%</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22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133,881</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71,590</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53.5%</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55,331</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41.3%</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6,926</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5.2%</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121,531</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78,883</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64.9%</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36,641</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30.1%</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6,007</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4.9%</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71,548</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61,493</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85.9%</w:t>
            </w:r>
          </w:p>
        </w:tc>
        <w:tc>
          <w:tcPr>
            <w:tcW w:w="1280" w:type="dxa"/>
            <w:vAlign w:val="bottom"/>
            <w:gridSpan w:val="6"/>
          </w:tcPr>
          <w:p>
            <w:pPr>
              <w:jc w:val="right"/>
              <w:ind w:right="60"/>
              <w:spacing w:after="0"/>
              <w:rPr>
                <w:sz w:val="20"/>
                <w:szCs w:val="20"/>
                <w:color w:val="auto"/>
              </w:rPr>
            </w:pPr>
            <w:r>
              <w:rPr>
                <w:rFonts w:ascii="Arial" w:cs="Arial" w:eastAsia="Arial" w:hAnsi="Arial"/>
                <w:sz w:val="18"/>
                <w:szCs w:val="18"/>
                <w:color w:val="auto"/>
              </w:rPr>
              <w:t>8,113</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11.3%</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1,942</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100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60.3% were either paid in full or active and performing at September 30, 2020.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p>
        </w:tc>
        <w:tc>
          <w:tcPr>
            <w:tcW w:w="2920" w:type="dxa"/>
            <w:vAlign w:val="bottom"/>
            <w:gridSpan w:val="4"/>
          </w:tcPr>
          <w:p>
            <w:pPr>
              <w:ind w:left="80"/>
              <w:spacing w:after="0"/>
              <w:rPr>
                <w:sz w:val="20"/>
                <w:szCs w:val="20"/>
                <w:color w:val="auto"/>
              </w:rPr>
            </w:pPr>
            <w:r>
              <w:rPr>
                <w:rFonts w:ascii="Arial" w:cs="Arial" w:eastAsia="Arial" w:hAnsi="Arial"/>
                <w:sz w:val="18"/>
                <w:szCs w:val="18"/>
                <w:color w:val="auto"/>
              </w:rPr>
              <w:t>Nine Months Ended September 30,</w:t>
            </w: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7,256</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5,152</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174,549</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177,094</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177,256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2720" w:type="dxa"/>
            <w:vAlign w:val="bottom"/>
            <w:gridSpan w:val="6"/>
          </w:tcPr>
          <w:p>
            <w:pPr>
              <w:jc w:val="right"/>
              <w:ind w:right="680"/>
              <w:spacing w:after="0"/>
              <w:rPr>
                <w:sz w:val="20"/>
                <w:szCs w:val="20"/>
                <w:color w:val="auto"/>
              </w:rPr>
            </w:pPr>
            <w:r>
              <w:rPr>
                <w:rFonts w:ascii="Arial" w:cs="Arial" w:eastAsia="Arial" w:hAnsi="Arial"/>
                <w:sz w:val="18"/>
                <w:szCs w:val="18"/>
                <w:color w:val="auto"/>
              </w:rPr>
              <w:t>September 30, 2020</w:t>
            </w:r>
          </w:p>
        </w:tc>
        <w:tc>
          <w:tcPr>
            <w:tcW w:w="260" w:type="dxa"/>
            <w:vAlign w:val="bottom"/>
          </w:tcPr>
          <w:p>
            <w:pPr>
              <w:spacing w:after="0"/>
              <w:rPr>
                <w:sz w:val="20"/>
                <w:szCs w:val="20"/>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8"/>
                <w:szCs w:val="18"/>
                <w:color w:val="auto"/>
              </w:rPr>
              <w:t>September 30, 2019</w:t>
            </w:r>
          </w:p>
        </w:tc>
        <w:tc>
          <w:tcPr>
            <w:tcW w:w="2640" w:type="dxa"/>
            <w:vAlign w:val="bottom"/>
            <w:gridSpan w:val="5"/>
          </w:tcPr>
          <w:p>
            <w:pPr>
              <w:ind w:left="560"/>
              <w:spacing w:after="0"/>
              <w:rPr>
                <w:sz w:val="20"/>
                <w:szCs w:val="20"/>
                <w:color w:val="auto"/>
              </w:rPr>
            </w:pPr>
            <w:r>
              <w:rPr>
                <w:rFonts w:ascii="Arial" w:cs="Arial" w:eastAsia="Arial" w:hAnsi="Arial"/>
                <w:sz w:val="18"/>
                <w:szCs w:val="18"/>
                <w:color w:val="auto"/>
              </w:rPr>
              <w:t>December 31, 2019</w:t>
            </w:r>
          </w:p>
        </w:tc>
      </w:tr>
      <w:tr>
        <w:trPr>
          <w:trHeight w:val="195"/>
        </w:trPr>
        <w:tc>
          <w:tcPr>
            <w:tcW w:w="27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50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2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Amount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Amount</w:t>
            </w:r>
          </w:p>
        </w:tc>
      </w:tr>
      <w:tr>
        <w:trPr>
          <w:trHeight w:val="210"/>
        </w:trPr>
        <w:tc>
          <w:tcPr>
            <w:tcW w:w="27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5"/>
          </w:tcPr>
          <w:p>
            <w:pPr>
              <w:jc w:val="right"/>
              <w:ind w:right="880"/>
              <w:spacing w:after="0"/>
              <w:rPr>
                <w:sz w:val="20"/>
                <w:szCs w:val="20"/>
                <w:color w:val="auto"/>
              </w:rPr>
            </w:pPr>
            <w:r>
              <w:rPr>
                <w:rFonts w:ascii="Arial" w:cs="Arial" w:eastAsia="Arial" w:hAnsi="Arial"/>
                <w:sz w:val="18"/>
                <w:szCs w:val="18"/>
                <w:color w:val="auto"/>
              </w:rPr>
              <w:t>(Dollars in thousands)</w:t>
            </w: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31,673</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451,178</w:t>
            </w: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26,120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351,019</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28,807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400,202</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19,028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252,189</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17,816</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228,337</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17,895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229,555</w:t>
            </w: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13,228</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161,303</w:t>
            </w: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14,611</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187,088</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14,423</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181,896</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11,281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130,279</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12,372</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157,264</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12,367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153,170</w:t>
            </w: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8,801</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95,481</w:t>
            </w: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8,507</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104,396</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8,742</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103,989</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6,371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64,481</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5,311</w:t>
            </w:r>
          </w:p>
        </w:tc>
        <w:tc>
          <w:tcPr>
            <w:tcW w:w="1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61,201</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5,454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60,743</w:t>
            </w:r>
          </w:p>
        </w:tc>
      </w:tr>
      <w:tr>
        <w:trPr>
          <w:trHeight w:val="223"/>
        </w:trPr>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90,382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1,154,911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84,737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1,089,305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87,688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1,129,555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7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originated and owned by 3rd</w:t>
            </w: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27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parties)</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168,071</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2,250,395</w:t>
            </w: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177,575</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2,412,638</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177,604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2,416,042</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______________________</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40" w:type="dxa"/>
            <w:vAlign w:val="bottom"/>
            <w:gridSpan w:val="7"/>
          </w:tcPr>
          <w:p>
            <w:pPr>
              <w:spacing w:after="0"/>
              <w:rPr>
                <w:sz w:val="20"/>
                <w:szCs w:val="20"/>
                <w:color w:val="auto"/>
              </w:rPr>
            </w:pPr>
            <w:r>
              <w:rPr>
                <w:rFonts w:ascii="Arial" w:cs="Arial" w:eastAsia="Arial" w:hAnsi="Arial"/>
                <w:sz w:val="18"/>
                <w:szCs w:val="18"/>
                <w:i w:val="1"/>
                <w:iCs w:val="1"/>
                <w:color w:val="auto"/>
                <w:w w:val="99"/>
              </w:rPr>
              <w:t>Note: Table excludes portfolios originated and owned by third parties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64"/>
        </w:trPr>
        <w:tc>
          <w:tcPr>
            <w:tcW w:w="2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2" w:name="page43"/>
    <w:bookmarkEnd w:id="42"/>
    <w:p>
      <w:pPr>
        <w:jc w:val="both"/>
        <w:ind w:firstLine="648"/>
        <w:spacing w:after="0" w:line="289" w:lineRule="auto"/>
        <w:rPr>
          <w:sz w:val="20"/>
          <w:szCs w:val="20"/>
          <w:color w:val="auto"/>
        </w:rPr>
      </w:pPr>
      <w:r>
        <w:rPr>
          <w:rFonts w:ascii="Arial" w:cs="Arial" w:eastAsia="Arial" w:hAnsi="Arial"/>
          <w:sz w:val="16"/>
          <w:szCs w:val="16"/>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 Since January of 2019, we have attempted to reduce extensions by working with our servicing staff to be more selective in granting extensions including, where appropriate, to exhaust all possibilities of payment by the customer before granting an extension. During our second quarter we granted significantly more extensions than normal due to the onset of the pandemic. During our third quarter, extensions reverted to pre-pandemic levels.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for the nine-month period ended September 30, 2020 was $190.6 million, an increase of $20.6 million, compared to net cash provided by operating activities for the nine-month period ended September 30, 2019 of $170.0 million. Net cash from operating activities is generally provided by net income from operations adjusted for significant non-cash items such as our provision for credit losses and interest accretion on fair value receivables.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investing activities for the nine-month period ended September 30, 2020 was $45.4 million compared to net cash used in investing activities of $177.7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$572.9 million and $755.3 million during the first nine months of 2020 and 2019, respectively.</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financing activities for the nine months ended September 30, 2020 was $164.6 million compared to net cash provided by financing activities of $14.9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2020, we issued $714.5 million in new securitization trust debt compared to $726.2 million in the same period of 2019. We repaid $764.1 million in securitization trust debt in the nine months ended September 30, 2020 compared to repayments of securitization trust debt of $723.2 million in the prior year period. In the nine months ended September 31, 2020, we had net repayments on warehouse lines of credit of $104.7 million, compared to net advances of $20.9 million in the prior year’s period.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 Since approximately April 1, 2020, due to the onset of the pandemic, we have seen a decrease in the number of purchased contracts.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September 30, 2020, we had unrestricted cash of $11.3 million and $268.8 million aggregate available borrowings under our three warehouse credit facilities (assuming the availability of sufficient eligible collateral). As of September 30, 2020, we had approximately $37.2 million of such eligible collateral. Our plans to manage our liquidity include maintaining our rate of automobile contract purchases at a level that matches our available capital, and, as appropriate, minimizing our operating costs. During the nine-month period ended September 30, 2020, we completed three securitizations aggregating $714.5 million of notes sold. We generally complete one securitization each calendar quarter and have completed four securitizations every year since 2012, except for 2015 in which we completed three. We had planned to complete a securitization in April 2020 but chose to delay it because the market for asset-backed securities had been significantly interrupted in April due to the pandemic. We have since securitized receivables in June and September 2020. The terms available to us in June were inferior to those available in September, both as to the interest rates payable on the issued bonds, and as to the aggregate amount of such bonds that we were able to sell on acceptable terms, measured as a fraction of our cost basis in the underlying receivables. If the securitization markets were to return to an unfavorable state similar to June 2020, that could have a material adverse effect on our liquidity, on our capital requirements, and on our results of operations. There is no assurance that the markets will not return to such an unfavorable state, in which case we may be required to further reduce our automobile contract purchases, win turn would cause our interest income and other portfolio related income to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firstLine="648"/>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2020, we were in compliance with all such financial covenants.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and will continue to have a substantial amount of indebtedness. At September 30, 2020, we had approximately $2,131.5 million of debt outstanding. Such debt consisted primarily of $2,048.1 million of securitization trust debt and $31.2 million of debt from warehouse lines of credit. Our securitization trust debt has decreased by $49.6 million while our warehouse lines of credit debt has decreased by $103.6 million since December 30, 2019 (each net of deferred financing costs). Since 2005, we have offered renewable subordinated notes to the public on a continuous basis, and such notes have maturities that range from six months to 10 years. We had $20.2 million and $17.5 million in subordinated renewable notes outstanding at September 30, 2020 and 2019, respectively. On May 16, 2018, we completed a $40.0 million securitization of residual interests from previously issued securitizations. At September 30, 2020, $32.2 million of this residual interest financing debt remains outstanding ($32.0 million net of deferred financing costs).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remind the reader that risk factors are set forth in Item 1A of our report on Form 10-K, filed with the U.S. Securities and Exchange Commission on March 16, 2020. Where we are aware of material changes to such risk factors as previously disclosed, we set forth below an updated discussion of such risks. The reader should note that the other risks identified in our report on Form 10-K remain applicable.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COVID-19 pandemic and public authorities’ responses to the pandemic have materially and adversely affected our business, and the continuation or intensification of the pandemic or of public authorities’ responses may materially affect our financial condition, liquidity and results of operations.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outbreak of a novel strain of coronavirus (“COVID-19”) has spread throughout the world, including in the United States. The outbreak has been declared a pandemic by the World Health Organization, the president of the United States has declared a national emergency, and governments in a substantial majority of the states of the United States have imposed emergency restrictions, of varying kind and detail, on economic activity. Such restrictions have included outright bans on the conduct of business not deemed essential by the respective governments.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 but we believe it may be material.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 but we believe it may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Obligors’ willingness to pay may be impaired as a result of any combination of the following:</w:t>
      </w:r>
    </w:p>
    <w:p>
      <w:pPr>
        <w:spacing w:after="0" w:line="225" w:lineRule="exact"/>
        <w:rPr>
          <w:sz w:val="20"/>
          <w:szCs w:val="20"/>
          <w:color w:val="auto"/>
        </w:rPr>
      </w:pPr>
    </w:p>
    <w:p>
      <w:pPr>
        <w:ind w:left="920" w:hanging="345"/>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losses of income, resulting from emergency shutdowns, or general economic conditions, or both</w:t>
      </w:r>
    </w:p>
    <w:p>
      <w:pPr>
        <w:spacing w:after="0" w:line="23" w:lineRule="exact"/>
        <w:rPr>
          <w:rFonts w:ascii="Arial" w:cs="Arial" w:eastAsia="Arial" w:hAnsi="Arial"/>
          <w:sz w:val="18"/>
          <w:szCs w:val="18"/>
          <w:color w:val="auto"/>
        </w:rPr>
      </w:pPr>
    </w:p>
    <w:p>
      <w:pPr>
        <w:ind w:left="920" w:hanging="345"/>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obligors’ perception of increased risk that they may suffer a loss of income in the future</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encouragement on the part of officials and others to expect deferrals and other accommodations from creditors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emergency or permanent limitations on our ability to enforce our automobile contracts.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extent to which these or other factors may increase obligors’ refusal to pay in accordance with the terms of our automobile contracts cannot be estimated, but we believe it may be material.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Emergency regulations in some states mandate that we refrain from enforcing our automobile contacts by repossession or by legal process. The effective dates of such mandates vary from state to state, and we expect that the effective dates will change in the future. In addition to the emergency regulations in effect as of the date of this report, federal and state governments may impose further restrictions on servicing practices, such as requiring forbearance for affected borrowers or prohibiting repossession. The effect of existing emergency mandates, and the extent and effect of any such further restrictions is uncertain, but may be material.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The pandemic itself (if sufficient numbers of people are afflicted) may adversely affect, and actions taken in response to the pandemic on a national and local level by governmental authorities have adversely affected, general and local economic conditions. We expect that such adverse effects on the economy generally will have an adverse effect on payments that we will receive in the future on our automobile contracts. Such adverse effect may be material.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a general decline in economic activity, should it occur, may adversely affect the availability of automobile contracts for our purchase. We have seen a material decrease in the availability of contracts for purchase since April 2020. We are unable to predict the extent to which such a decrease may reverse, intensify or persist, nor whether or when such a decrease may end. A material and continued decrease would cause the size of our portfolio of automobile contracts to be reduced, which in turn would decrease the revenue that we may receive in the future from our portfolio of automobile contracts, in an amount that we cannot estimate at this time, but which may be material.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w:t>
      </w:r>
      <w:r>
        <w:rPr>
          <w:rFonts w:ascii="Arial" w:cs="Arial" w:eastAsia="Arial" w:hAnsi="Arial"/>
          <w:sz w:val="18"/>
          <w:szCs w:val="18"/>
          <w:color w:val="323232"/>
        </w:rPr>
        <w:t>ignificant changes in any of those inputs, which in turn may a</w:t>
      </w:r>
      <w:r>
        <w:rPr>
          <w:rFonts w:ascii="Arial" w:cs="Arial" w:eastAsia="Arial" w:hAnsi="Arial"/>
          <w:sz w:val="18"/>
          <w:szCs w:val="18"/>
          <w:color w:val="auto"/>
        </w:rPr>
        <w:t xml:space="preserve"> </w:t>
      </w:r>
      <w:r>
        <w:rPr>
          <w:rFonts w:ascii="Arial" w:cs="Arial" w:eastAsia="Arial" w:hAnsi="Arial"/>
          <w:sz w:val="18"/>
          <w:szCs w:val="18"/>
          <w:color w:val="323232"/>
        </w:rPr>
        <w:t>significant effect on our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and will continue to have a substantial amount of indebtedness. At September 30, 2020, we had approximately $2,131.5 million of debt outstanding. Such debt consisted primarily of $2,048.1 million of securitization trust debt and $31.2 million of debt from warehouse lines of credit. Our securitization trust debt has decreased by $49.6 million while our warehouse lines of credit debt has decreased by $103.6 million since December 31, 2019 (each net of deferred financing costs). Since 2005, we have offered renewable subordinated notes to the public on a continuous basis, and such notes have maturities that range from six months to 10 years. We had $20.2 million and $17.5 million in subordinated renewable notes outstanding at September 30, 2020 and December 31, 2019, respectively. On May 16, 2018, we completed a $40.0 million securitization of residual interests from previously issued securitizations. At September 30, 2020, $32.2 million of this residual interest financing debt remains outstanding ($32.0 million net of deferred financing costs). Our substantial indebtedness could adversely affect our financial condition by, among other things:</w:t>
      </w:r>
    </w:p>
    <w:p>
      <w:pPr>
        <w:spacing w:after="0" w:line="165" w:lineRule="exact"/>
        <w:rPr>
          <w:sz w:val="20"/>
          <w:szCs w:val="20"/>
          <w:color w:val="auto"/>
        </w:rPr>
      </w:pPr>
    </w:p>
    <w:p>
      <w:pPr>
        <w:ind w:left="920" w:hanging="34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920" w:hanging="345"/>
        <w:spacing w:after="0" w:line="250"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920" w:hanging="34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September 30, 2020, we repurchased 219,134 shares from existing shareholders, as reflected in the table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Number of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Purchased as Part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May Yet be Purchased</w:t>
            </w:r>
          </w:p>
        </w:tc>
      </w:tr>
      <w:tr>
        <w:trPr>
          <w:trHeight w:val="216"/>
        </w:trPr>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Total Number of Shares</w:t>
            </w:r>
          </w:p>
        </w:tc>
        <w:tc>
          <w:tcPr>
            <w:tcW w:w="180" w:type="dxa"/>
            <w:vAlign w:val="bottom"/>
          </w:tcPr>
          <w:p>
            <w:pPr>
              <w:spacing w:after="0"/>
              <w:rPr>
                <w:sz w:val="18"/>
                <w:szCs w:val="18"/>
                <w:color w:val="auto"/>
              </w:rPr>
            </w:pPr>
          </w:p>
        </w:tc>
        <w:tc>
          <w:tcPr>
            <w:tcW w:w="2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Average Price Paid per</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Publicly Announced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40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Period(1)</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7"/>
              </w:rPr>
              <w:t>Share</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Plans or Programs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 (2)</w:t>
            </w:r>
          </w:p>
        </w:tc>
      </w:tr>
      <w:tr>
        <w:trPr>
          <w:trHeight w:val="209"/>
        </w:trPr>
        <w:tc>
          <w:tcPr>
            <w:tcW w:w="2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July 2020</w:t>
            </w:r>
          </w:p>
        </w:tc>
        <w:tc>
          <w:tcPr>
            <w:tcW w:w="2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14,128</w:t>
            </w:r>
          </w:p>
        </w:tc>
        <w:tc>
          <w:tcPr>
            <w:tcW w:w="580" w:type="dxa"/>
            <w:vAlign w:val="bottom"/>
            <w:gridSpan w:val="2"/>
            <w:shd w:val="clear" w:color="auto" w:fill="EEEEEE"/>
          </w:tcPr>
          <w:p>
            <w:pPr>
              <w:jc w:val="right"/>
              <w:ind w:right="238"/>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3.01</w:t>
            </w:r>
          </w:p>
        </w:tc>
        <w:tc>
          <w:tcPr>
            <w:tcW w:w="2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14,128</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6,030,388</w:t>
            </w:r>
          </w:p>
        </w:tc>
      </w:tr>
      <w:tr>
        <w:trPr>
          <w:trHeight w:val="216"/>
        </w:trPr>
        <w:tc>
          <w:tcPr>
            <w:tcW w:w="2400" w:type="dxa"/>
            <w:vAlign w:val="bottom"/>
            <w:gridSpan w:val="2"/>
          </w:tcPr>
          <w:p>
            <w:pPr>
              <w:ind w:left="120"/>
              <w:spacing w:after="0"/>
              <w:rPr>
                <w:sz w:val="20"/>
                <w:szCs w:val="20"/>
                <w:color w:val="auto"/>
              </w:rPr>
            </w:pPr>
            <w:r>
              <w:rPr>
                <w:rFonts w:ascii="Arial" w:cs="Arial" w:eastAsia="Arial" w:hAnsi="Arial"/>
                <w:sz w:val="18"/>
                <w:szCs w:val="18"/>
                <w:color w:val="auto"/>
              </w:rPr>
              <w:t>August 2020</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38"/>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6,030,388</w:t>
            </w:r>
          </w:p>
        </w:tc>
      </w:tr>
      <w:tr>
        <w:trPr>
          <w:trHeight w:val="229"/>
        </w:trPr>
        <w:tc>
          <w:tcPr>
            <w:tcW w:w="24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September 2020</w:t>
            </w:r>
          </w:p>
        </w:tc>
        <w:tc>
          <w:tcPr>
            <w:tcW w:w="2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205,006</w:t>
            </w:r>
          </w:p>
        </w:tc>
        <w:tc>
          <w:tcPr>
            <w:tcW w:w="580" w:type="dxa"/>
            <w:vAlign w:val="bottom"/>
            <w:gridSpan w:val="2"/>
            <w:shd w:val="clear" w:color="auto" w:fill="EEEEEE"/>
          </w:tcPr>
          <w:p>
            <w:pPr>
              <w:jc w:val="right"/>
              <w:ind w:right="238"/>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3.50</w:t>
            </w:r>
          </w:p>
        </w:tc>
        <w:tc>
          <w:tcPr>
            <w:tcW w:w="2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205,006</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5,312,224</w:t>
            </w:r>
          </w:p>
        </w:tc>
      </w:tr>
      <w:tr>
        <w:trPr>
          <w:trHeight w:val="224"/>
        </w:trPr>
        <w:tc>
          <w:tcPr>
            <w:tcW w:w="24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ind w:right="238"/>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0</wp:posOffset>
            </wp:positionV>
            <wp:extent cx="4131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-130175</wp:posOffset>
            </wp:positionV>
            <wp:extent cx="4131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September 30, 2020,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0760" w:type="dxa"/>
            <w:vAlign w:val="bottom"/>
          </w:tcPr>
          <w:p>
            <w:pPr>
              <w:ind w:left="180"/>
              <w:spacing w:after="0"/>
              <w:rPr>
                <w:sz w:val="20"/>
                <w:szCs w:val="20"/>
                <w:color w:val="auto"/>
              </w:rPr>
            </w:pPr>
            <w:r>
              <w:rPr>
                <w:rFonts w:ascii="Arial" w:cs="Arial" w:eastAsia="Arial" w:hAnsi="Arial"/>
                <w:sz w:val="18"/>
                <w:szCs w:val="18"/>
                <w:color w:val="auto"/>
              </w:rPr>
              <w:t>The Exhibits listed below are filed with this report.</w:t>
            </w:r>
          </w:p>
        </w:tc>
      </w:tr>
      <w:tr>
        <w:trPr>
          <w:trHeight w:val="41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4.14</w:t>
            </w:r>
          </w:p>
        </w:tc>
        <w:tc>
          <w:tcPr>
            <w:tcW w:w="10760" w:type="dxa"/>
            <w:vAlign w:val="bottom"/>
          </w:tcPr>
          <w:p>
            <w:pPr>
              <w:ind w:left="880"/>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w:t>
            </w:r>
          </w:p>
        </w:tc>
      </w:tr>
      <w:tr>
        <w:trPr>
          <w:trHeight w:val="216"/>
        </w:trPr>
        <w:tc>
          <w:tcPr>
            <w:tcW w:w="480" w:type="dxa"/>
            <w:vAlign w:val="bottom"/>
          </w:tcPr>
          <w:p>
            <w:pPr>
              <w:spacing w:after="0"/>
              <w:rPr>
                <w:sz w:val="18"/>
                <w:szCs w:val="18"/>
                <w:color w:val="auto"/>
              </w:rPr>
            </w:pPr>
          </w:p>
        </w:tc>
        <w:tc>
          <w:tcPr>
            <w:tcW w:w="10760" w:type="dxa"/>
            <w:vAlign w:val="bottom"/>
          </w:tcPr>
          <w:p>
            <w:pPr>
              <w:ind w:left="880"/>
              <w:spacing w:after="0"/>
              <w:rPr>
                <w:sz w:val="20"/>
                <w:szCs w:val="20"/>
                <w:color w:val="auto"/>
              </w:rPr>
            </w:pPr>
            <w:r>
              <w:rPr>
                <w:rFonts w:ascii="Arial" w:cs="Arial" w:eastAsia="Arial" w:hAnsi="Arial"/>
                <w:sz w:val="18"/>
                <w:szCs w:val="18"/>
                <w:color w:val="auto"/>
                <w:w w:val="93"/>
              </w:rPr>
              <w:t>the exclusion set forth in subdivisions (b)(iv)(iii)(A) and (b)(v) of Item 601 of Regulation S-K (17 CFR 229.601). The registrant agrees</w:t>
            </w:r>
          </w:p>
        </w:tc>
      </w:tr>
      <w:tr>
        <w:trPr>
          <w:trHeight w:val="216"/>
        </w:trPr>
        <w:tc>
          <w:tcPr>
            <w:tcW w:w="480" w:type="dxa"/>
            <w:vAlign w:val="bottom"/>
          </w:tcPr>
          <w:p>
            <w:pPr>
              <w:spacing w:after="0"/>
              <w:rPr>
                <w:sz w:val="18"/>
                <w:szCs w:val="18"/>
                <w:color w:val="auto"/>
              </w:rPr>
            </w:pPr>
          </w:p>
        </w:tc>
        <w:tc>
          <w:tcPr>
            <w:tcW w:w="10760" w:type="dxa"/>
            <w:vAlign w:val="bottom"/>
          </w:tcPr>
          <w:p>
            <w:pPr>
              <w:ind w:left="880"/>
              <w:spacing w:after="0"/>
              <w:rPr>
                <w:sz w:val="20"/>
                <w:szCs w:val="20"/>
                <w:color w:val="auto"/>
              </w:rPr>
            </w:pPr>
            <w:r>
              <w:rPr>
                <w:rFonts w:ascii="Arial" w:cs="Arial" w:eastAsia="Arial" w:hAnsi="Arial"/>
                <w:sz w:val="18"/>
                <w:szCs w:val="18"/>
                <w:color w:val="auto"/>
              </w:rPr>
              <w:t>to provide copies of such instruments to the United States Securities and Exchange Commission upon request.</w:t>
            </w:r>
          </w:p>
        </w:tc>
      </w:tr>
      <w:tr>
        <w:trPr>
          <w:trHeight w:val="216"/>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31.1</w:t>
            </w:r>
          </w:p>
        </w:tc>
        <w:tc>
          <w:tcPr>
            <w:tcW w:w="10760" w:type="dxa"/>
            <w:vAlign w:val="bottom"/>
          </w:tcPr>
          <w:p>
            <w:pPr>
              <w:ind w:left="8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Rule 13a-14(a) Certification of the Chief Executive Officer of the registrant.</w:t>
              </w:r>
            </w:hyperlink>
          </w:p>
        </w:tc>
      </w:tr>
      <w:tr>
        <w:trPr>
          <w:trHeight w:val="230"/>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31.2</w:t>
            </w:r>
          </w:p>
        </w:tc>
        <w:tc>
          <w:tcPr>
            <w:tcW w:w="10760" w:type="dxa"/>
            <w:vAlign w:val="bottom"/>
          </w:tcPr>
          <w:p>
            <w:pPr>
              <w:ind w:left="8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Rule 13a-14(a) Certification of the Chief Financial Officer of the registrant.</w:t>
              </w:r>
            </w:hyperlink>
          </w:p>
        </w:tc>
      </w:tr>
    </w:tbl>
    <w:p>
      <w:pPr>
        <w:ind w:left="1360" w:hanging="1352"/>
        <w:spacing w:after="0"/>
        <w:tabs>
          <w:tab w:leader="none" w:pos="1360" w:val="left"/>
        </w:tabs>
        <w:numPr>
          <w:ilvl w:val="0"/>
          <w:numId w:val="20"/>
        </w:numPr>
        <w:rPr>
          <w:rFonts w:ascii="Arial" w:cs="Arial" w:eastAsia="Arial" w:hAnsi="Arial"/>
          <w:sz w:val="18"/>
          <w:szCs w:val="18"/>
          <w:color w:val="0000EE"/>
        </w:rPr>
      </w:pPr>
      <w:hyperlink w:anchor="page54">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210" w:lineRule="exact"/>
        <w:rPr>
          <w:rFonts w:ascii="Arial" w:cs="Arial" w:eastAsia="Arial" w:hAnsi="Arial"/>
          <w:sz w:val="18"/>
          <w:szCs w:val="18"/>
          <w:color w:val="0000EE"/>
        </w:rPr>
      </w:pPr>
    </w:p>
    <w:p>
      <w:pPr>
        <w:jc w:val="both"/>
        <w:ind w:left="260" w:firstLine="311"/>
        <w:spacing w:after="0" w:line="259" w:lineRule="auto"/>
        <w:rPr>
          <w:rFonts w:ascii="Arial" w:cs="Arial" w:eastAsia="Arial" w:hAnsi="Arial"/>
          <w:sz w:val="18"/>
          <w:szCs w:val="18"/>
          <w:color w:val="0000EE"/>
        </w:rPr>
      </w:pPr>
      <w:r>
        <w:rPr>
          <w:rFonts w:ascii="Arial" w:cs="Arial" w:eastAsia="Arial" w:hAnsi="Arial"/>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2020 of Consumer Portfolio Services, Inc.;</w:t>
      </w:r>
    </w:p>
    <w:p>
      <w:pPr>
        <w:spacing w:after="0" w:line="236" w:lineRule="exact"/>
        <w:rPr>
          <w:rFonts w:ascii="Arial" w:cs="Arial" w:eastAsia="Arial" w:hAnsi="Arial"/>
          <w:sz w:val="17"/>
          <w:szCs w:val="17"/>
          <w:color w:val="auto"/>
        </w:rPr>
      </w:pPr>
    </w:p>
    <w:p>
      <w:pPr>
        <w:ind w:firstLine="8"/>
        <w:spacing w:after="0" w:line="342" w:lineRule="auto"/>
        <w:tabs>
          <w:tab w:leader="none" w:pos="2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2020 of Consumer Portfolio Services, Inc.;</w:t>
      </w:r>
    </w:p>
    <w:p>
      <w:pPr>
        <w:spacing w:after="0" w:line="236" w:lineRule="exact"/>
        <w:rPr>
          <w:rFonts w:ascii="Arial" w:cs="Arial" w:eastAsia="Arial" w:hAnsi="Arial"/>
          <w:sz w:val="17"/>
          <w:szCs w:val="17"/>
          <w:color w:val="auto"/>
        </w:rPr>
      </w:pPr>
    </w:p>
    <w:p>
      <w:pPr>
        <w:ind w:firstLine="8"/>
        <w:spacing w:after="0" w:line="342" w:lineRule="auto"/>
        <w:tabs>
          <w:tab w:leader="none" w:pos="2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2020,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332"/>
        <w:spacing w:after="0" w:line="500" w:lineRule="auto"/>
        <w:tabs>
          <w:tab w:leader="none" w:pos="6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2"/>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2020-11-03T05:16:01Z</dcterms:created>
  <dcterms:modified xsi:type="dcterms:W3CDTF">2020-11-03T05:16:01Z</dcterms:modified>
</cp:coreProperties>
</file>