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ind w:left="4020" w:right="1500" w:hanging="4012"/>
        <w:spacing w:after="0" w:line="500" w:lineRule="auto"/>
        <w:tabs>
          <w:tab w:leader="none" w:pos="5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_____to_____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001-11416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23, 2025, the registrant had 22,071,046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60" w:type="dxa"/>
            <w:vAlign w:val="bottom"/>
            <w:gridSpan w:val="9"/>
            <w:vMerge w:val="restart"/>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60" w:type="dxa"/>
            <w:vAlign w:val="bottom"/>
            <w:gridSpan w:val="9"/>
            <w:vMerge w:val="continue"/>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1"/>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2025, and December 31, 2024</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three-month and nine-month periods ended September</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30, 2025, and 2024</w:t>
            </w:r>
          </w:p>
        </w:tc>
        <w:tc>
          <w:tcPr>
            <w:tcW w:w="7540" w:type="dxa"/>
            <w:vAlign w:val="bottom"/>
            <w:tcBorders>
              <w:top w:val="single" w:sz="8" w:color="0000EE"/>
            </w:tcBorders>
            <w:gridSpan w:val="10"/>
          </w:tcPr>
          <w:p>
            <w:pPr>
              <w:spacing w:after="0"/>
              <w:rPr>
                <w:sz w:val="17"/>
                <w:szCs w:val="17"/>
                <w:color w:val="auto"/>
              </w:rPr>
            </w:pPr>
          </w:p>
        </w:tc>
        <w:tc>
          <w:tcPr>
            <w:tcW w:w="42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 month and nine-month periods ended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100" w:type="dxa"/>
            <w:vAlign w:val="bottom"/>
            <w:tcBorders>
              <w:top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2025, and 2024</w:t>
            </w:r>
          </w:p>
        </w:tc>
        <w:tc>
          <w:tcPr>
            <w:tcW w:w="26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nine-month periods ended September 30, 2025, 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2024</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bottom w:val="single" w:sz="8" w:color="0000EE"/>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 month and nine-month periods ended</w:t>
            </w:r>
          </w:p>
        </w:tc>
        <w:tc>
          <w:tcPr>
            <w:tcW w:w="5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2025, and 2024</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160" w:type="dxa"/>
            <w:vAlign w:val="bottom"/>
            <w:gridSpan w:val="9"/>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8020" w:type="dxa"/>
            <w:vAlign w:val="bottom"/>
            <w:gridSpan w:val="1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00" w:type="dxa"/>
            <w:vAlign w:val="bottom"/>
            <w:gridSpan w:val="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040" w:type="dxa"/>
            <w:vAlign w:val="bottom"/>
            <w:gridSpan w:val="1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11,713</w:t>
            </w: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142,506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125,684</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3,624,941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3,313,767</w:t>
            </w: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31,082</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36,774</w:t>
            </w:r>
          </w:p>
        </w:tc>
      </w:tr>
      <w:tr>
        <w:trPr>
          <w:trHeight w:val="263"/>
        </w:trPr>
        <w:tc>
          <w:tcPr>
            <w:tcW w:w="75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3,809,776</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3,493,868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5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67,037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70,151</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340,645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410,898</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149,501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99,176</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2,916,439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2,594,384</w:t>
            </w:r>
          </w:p>
        </w:tc>
        <w:tc>
          <w:tcPr>
            <w:tcW w:w="80" w:type="dxa"/>
            <w:vAlign w:val="bottom"/>
            <w:shd w:val="clear" w:color="auto" w:fill="EEEEEE"/>
          </w:tcPr>
          <w:p>
            <w:pPr>
              <w:spacing w:after="0"/>
              <w:rPr>
                <w:sz w:val="18"/>
                <w:szCs w:val="18"/>
                <w:color w:val="auto"/>
              </w:rPr>
            </w:pP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r>
      <w:tr>
        <w:trPr>
          <w:trHeight w:val="210"/>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3,502,211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3,201,098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22,143,708 and 21,432,698 shares issued</w:t>
            </w: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and outstanding at September 30, 2025 and December 31, 2024, respectively</w:t>
            </w:r>
          </w:p>
        </w:tc>
        <w:tc>
          <w:tcPr>
            <w:tcW w:w="1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26,171</w:t>
            </w: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25,720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281,404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267,060</w:t>
            </w:r>
          </w:p>
        </w:tc>
        <w:tc>
          <w:tcPr>
            <w:tcW w:w="80" w:type="dxa"/>
            <w:vAlign w:val="bottom"/>
          </w:tcPr>
          <w:p>
            <w:pPr>
              <w:spacing w:after="0"/>
              <w:rPr>
                <w:sz w:val="18"/>
                <w:szCs w:val="18"/>
                <w:color w:val="auto"/>
              </w:rPr>
            </w:pPr>
          </w:p>
        </w:tc>
      </w:tr>
      <w:tr>
        <w:trPr>
          <w:trHeight w:val="230"/>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5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307,565</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7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7500" w:type="dxa"/>
            <w:vAlign w:val="bottom"/>
          </w:tcPr>
          <w:p>
            <w:pPr>
              <w:spacing w:after="0"/>
              <w:rPr>
                <w:sz w:val="21"/>
                <w:szCs w:val="21"/>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3,809,776</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3,493,868</w:t>
            </w:r>
          </w:p>
        </w:tc>
        <w:tc>
          <w:tcPr>
            <w:tcW w:w="80" w:type="dxa"/>
            <w:vAlign w:val="bottom"/>
          </w:tcPr>
          <w:p>
            <w:pPr>
              <w:spacing w:after="0"/>
              <w:rPr>
                <w:sz w:val="21"/>
                <w:szCs w:val="2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0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107,166</w:t>
            </w:r>
          </w:p>
        </w:tc>
        <w:tc>
          <w:tcPr>
            <w:tcW w:w="7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93,158</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314,462</w:t>
            </w:r>
          </w:p>
        </w:tc>
        <w:tc>
          <w:tcPr>
            <w:tcW w:w="7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265,812</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6,391</w:t>
            </w: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100,580</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325,060</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288,203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22,465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71,860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72,303</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13,421</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13,276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40,147</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40,288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172,720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138,735</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(2,472)</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(4,579)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16,476</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4,250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101,389</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93,729</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304,274</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268,123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Pr>
          <w:p>
            <w:pPr>
              <w:spacing w:after="0"/>
              <w:rPr>
                <w:sz w:val="18"/>
                <w:szCs w:val="18"/>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2,179</w:t>
            </w:r>
          </w:p>
        </w:tc>
        <w:tc>
          <w:tcPr>
            <w:tcW w:w="2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6,442</w:t>
            </w:r>
          </w:p>
        </w:tc>
        <w:tc>
          <w:tcPr>
            <w:tcW w:w="2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6,022</w:t>
            </w: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00" w:type="dxa"/>
            <w:vAlign w:val="bottom"/>
            <w:tcBorders>
              <w:bottom w:val="single" w:sz="8" w:color="EEEEEE"/>
            </w:tcBorders>
          </w:tcPr>
          <w:p>
            <w:pPr>
              <w:spacing w:after="0"/>
              <w:rPr>
                <w:sz w:val="22"/>
                <w:szCs w:val="22"/>
                <w:color w:val="auto"/>
              </w:rPr>
            </w:pPr>
          </w:p>
        </w:tc>
      </w:tr>
      <w:tr>
        <w:trPr>
          <w:trHeight w:val="196"/>
        </w:trPr>
        <w:tc>
          <w:tcPr>
            <w:tcW w:w="47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720" w:type="dxa"/>
            <w:vAlign w:val="bottom"/>
            <w:gridSpan w:val="2"/>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700" w:type="dxa"/>
            <w:vAlign w:val="bottom"/>
            <w:gridSpan w:val="2"/>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7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7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4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22,209</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21,343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21,852</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21,250</w:t>
            </w: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24,046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24,153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24,187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8"/>
              </w:rPr>
              <w:t>4,853</w:t>
            </w:r>
          </w:p>
        </w:tc>
        <w:tc>
          <w:tcPr>
            <w:tcW w:w="1160" w:type="dxa"/>
            <w:vAlign w:val="bottom"/>
            <w:gridSpan w:val="2"/>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4,796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14,344</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14,058</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7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change in funded status</w:t>
            </w:r>
          </w:p>
        </w:tc>
        <w:tc>
          <w:tcPr>
            <w:tcW w:w="9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of pension plan</w:t>
            </w:r>
          </w:p>
        </w:tc>
        <w:tc>
          <w:tcPr>
            <w:tcW w:w="940" w:type="dxa"/>
            <w:vAlign w:val="bottom"/>
            <w:shd w:val="clear" w:color="auto" w:fill="EEEEEE"/>
          </w:tcPr>
          <w:p>
            <w:pPr>
              <w:spacing w:after="0"/>
              <w:rPr>
                <w:sz w:val="21"/>
                <w:szCs w:val="21"/>
                <w:color w:val="auto"/>
              </w:rPr>
            </w:pPr>
          </w:p>
        </w:tc>
        <w:tc>
          <w:tcPr>
            <w:tcW w:w="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21"/>
                <w:szCs w:val="21"/>
                <w:color w:val="auto"/>
              </w:rPr>
            </w:pPr>
          </w:p>
        </w:tc>
        <w:tc>
          <w:tcPr>
            <w:tcW w:w="940" w:type="dxa"/>
            <w:vAlign w:val="bottom"/>
            <w:shd w:val="clear" w:color="auto" w:fill="EEEEEE"/>
          </w:tcPr>
          <w:p>
            <w:pPr>
              <w:spacing w:after="0"/>
              <w:rPr>
                <w:sz w:val="21"/>
                <w:szCs w:val="21"/>
                <w:color w:val="auto"/>
              </w:rPr>
            </w:pPr>
          </w:p>
        </w:tc>
        <w:tc>
          <w:tcPr>
            <w:tcW w:w="76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21"/>
                <w:szCs w:val="21"/>
                <w:color w:val="auto"/>
              </w:rPr>
            </w:pPr>
          </w:p>
        </w:tc>
        <w:tc>
          <w:tcPr>
            <w:tcW w:w="134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21"/>
                <w:szCs w:val="21"/>
                <w:color w:val="auto"/>
              </w:rPr>
            </w:pPr>
          </w:p>
        </w:tc>
        <w:tc>
          <w:tcPr>
            <w:tcW w:w="460" w:type="dxa"/>
            <w:vAlign w:val="bottom"/>
            <w:shd w:val="clear" w:color="auto" w:fill="EEEEEE"/>
          </w:tcPr>
          <w:p>
            <w:pPr>
              <w:spacing w:after="0"/>
              <w:rPr>
                <w:sz w:val="21"/>
                <w:szCs w:val="21"/>
                <w:color w:val="auto"/>
              </w:rPr>
            </w:pPr>
          </w:p>
        </w:tc>
        <w:tc>
          <w:tcPr>
            <w:tcW w:w="9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19"/>
                <w:szCs w:val="19"/>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14,344</w:t>
            </w:r>
          </w:p>
        </w:tc>
        <w:tc>
          <w:tcPr>
            <w:tcW w:w="22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14,058</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193,415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164,394</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9,317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1,862</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2,368</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2,171</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4,682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(15,126)</w:t>
            </w:r>
          </w:p>
        </w:tc>
      </w:tr>
      <w:tr>
        <w:trPr>
          <w:trHeight w:val="229"/>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10,082</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213,249</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165,758</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6,482</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21,475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(1,275,701)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(1,195,886)</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777,612</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637,844</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(492,251</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EEEEEE"/>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(536,835</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1,280,700</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1,453,921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8,784</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(72,297)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(125,566)</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51,110</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(957,621)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(840,480)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(12,828)</w:t>
            </w:r>
          </w:p>
        </w:tc>
      </w:tr>
      <w:tr>
        <w:trPr>
          <w:trHeight w:val="229"/>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6,825</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293,499</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524,698</w:t>
            </w:r>
          </w:p>
        </w:tc>
        <w:tc>
          <w:tcPr>
            <w:tcW w:w="100" w:type="dxa"/>
            <w:vAlign w:val="bottom"/>
            <w:tcBorders>
              <w:bottom w:val="single" w:sz="8" w:color="EEEEEE"/>
            </w:tcBorders>
          </w:tcPr>
          <w:p>
            <w:pPr>
              <w:spacing w:after="0"/>
              <w:rPr>
                <w:sz w:val="18"/>
                <w:szCs w:val="18"/>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153,621</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137,397</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125,431</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151,894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660" w:type="dxa"/>
            <w:vAlign w:val="bottom"/>
            <w:tcBorders>
              <w:top w:val="single" w:sz="8" w:color="auto"/>
              <w:bottom w:val="single" w:sz="8" w:color="auto"/>
            </w:tcBorders>
            <w:shd w:val="clear" w:color="auto" w:fill="EEEEEE"/>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279,052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gridSpan w:val="2"/>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162,493</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129,335</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6,729</w:t>
            </w:r>
          </w:p>
        </w:tc>
        <w:tc>
          <w:tcPr>
            <w:tcW w:w="2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9,552</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Common stock issued upon exercise of options and warrants Repurchase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10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200" w:type="dxa"/>
            <w:vAlign w:val="bottom"/>
            <w:tcBorders>
              <w:bottom w:val="single" w:sz="8" w:color="auto"/>
            </w:tcBorders>
            <w:gridSpan w:val="4"/>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407"/>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21,305</w:t>
            </w:r>
          </w:p>
        </w:tc>
        <w:tc>
          <w:tcPr>
            <w:tcW w:w="22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21,433</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21,175</w:t>
            </w:r>
          </w:p>
        </w:tc>
        <w:tc>
          <w:tcPr>
            <w:tcW w:w="80" w:type="dxa"/>
            <w:vAlign w:val="bottom"/>
          </w:tcPr>
          <w:p>
            <w:pPr>
              <w:spacing w:after="0"/>
              <w:rPr>
                <w:sz w:val="24"/>
                <w:szCs w:val="24"/>
                <w:color w:val="auto"/>
              </w:rPr>
            </w:pPr>
          </w:p>
        </w:tc>
      </w:tr>
      <w:tr>
        <w:trPr>
          <w:trHeight w:val="216"/>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-744855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360"/>
            <w:col w:w="6500"/>
          </w:cols>
          <w:pgMar w:left="320" w:top="792"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26,560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25,062</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25,720</w:t>
            </w: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47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42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910</w:t>
            </w:r>
          </w:p>
        </w:tc>
        <w:tc>
          <w:tcPr>
            <w:tcW w:w="42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4,708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6,825</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(1,656)</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(6,119)</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(12,828)</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727</w:t>
            </w:r>
          </w:p>
        </w:tc>
        <w:tc>
          <w:tcPr>
            <w:tcW w:w="420" w:type="dxa"/>
            <w:vAlign w:val="bottom"/>
          </w:tcPr>
          <w:p>
            <w:pPr>
              <w:spacing w:after="0"/>
              <w:rPr>
                <w:sz w:val="19"/>
                <w:szCs w:val="19"/>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1,862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2,368</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276,551</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257,119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267,060</w:t>
            </w: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247,857</w:t>
            </w: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4,853</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4,796</w:t>
            </w:r>
          </w:p>
        </w:tc>
        <w:tc>
          <w:tcPr>
            <w:tcW w:w="4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14,344</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14,058</w:t>
            </w: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261,915</w:t>
            </w:r>
          </w:p>
        </w:tc>
        <w:tc>
          <w:tcPr>
            <w:tcW w:w="32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261,915</w:t>
            </w:r>
          </w:p>
        </w:tc>
        <w:tc>
          <w:tcPr>
            <w:tcW w:w="100" w:type="dxa"/>
            <w:vAlign w:val="bottom"/>
            <w:tcBorders>
              <w:bottom w:val="single" w:sz="8" w:color="EEEEEE"/>
            </w:tcBorders>
          </w:tcPr>
          <w:p>
            <w:pPr>
              <w:spacing w:after="0"/>
              <w:rPr>
                <w:sz w:val="22"/>
                <w:szCs w:val="22"/>
                <w:color w:val="auto"/>
              </w:rPr>
            </w:pPr>
          </w:p>
        </w:tc>
      </w:tr>
      <w:tr>
        <w:trPr>
          <w:trHeight w:val="197"/>
        </w:trPr>
        <w:tc>
          <w:tcPr>
            <w:tcW w:w="47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(1,867)</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gridSpan w:val="2"/>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42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EEEEEE"/>
              <w:bottom w:val="single" w:sz="8" w:color="EEEEEE"/>
            </w:tcBorders>
            <w:shd w:val="clear" w:color="auto" w:fill="EEEEE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EEEEEE"/>
              <w:bottom w:val="single" w:sz="8" w:color="EEEEEE"/>
            </w:tcBorders>
            <w:shd w:val="clear" w:color="auto" w:fill="EEEEEE"/>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307,565</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285,091</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307,565</w:t>
            </w:r>
          </w:p>
        </w:tc>
        <w:tc>
          <w:tcPr>
            <w:tcW w:w="560" w:type="dxa"/>
            <w:vAlign w:val="bottom"/>
            <w:gridSpan w:val="2"/>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285,091</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2025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nine-month periods ending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40" w:type="dxa"/>
            <w:vAlign w:val="bottom"/>
            <w:gridSpan w:val="5"/>
          </w:tcPr>
          <w:p>
            <w:pPr>
              <w:jc w:val="center"/>
              <w:ind w:left="43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94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w w:val="98"/>
              </w:rPr>
              <w:t>1,248</w:t>
            </w:r>
          </w:p>
        </w:tc>
        <w:tc>
          <w:tcPr>
            <w:tcW w:w="1100" w:type="dxa"/>
            <w:vAlign w:val="bottom"/>
            <w:gridSpan w:val="2"/>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4,063</w:t>
            </w:r>
          </w:p>
        </w:tc>
        <w:tc>
          <w:tcPr>
            <w:tcW w:w="500" w:type="dxa"/>
            <w:vAlign w:val="bottom"/>
            <w:gridSpan w:val="2"/>
            <w:shd w:val="clear" w:color="auto" w:fill="EEEEEE"/>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5,485</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7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51,770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r>
      <w:tr>
        <w:trPr>
          <w:trHeight w:val="230"/>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(35,055)</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(31,644)</w:t>
            </w:r>
          </w:p>
        </w:tc>
      </w:tr>
      <w:tr>
        <w:trPr>
          <w:trHeight w:val="263"/>
        </w:trPr>
        <w:tc>
          <w:tcPr>
            <w:tcW w:w="7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00" w:type="dxa"/>
            <w:vAlign w:val="bottom"/>
            <w:tcBorders>
              <w:bottom w:val="single" w:sz="8" w:color="EEEEEE"/>
            </w:tcBorders>
          </w:tcPr>
          <w:p>
            <w:pPr>
              <w:spacing w:after="0"/>
              <w:rPr>
                <w:sz w:val="22"/>
                <w:szCs w:val="22"/>
                <w:color w:val="auto"/>
              </w:rPr>
            </w:pPr>
          </w:p>
        </w:tc>
      </w:tr>
      <w:tr>
        <w:trPr>
          <w:trHeight w:val="197"/>
        </w:trPr>
        <w:tc>
          <w:tcPr>
            <w:tcW w:w="7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(21,471)</w:t>
            </w:r>
          </w:p>
        </w:tc>
      </w:tr>
      <w:tr>
        <w:trPr>
          <w:trHeight w:val="216"/>
        </w:trPr>
        <w:tc>
          <w:tcPr>
            <w:tcW w:w="7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7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4,039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3,794</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(3,635)</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(3,488)</w:t>
            </w: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7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Maturities of lease liabilities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300" w:type="dxa"/>
            <w:vAlign w:val="bottom"/>
          </w:tcPr>
          <w:p>
            <w:pPr>
              <w:spacing w:after="0"/>
              <w:rPr>
                <w:sz w:val="21"/>
                <w:szCs w:val="21"/>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10"/>
        </w:trPr>
        <w:tc>
          <w:tcPr>
            <w:tcW w:w="60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16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5,242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985</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6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(2,670)</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0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80" w:type="dxa"/>
            <w:vAlign w:val="bottom"/>
            <w:gridSpan w:val="5"/>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gridSpan w:val="4"/>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280" w:type="dxa"/>
            <w:vAlign w:val="bottom"/>
            <w:gridSpan w:val="5"/>
          </w:tcPr>
          <w:p>
            <w:pPr>
              <w:jc w:val="center"/>
              <w:ind w:left="311"/>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jc w:val="center"/>
              <w:ind w:right="17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6"/>
                <w:szCs w:val="16"/>
                <w:color w:val="auto"/>
              </w:rPr>
            </w:pPr>
          </w:p>
        </w:tc>
      </w:tr>
      <w:tr>
        <w:trPr>
          <w:trHeight w:val="230"/>
        </w:trPr>
        <w:tc>
          <w:tcPr>
            <w:tcW w:w="820" w:type="dxa"/>
            <w:vAlign w:val="bottom"/>
            <w:gridSpan w:val="2"/>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w:t>
            </w:r>
          </w:p>
        </w:tc>
        <w:tc>
          <w:tcPr>
            <w:tcW w:w="92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1,311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3,996</w:t>
            </w: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1,345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4,078</w:t>
            </w: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9"/>
                <w:szCs w:val="19"/>
                <w:color w:val="auto"/>
              </w:rPr>
            </w:pPr>
          </w:p>
        </w:tc>
        <w:tc>
          <w:tcPr>
            <w:tcW w:w="25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3,748</w:t>
            </w:r>
          </w:p>
        </w:tc>
        <w:tc>
          <w:tcPr>
            <w:tcW w:w="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stock-based compensation costs in the amount of $500,000 and $1.9 million, respectively. These stock-based compensation costs were $727,000 and $2.4 million for the three and nine months ended September 30, 2024. As of September 30, 2025, unrecognized stock-based compensation costs to be recognized over future periods equaled $6.0 million. This amount will be recognized as expense over a weighted-average period of 3.47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nine months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0" w:type="dxa"/>
            <w:vAlign w:val="bottom"/>
          </w:tcPr>
          <w:p>
            <w:pPr>
              <w:spacing w:after="0"/>
              <w:rPr>
                <w:sz w:val="1"/>
                <w:szCs w:val="1"/>
                <w:color w:val="auto"/>
              </w:rPr>
            </w:pPr>
          </w:p>
        </w:tc>
      </w:tr>
      <w:tr>
        <w:trPr>
          <w:trHeight w:val="210"/>
        </w:trPr>
        <w:tc>
          <w:tcPr>
            <w:tcW w:w="4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2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1,430</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22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280" w:type="dxa"/>
            <w:vAlign w:val="bottom"/>
            <w:tcBorders>
              <w:top w:val="single" w:sz="8" w:color="EEEEEE"/>
            </w:tcBorders>
            <w:shd w:val="clear" w:color="auto" w:fill="EEEEEE"/>
          </w:tcPr>
          <w:p>
            <w:pPr>
              <w:spacing w:after="0"/>
              <w:rPr>
                <w:sz w:val="19"/>
                <w:szCs w:val="19"/>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340" w:type="dxa"/>
            <w:vAlign w:val="bottom"/>
            <w:tcBorders>
              <w:top w:val="single" w:sz="8" w:color="EEEEEE"/>
            </w:tcBorders>
            <w:shd w:val="clear" w:color="auto" w:fill="EEEEEE"/>
          </w:tcPr>
          <w:p>
            <w:pPr>
              <w:spacing w:after="0"/>
              <w:rPr>
                <w:sz w:val="19"/>
                <w:szCs w:val="19"/>
                <w:color w:val="auto"/>
              </w:rPr>
            </w:pPr>
          </w:p>
        </w:tc>
        <w:tc>
          <w:tcPr>
            <w:tcW w:w="16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EEEEEE"/>
            </w:tcBorders>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6.43</w:t>
            </w:r>
          </w:p>
        </w:tc>
        <w:tc>
          <w:tcPr>
            <w:tcW w:w="1680" w:type="dxa"/>
            <w:vAlign w:val="bottom"/>
            <w:tcBorders>
              <w:top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3.47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322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4,438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5.55</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2.35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bottom w:val="single" w:sz="8" w:color="EEEEEE"/>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4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31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4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3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7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8"/>
                <w:szCs w:val="18"/>
                <w:color w:val="auto"/>
              </w:rPr>
            </w:pP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1,098</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1,098</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1,197</w:t>
            </w: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897</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1,190</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1,190</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1,262</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$8.00 - $8.99</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$10.00 - $10.99</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1,613</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1,253</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1,612</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 aggregate intrinsic value of options outstanding and exercisable was $12.3 million. There were 1.4 million options exercised for the nine months ended September 30, 2025, compared to 1.7 million for the comparable period in 2024. The total intrinsic value of options exercised was $8.4 million and $8.0 million for the nine-month periods ended September 30, 2025, and 2024. There were 1,501,000 shares available for future stock option grants under existing plans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nine-months ended September 30, 2025, and 2024:</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340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2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1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89,362</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9.48</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473,202</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8.67</w:t>
            </w:r>
          </w:p>
        </w:tc>
        <w:tc>
          <w:tcPr>
            <w:tcW w:w="20" w:type="dxa"/>
            <w:vAlign w:val="bottom"/>
          </w:tcPr>
          <w:p>
            <w:pPr>
              <w:spacing w:after="0"/>
              <w:rPr>
                <w:sz w:val="16"/>
                <w:szCs w:val="16"/>
                <w:color w:val="auto"/>
              </w:rPr>
            </w:pPr>
          </w:p>
        </w:tc>
      </w:tr>
      <w:tr>
        <w:trPr>
          <w:trHeight w:val="230"/>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451,937</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876,456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w:t>
            </w:r>
          </w:p>
        </w:tc>
      </w:tr>
      <w:tr>
        <w:trPr>
          <w:trHeight w:val="234"/>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8.62</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641,299</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1,469,658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-608330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2025,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17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net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net acquired after 2017. Finance receivables, net measured at fair value are recorded separately on the Company’s Balance Sheet and are excluded from all tables in this footnote.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Finance Receivables, net of allowance for finance credit losses:</w:t>
      </w: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5,420</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39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September 30, 2025, and December 31, 2024:</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2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84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3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17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91 + days</w:t>
            </w: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3160" w:type="dxa"/>
            <w:vAlign w:val="bottom"/>
            <w:tcBorders>
              <w:top w:val="single" w:sz="8" w:color="EEEEEE"/>
              <w:bottom w:val="single" w:sz="8" w:color="EEEEEE"/>
            </w:tcBorders>
            <w:shd w:val="clear" w:color="auto" w:fill="EEEEEE"/>
          </w:tcPr>
          <w:p>
            <w:pPr>
              <w:spacing w:after="0"/>
              <w:rPr>
                <w:sz w:val="19"/>
                <w:szCs w:val="19"/>
                <w:color w:val="auto"/>
              </w:rPr>
            </w:pPr>
          </w:p>
        </w:tc>
        <w:tc>
          <w:tcPr>
            <w:tcW w:w="176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receivables totaling $40,000 and $271,000 at September 30, 2025, and December 31, 2024, respectively,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and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20" w:type="dxa"/>
            <w:vAlign w:val="bottom"/>
            <w:gridSpan w:val="5"/>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60" w:type="dxa"/>
            <w:vAlign w:val="bottom"/>
            <w:gridSpan w:val="4"/>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shd w:val="clear" w:color="auto" w:fill="EEEEEE"/>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060" w:type="dxa"/>
            <w:vAlign w:val="bottom"/>
            <w:gridSpan w:val="2"/>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684</w:t>
            </w:r>
          </w:p>
        </w:tc>
        <w:tc>
          <w:tcPr>
            <w:tcW w:w="860" w:type="dxa"/>
            <w:vAlign w:val="bottom"/>
            <w:shd w:val="clear" w:color="auto" w:fill="EEEEEE"/>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433</w:t>
            </w:r>
          </w:p>
        </w:tc>
        <w:tc>
          <w:tcPr>
            <w:tcW w:w="1000" w:type="dxa"/>
            <w:vAlign w:val="bottom"/>
            <w:gridSpan w:val="2"/>
            <w:shd w:val="clear" w:color="auto" w:fill="EEEEEE"/>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9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(994)</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(2,472)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(4,579)</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(544)</w:t>
            </w:r>
          </w:p>
        </w:tc>
        <w:tc>
          <w:tcPr>
            <w:tcW w:w="8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w w:val="98"/>
              </w:rPr>
              <w:t>(1,976)</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9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1,340</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4,172</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tcBorders>
              <w:top w:val="single" w:sz="8" w:color="auto"/>
              <w:bottom w:val="single" w:sz="8" w:color="auto"/>
            </w:tcBorders>
            <w:shd w:val="clear" w:color="auto" w:fill="EEEEEE"/>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2025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2020-C</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2027</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252,200</w:t>
            </w:r>
          </w:p>
        </w:tc>
        <w:tc>
          <w:tcPr>
            <w:tcW w:w="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22,453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2028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24,710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19,436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31,903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30,814</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49,739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December 2028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55,549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349,202</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46,683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49,477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77,872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2022-B</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October 2029</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101,335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395,600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85,400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132,002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89,070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141,176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2022-D</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2030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112,715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307,018</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96,940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135,857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96,162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146,020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2023-B</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152,355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332,885</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117,944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172,154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291,732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123,154</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175,219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2023-D</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May 2031</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156,958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286,149</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136,229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191,621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167,533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280,924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145,377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206,348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2024-B</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2031</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214,128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319,871</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192,643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262,768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283,539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379,254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2024-D</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2032</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327,936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416,816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298,515</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390,983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384,422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442,420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354,756</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2025-B</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March 2033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398,857</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419,950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369,875</w:t>
            </w:r>
          </w:p>
        </w:tc>
        <w:tc>
          <w:tcPr>
            <w:tcW w:w="1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396,919</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1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3,335,398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6,744,120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2,932,933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2,609,855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$279.4 million in 2025, $1,055.9 million in 2026, $736.0 million in 2027, $451.5 million in 2028, $257.3 million in 2029, $116.5 million in 2030, and $19.8 million in 2031.</w:t>
      </w:r>
    </w:p>
    <w:p>
      <w:pPr>
        <w:spacing w:after="0" w:line="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$16.5 million and $15.5 million as of September 30, 2025, and December 31, 2024,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securitization trust debt was sold in private placement transactions to qualified institutional buyers. The debt was issued through our wholly 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followed all such covenants as of September 30,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September 30, 2025, restricted cash under the various agreements totaled approximately $142.5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 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September 30, 2025, and December 31, 2024,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Subordinate Lender</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Description</w:t>
            </w:r>
          </w:p>
        </w:tc>
        <w:tc>
          <w:tcPr>
            <w:tcW w:w="120" w:type="dxa"/>
            <w:vAlign w:val="bottom"/>
            <w:tcBorders>
              <w:bottom w:val="single" w:sz="8" w:color="EEEEEE"/>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 Rate</w:t>
            </w:r>
          </w:p>
        </w:tc>
        <w:tc>
          <w:tcPr>
            <w:tcW w:w="120" w:type="dxa"/>
            <w:vAlign w:val="bottom"/>
            <w:tcBorders>
              <w:bottom w:val="single" w:sz="8" w:color="EEEEEE"/>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140" w:type="dxa"/>
            <w:vAlign w:val="bottom"/>
            <w:tcBorders>
              <w:bottom w:val="single" w:sz="8" w:color="EEEEEE"/>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22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22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rPr>
              <w:t>2.85% over CP yield rate</w:t>
            </w:r>
          </w:p>
        </w:tc>
        <w:tc>
          <w:tcPr>
            <w:tcW w:w="1900" w:type="dxa"/>
            <w:vAlign w:val="bottom"/>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6.40% over SOFR yield</w:t>
            </w:r>
          </w:p>
        </w:tc>
        <w:tc>
          <w:tcPr>
            <w:tcW w:w="140" w:type="dxa"/>
            <w:vAlign w:val="bottom"/>
            <w:shd w:val="clear" w:color="auto" w:fill="EEEEEE"/>
          </w:tcPr>
          <w:p>
            <w:pPr>
              <w:spacing w:after="0"/>
              <w:rPr>
                <w:sz w:val="16"/>
                <w:szCs w:val="16"/>
                <w:color w:val="auto"/>
              </w:rPr>
            </w:pPr>
          </w:p>
        </w:tc>
        <w:tc>
          <w:tcPr>
            <w:tcW w:w="19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rate (Minimum 7.15%)</w:t>
            </w: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(Minimum 3.75%) 7.18%</w:t>
            </w: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10.78% and 11.09% at</w:t>
            </w: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291,217</w:t>
            </w:r>
          </w:p>
        </w:tc>
        <w:tc>
          <w:tcPr>
            <w:tcW w:w="12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269,602</w:t>
            </w: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Warehouse lines of credit</w:t>
            </w:r>
          </w:p>
        </w:tc>
        <w:tc>
          <w:tcPr>
            <w:tcW w:w="20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 7.52% at September</w:t>
            </w:r>
          </w:p>
        </w:tc>
        <w:tc>
          <w:tcPr>
            <w:tcW w:w="2040" w:type="dxa"/>
            <w:vAlign w:val="bottom"/>
            <w:gridSpan w:val="2"/>
            <w:vMerge w:val="continue"/>
            <w:shd w:val="clear" w:color="auto" w:fill="EEEEEE"/>
          </w:tcPr>
          <w:p>
            <w:pPr>
              <w:spacing w:after="0"/>
              <w:rPr>
                <w:sz w:val="9"/>
                <w:szCs w:val="9"/>
                <w:color w:val="auto"/>
              </w:rPr>
            </w:pPr>
          </w:p>
        </w:tc>
        <w:tc>
          <w:tcPr>
            <w:tcW w:w="200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2026</w:t>
            </w:r>
          </w:p>
        </w:tc>
        <w:tc>
          <w:tcPr>
            <w:tcW w:w="120" w:type="dxa"/>
            <w:vAlign w:val="bottom"/>
            <w:vMerge w:val="continue"/>
            <w:shd w:val="clear" w:color="auto" w:fill="EEEEEE"/>
          </w:tcPr>
          <w:p>
            <w:pPr>
              <w:spacing w:after="0"/>
              <w:rPr>
                <w:sz w:val="9"/>
                <w:szCs w:val="9"/>
                <w:color w:val="auto"/>
              </w:rPr>
            </w:pPr>
          </w:p>
        </w:tc>
        <w:tc>
          <w:tcPr>
            <w:tcW w:w="1440" w:type="dxa"/>
            <w:vAlign w:val="bottom"/>
            <w:gridSpan w:val="2"/>
            <w:vMerge w:val="continue"/>
            <w:shd w:val="clear" w:color="auto" w:fill="EEEEEE"/>
          </w:tcPr>
          <w:p>
            <w:pPr>
              <w:spacing w:after="0"/>
              <w:rPr>
                <w:sz w:val="9"/>
                <w:szCs w:val="9"/>
                <w:color w:val="auto"/>
              </w:rPr>
            </w:pPr>
          </w:p>
        </w:tc>
        <w:tc>
          <w:tcPr>
            <w:tcW w:w="120" w:type="dxa"/>
            <w:vAlign w:val="bottom"/>
            <w:vMerge w:val="continue"/>
            <w:shd w:val="clear" w:color="auto" w:fill="EEEEEE"/>
          </w:tcPr>
          <w:p>
            <w:pPr>
              <w:spacing w:after="0"/>
              <w:rPr>
                <w:sz w:val="9"/>
                <w:szCs w:val="9"/>
                <w:color w:val="auto"/>
              </w:rPr>
            </w:pPr>
          </w:p>
        </w:tc>
        <w:tc>
          <w:tcPr>
            <w:tcW w:w="1240" w:type="dxa"/>
            <w:vAlign w:val="bottom"/>
            <w:gridSpan w:val="2"/>
            <w:vMerge w:val="continue"/>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 2025 and</w:t>
            </w:r>
          </w:p>
        </w:tc>
        <w:tc>
          <w:tcPr>
            <w:tcW w:w="2000" w:type="dxa"/>
            <w:vAlign w:val="bottom"/>
            <w:gridSpan w:val="2"/>
            <w:vMerge w:val="continue"/>
            <w:shd w:val="clear" w:color="auto" w:fill="EEEEEE"/>
          </w:tcPr>
          <w:p>
            <w:pPr>
              <w:spacing w:after="0"/>
              <w:rPr>
                <w:sz w:val="9"/>
                <w:szCs w:val="9"/>
                <w:color w:val="auto"/>
              </w:rPr>
            </w:pPr>
          </w:p>
        </w:tc>
        <w:tc>
          <w:tcPr>
            <w:tcW w:w="120" w:type="dxa"/>
            <w:vAlign w:val="bottom"/>
            <w:vMerge w:val="continue"/>
            <w:shd w:val="clear" w:color="auto" w:fill="EEEEEE"/>
          </w:tcPr>
          <w:p>
            <w:pPr>
              <w:spacing w:after="0"/>
              <w:rPr>
                <w:sz w:val="9"/>
                <w:szCs w:val="9"/>
                <w:color w:val="auto"/>
              </w:rPr>
            </w:pPr>
          </w:p>
        </w:tc>
        <w:tc>
          <w:tcPr>
            <w:tcW w:w="1440" w:type="dxa"/>
            <w:vAlign w:val="bottom"/>
            <w:gridSpan w:val="2"/>
            <w:vMerge w:val="continue"/>
            <w:shd w:val="clear" w:color="auto" w:fill="EEEEEE"/>
          </w:tcPr>
          <w:p>
            <w:pPr>
              <w:spacing w:after="0"/>
              <w:rPr>
                <w:sz w:val="9"/>
                <w:szCs w:val="9"/>
                <w:color w:val="auto"/>
              </w:rPr>
            </w:pPr>
          </w:p>
        </w:tc>
        <w:tc>
          <w:tcPr>
            <w:tcW w:w="120" w:type="dxa"/>
            <w:vAlign w:val="bottom"/>
            <w:vMerge w:val="continue"/>
            <w:shd w:val="clear" w:color="auto" w:fill="EEEEEE"/>
          </w:tcPr>
          <w:p>
            <w:pPr>
              <w:spacing w:after="0"/>
              <w:rPr>
                <w:sz w:val="9"/>
                <w:szCs w:val="9"/>
                <w:color w:val="auto"/>
              </w:rPr>
            </w:pPr>
          </w:p>
        </w:tc>
        <w:tc>
          <w:tcPr>
            <w:tcW w:w="1240" w:type="dxa"/>
            <w:vAlign w:val="bottom"/>
            <w:gridSpan w:val="2"/>
            <w:vMerge w:val="continue"/>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 2025 and December</w:t>
            </w: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December 31, 2024,</w:t>
            </w: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31 2024, respectively</w:t>
            </w: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40" w:type="dxa"/>
            <w:vAlign w:val="bottom"/>
            <w:gridSpan w:val="2"/>
            <w:vMerge w:val="continue"/>
            <w:shd w:val="clear" w:color="auto" w:fill="EEEEEE"/>
          </w:tcPr>
          <w:p>
            <w:pPr>
              <w:spacing w:after="0"/>
              <w:rPr>
                <w:sz w:val="10"/>
                <w:szCs w:val="10"/>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8"/>
              </w:rPr>
              <w:t>respectively</w:t>
            </w:r>
          </w:p>
        </w:tc>
        <w:tc>
          <w:tcPr>
            <w:tcW w:w="19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4.50% over a commercial</w:t>
            </w: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paper rate (Minimum</w:t>
            </w: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Warehouse lines of credit</w:t>
            </w: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rPr>
              <w:t>7.50%) 8.65% and 8.90%</w:t>
            </w: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20" w:type="dxa"/>
            <w:vAlign w:val="bottom"/>
            <w:shd w:val="clear" w:color="auto" w:fill="EEEEEE"/>
          </w:tcPr>
          <w:p>
            <w:pPr>
              <w:spacing w:after="0"/>
              <w:rPr>
                <w:sz w:val="18"/>
                <w:szCs w:val="18"/>
                <w:color w:val="auto"/>
              </w:rPr>
            </w:pPr>
          </w:p>
        </w:tc>
        <w:tc>
          <w:tcPr>
            <w:tcW w:w="144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51,685</w:t>
            </w:r>
          </w:p>
        </w:tc>
        <w:tc>
          <w:tcPr>
            <w:tcW w:w="120" w:type="dxa"/>
            <w:vAlign w:val="bottom"/>
            <w:shd w:val="clear" w:color="auto" w:fill="EEEEEE"/>
          </w:tcPr>
          <w:p>
            <w:pPr>
              <w:spacing w:after="0"/>
              <w:rPr>
                <w:sz w:val="18"/>
                <w:szCs w:val="18"/>
                <w:color w:val="auto"/>
              </w:rPr>
            </w:pPr>
          </w:p>
        </w:tc>
        <w:tc>
          <w:tcPr>
            <w:tcW w:w="1240" w:type="dxa"/>
            <w:vAlign w:val="bottom"/>
            <w:gridSpan w:val="2"/>
            <w:vMerge w:val="restart"/>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145,597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160" w:type="dxa"/>
            <w:vAlign w:val="bottom"/>
            <w:gridSpan w:val="2"/>
            <w:vMerge w:val="continue"/>
            <w:shd w:val="clear" w:color="auto" w:fill="EEEEEE"/>
          </w:tcPr>
          <w:p>
            <w:pPr>
              <w:spacing w:after="0"/>
              <w:rPr>
                <w:sz w:val="10"/>
                <w:szCs w:val="10"/>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at September 30 2025,</w:t>
            </w:r>
          </w:p>
        </w:tc>
        <w:tc>
          <w:tcPr>
            <w:tcW w:w="19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00" w:type="dxa"/>
            <w:vAlign w:val="bottom"/>
            <w:gridSpan w:val="2"/>
            <w:vMerge w:val="continue"/>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40" w:type="dxa"/>
            <w:vAlign w:val="bottom"/>
            <w:gridSpan w:val="2"/>
            <w:vMerge w:val="continue"/>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40" w:type="dxa"/>
            <w:vAlign w:val="bottom"/>
            <w:gridSpan w:val="2"/>
            <w:vMerge w:val="continue"/>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2040" w:type="dxa"/>
            <w:vAlign w:val="bottom"/>
            <w:gridSpan w:val="2"/>
            <w:vMerge w:val="continue"/>
            <w:shd w:val="clear" w:color="auto" w:fill="EEEEEE"/>
          </w:tcPr>
          <w:p>
            <w:pPr>
              <w:spacing w:after="0"/>
              <w:rPr>
                <w:sz w:val="7"/>
                <w:szCs w:val="7"/>
                <w:color w:val="auto"/>
              </w:rPr>
            </w:pPr>
          </w:p>
        </w:tc>
        <w:tc>
          <w:tcPr>
            <w:tcW w:w="1900" w:type="dxa"/>
            <w:vAlign w:val="bottom"/>
            <w:shd w:val="clear" w:color="auto" w:fill="EEEEEE"/>
          </w:tcPr>
          <w:p>
            <w:pPr>
              <w:spacing w:after="0"/>
              <w:rPr>
                <w:sz w:val="7"/>
                <w:szCs w:val="7"/>
                <w:color w:val="auto"/>
              </w:rPr>
            </w:pPr>
          </w:p>
        </w:tc>
        <w:tc>
          <w:tcPr>
            <w:tcW w:w="140" w:type="dxa"/>
            <w:vAlign w:val="bottom"/>
            <w:shd w:val="clear" w:color="auto" w:fill="EEEEEE"/>
          </w:tcPr>
          <w:p>
            <w:pPr>
              <w:spacing w:after="0"/>
              <w:rPr>
                <w:sz w:val="7"/>
                <w:szCs w:val="7"/>
                <w:color w:val="auto"/>
              </w:rPr>
            </w:pPr>
          </w:p>
        </w:tc>
        <w:tc>
          <w:tcPr>
            <w:tcW w:w="190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1220" w:type="dxa"/>
            <w:vAlign w:val="bottom"/>
            <w:shd w:val="clear" w:color="auto" w:fill="EEEEEE"/>
          </w:tcPr>
          <w:p>
            <w:pPr>
              <w:spacing w:after="0"/>
              <w:rPr>
                <w:sz w:val="7"/>
                <w:szCs w:val="7"/>
                <w:color w:val="auto"/>
              </w:rPr>
            </w:pPr>
          </w:p>
        </w:tc>
        <w:tc>
          <w:tcPr>
            <w:tcW w:w="22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1220" w:type="dxa"/>
            <w:vAlign w:val="bottom"/>
            <w:shd w:val="clear" w:color="auto" w:fill="EEEEEE"/>
          </w:tcPr>
          <w:p>
            <w:pPr>
              <w:spacing w:after="0"/>
              <w:rPr>
                <w:sz w:val="7"/>
                <w:szCs w:val="7"/>
                <w:color w:val="auto"/>
              </w:rPr>
            </w:pPr>
          </w:p>
        </w:tc>
        <w:tc>
          <w:tcPr>
            <w:tcW w:w="20" w:type="dxa"/>
            <w:vAlign w:val="bottom"/>
            <w:shd w:val="clear" w:color="auto" w:fill="EEEEEE"/>
          </w:tcPr>
          <w:p>
            <w:pPr>
              <w:spacing w:after="0"/>
              <w:rPr>
                <w:sz w:val="7"/>
                <w:szCs w:val="7"/>
                <w:color w:val="auto"/>
              </w:rPr>
            </w:pPr>
          </w:p>
        </w:tc>
        <w:tc>
          <w:tcPr>
            <w:tcW w:w="80" w:type="dxa"/>
            <w:vAlign w:val="bottom"/>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 December 31 2024,</w:t>
            </w: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8"/>
              </w:rPr>
              <w:t>respectively</w:t>
            </w:r>
          </w:p>
        </w:tc>
        <w:tc>
          <w:tcPr>
            <w:tcW w:w="19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Residual interest financing</w:t>
            </w:r>
          </w:p>
        </w:tc>
        <w:tc>
          <w:tcPr>
            <w:tcW w:w="19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7.86%</w:t>
            </w:r>
          </w:p>
        </w:tc>
        <w:tc>
          <w:tcPr>
            <w:tcW w:w="12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June 2026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36,490</w:t>
            </w:r>
          </w:p>
        </w:tc>
        <w:tc>
          <w:tcPr>
            <w:tcW w:w="1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Residual interest financing</w:t>
            </w:r>
          </w:p>
        </w:tc>
        <w:tc>
          <w:tcPr>
            <w:tcW w:w="19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11.50%</w:t>
            </w:r>
          </w:p>
        </w:tc>
        <w:tc>
          <w:tcPr>
            <w:tcW w:w="12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March 2029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49,988</w:t>
            </w:r>
          </w:p>
        </w:tc>
        <w:tc>
          <w:tcPr>
            <w:tcW w:w="1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Residual interest financing</w:t>
            </w:r>
          </w:p>
        </w:tc>
        <w:tc>
          <w:tcPr>
            <w:tcW w:w="19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2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June 2032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64,632</w:t>
            </w:r>
          </w:p>
        </w:tc>
        <w:tc>
          <w:tcPr>
            <w:tcW w:w="1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Weighted average rate of</w:t>
            </w: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maturity of October 2027</w:t>
            </w: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rPr>
              <w:t>8.99% and 9.24% at</w:t>
            </w: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continue"/>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Subordinated renewable</w:t>
            </w: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December 2026 at</w:t>
            </w: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 2025 and</w:t>
            </w: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continue"/>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44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28,589</w:t>
            </w:r>
          </w:p>
        </w:tc>
        <w:tc>
          <w:tcPr>
            <w:tcW w:w="120" w:type="dxa"/>
            <w:vAlign w:val="bottom"/>
            <w:shd w:val="clear" w:color="auto" w:fill="EEEEEE"/>
          </w:tcPr>
          <w:p>
            <w:pPr>
              <w:spacing w:after="0"/>
              <w:rPr>
                <w:sz w:val="9"/>
                <w:szCs w:val="9"/>
                <w:color w:val="auto"/>
              </w:rPr>
            </w:pPr>
          </w:p>
        </w:tc>
        <w:tc>
          <w:tcPr>
            <w:tcW w:w="1320" w:type="dxa"/>
            <w:vAlign w:val="bottom"/>
            <w:gridSpan w:val="3"/>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108"/>
        </w:trPr>
        <w:tc>
          <w:tcPr>
            <w:tcW w:w="216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notes</w:t>
            </w: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September 30, 2025 and</w:t>
            </w:r>
          </w:p>
        </w:tc>
        <w:tc>
          <w:tcPr>
            <w:tcW w:w="120" w:type="dxa"/>
            <w:vAlign w:val="bottom"/>
            <w:shd w:val="clear" w:color="auto" w:fill="EEEEEE"/>
          </w:tcPr>
          <w:p>
            <w:pPr>
              <w:spacing w:after="0"/>
              <w:rPr>
                <w:sz w:val="9"/>
                <w:szCs w:val="9"/>
                <w:color w:val="auto"/>
              </w:rPr>
            </w:pPr>
          </w:p>
        </w:tc>
        <w:tc>
          <w:tcPr>
            <w:tcW w:w="1440" w:type="dxa"/>
            <w:vAlign w:val="bottom"/>
            <w:gridSpan w:val="2"/>
            <w:vMerge w:val="continue"/>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320" w:type="dxa"/>
            <w:vAlign w:val="bottom"/>
            <w:gridSpan w:val="3"/>
            <w:vMerge w:val="continue"/>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December 31, 2024,</w:t>
            </w: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continue"/>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continue"/>
            <w:shd w:val="clear" w:color="auto" w:fill="EEEEEE"/>
          </w:tcPr>
          <w:p>
            <w:pPr>
              <w:spacing w:after="0"/>
              <w:rPr>
                <w:sz w:val="9"/>
                <w:szCs w:val="9"/>
                <w:color w:val="auto"/>
              </w:rPr>
            </w:pP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31, 2024,</w:t>
            </w: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8"/>
              </w:rPr>
              <w:t>respectively</w:t>
            </w:r>
          </w:p>
        </w:tc>
        <w:tc>
          <w:tcPr>
            <w:tcW w:w="19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0" w:type="dxa"/>
            <w:vAlign w:val="bottom"/>
            <w:gridSpan w:val="2"/>
            <w:vMerge w:val="continue"/>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40" w:type="dxa"/>
            <w:vAlign w:val="bottom"/>
            <w:gridSpan w:val="2"/>
            <w:vMerge w:val="continue"/>
            <w:shd w:val="clear" w:color="auto" w:fill="EEEEEE"/>
          </w:tcPr>
          <w:p>
            <w:pPr>
              <w:spacing w:after="0"/>
              <w:rPr>
                <w:sz w:val="10"/>
                <w:szCs w:val="10"/>
                <w:color w:val="auto"/>
              </w:rPr>
            </w:pPr>
          </w:p>
        </w:tc>
        <w:tc>
          <w:tcPr>
            <w:tcW w:w="19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0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9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00" w:type="dxa"/>
            <w:vAlign w:val="bottom"/>
            <w:gridSpan w:val="2"/>
            <w:vMerge w:val="continue"/>
            <w:shd w:val="clear" w:color="auto" w:fill="EEEEEE"/>
          </w:tcPr>
          <w:p>
            <w:pPr>
              <w:spacing w:after="0"/>
              <w:rPr>
                <w:sz w:val="10"/>
                <w:szCs w:val="10"/>
                <w:color w:val="auto"/>
              </w:rPr>
            </w:pPr>
          </w:p>
        </w:tc>
        <w:tc>
          <w:tcPr>
            <w:tcW w:w="120" w:type="dxa"/>
            <w:vAlign w:val="bottom"/>
            <w:tcBorders>
              <w:bottom w:val="single" w:sz="8" w:color="auto"/>
            </w:tcBorders>
            <w:shd w:val="clear" w:color="auto" w:fill="EEEEEE"/>
          </w:tcPr>
          <w:p>
            <w:pPr>
              <w:spacing w:after="0"/>
              <w:rPr>
                <w:sz w:val="10"/>
                <w:szCs w:val="10"/>
                <w:color w:val="auto"/>
              </w:rPr>
            </w:pPr>
          </w:p>
        </w:tc>
        <w:tc>
          <w:tcPr>
            <w:tcW w:w="1220" w:type="dxa"/>
            <w:vAlign w:val="bottom"/>
            <w:tcBorders>
              <w:bottom w:val="single" w:sz="8" w:color="auto"/>
            </w:tcBorders>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20" w:type="dxa"/>
            <w:vAlign w:val="bottom"/>
            <w:tcBorders>
              <w:bottom w:val="single" w:sz="8" w:color="auto"/>
            </w:tcBorders>
            <w:shd w:val="clear" w:color="auto" w:fill="EEEEEE"/>
          </w:tcPr>
          <w:p>
            <w:pPr>
              <w:spacing w:after="0"/>
              <w:rPr>
                <w:sz w:val="10"/>
                <w:szCs w:val="10"/>
                <w:color w:val="auto"/>
              </w:rPr>
            </w:pPr>
          </w:p>
        </w:tc>
        <w:tc>
          <w:tcPr>
            <w:tcW w:w="1220" w:type="dxa"/>
            <w:vAlign w:val="bottom"/>
            <w:tcBorders>
              <w:bottom w:val="single" w:sz="8" w:color="auto"/>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 At September 30, 2025, there was $64.6 million outstanding under this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we increased the capacity of our revolving credit agreement with Citibank, N.A., to $335 million. This follows the November 2024 closing of a revolving credit agreement with Oaktree Capital Management, which is subordinate to our credit agreement with Citibank, N.A. The facility provides effective advances up to 10.00% of eligible finance receivables, effectively increasing the advance rate up to 95% across the facility for eligible receivables. The revolving credit agreement with Citibank, N.A. was last renewed in July 2024, extending the maturity date to July 2026 followed by an amortization period through July 2027 for any receivables pledged at the end of the revolving period. There was $291.2 million outstanding under this facility at September 30,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There was $51.7 million outstanding under this facility at September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September 30, 2025, there was $50.0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September 30, 2025, there was $36.5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$1.6 million and $824,000 as of September 30, 2025, and December 31, 2024, respectively, have been excluded from the amount reported above for residual interest financing. Similarly, unamortized debt issuance costs of $2.3 million and $4.3 million as of September 30, 2025, and December 31, 2024,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104,890</w:t>
            </w:r>
          </w:p>
        </w:tc>
        <w:tc>
          <w:tcPr>
            <w:tcW w:w="1040" w:type="dxa"/>
            <w:vAlign w:val="bottom"/>
            <w:gridSpan w:val="2"/>
            <w:shd w:val="clear" w:color="auto" w:fill="EEEEEE"/>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89,942</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307,484</w:t>
            </w:r>
          </w:p>
        </w:tc>
        <w:tc>
          <w:tcPr>
            <w:tcW w:w="6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255,546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1,516</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5,634</w:t>
            </w: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4,029</w:t>
            </w:r>
          </w:p>
        </w:tc>
        <w:tc>
          <w:tcPr>
            <w:tcW w:w="1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4,632</w:t>
            </w:r>
          </w:p>
        </w:tc>
      </w:tr>
      <w:tr>
        <w:trPr>
          <w:trHeight w:val="209"/>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107,166</w:t>
            </w:r>
          </w:p>
        </w:tc>
        <w:tc>
          <w:tcPr>
            <w:tcW w:w="1040" w:type="dxa"/>
            <w:vAlign w:val="bottom"/>
            <w:gridSpan w:val="2"/>
            <w:shd w:val="clear" w:color="auto" w:fill="EEEEEE"/>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93,158</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314,462</w:t>
            </w:r>
          </w:p>
        </w:tc>
        <w:tc>
          <w:tcPr>
            <w:tcW w:w="6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265,812</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580" w:type="dxa"/>
            <w:vAlign w:val="bottom"/>
            <w:gridSpan w:val="5"/>
          </w:tcPr>
          <w:p>
            <w:pPr>
              <w:jc w:val="center"/>
              <w:ind w:left="41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60" w:type="dxa"/>
            <w:vAlign w:val="bottom"/>
            <w:shd w:val="clear" w:color="auto" w:fill="EEEEEE"/>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w w:val="96"/>
              </w:rPr>
              <w:t>47,581</w:t>
            </w:r>
          </w:p>
        </w:tc>
        <w:tc>
          <w:tcPr>
            <w:tcW w:w="1040" w:type="dxa"/>
            <w:vAlign w:val="bottom"/>
            <w:gridSpan w:val="2"/>
            <w:shd w:val="clear" w:color="auto" w:fill="EEEEEE"/>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42,998</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138,182</w:t>
            </w:r>
          </w:p>
        </w:tc>
        <w:tc>
          <w:tcPr>
            <w:tcW w:w="44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116,859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21,439</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14,022</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4,085</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2,477</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11,048</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EEEEEE"/>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r>
      <w:tr>
        <w:trPr>
          <w:trHeight w:val="210"/>
        </w:trPr>
        <w:tc>
          <w:tcPr>
            <w:tcW w:w="474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59,098</w:t>
            </w:r>
          </w:p>
        </w:tc>
        <w:tc>
          <w:tcPr>
            <w:tcW w:w="1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50,056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172,720</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138,735</w:t>
            </w:r>
          </w:p>
        </w:tc>
        <w:tc>
          <w:tcPr>
            <w:tcW w:w="10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and nine-month periods ended September 30, 2025, and 2024 were calculated using the weighted average number of shares outstanding for the related period. The following table reconciles the number of shares used in the computations of basic and diluted earnings per share for the three-month and nine-month periods ended September 30, 2025, and 2024: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5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during the period used to compute basic earnings per share</w:t>
            </w:r>
          </w:p>
        </w:tc>
        <w:tc>
          <w:tcPr>
            <w:tcW w:w="8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6"/>
              </w:rPr>
              <w:t>22,209</w:t>
            </w:r>
          </w:p>
        </w:tc>
        <w:tc>
          <w:tcPr>
            <w:tcW w:w="88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21,343</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21,852</w:t>
            </w:r>
          </w:p>
        </w:tc>
        <w:tc>
          <w:tcPr>
            <w:tcW w:w="4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21,250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Incremental common shares attributable to exercise of</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outstanding options and warrants</w:t>
            </w:r>
          </w:p>
        </w:tc>
        <w:tc>
          <w:tcPr>
            <w:tcW w:w="8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1,837</w:t>
            </w:r>
          </w:p>
        </w:tc>
        <w:tc>
          <w:tcPr>
            <w:tcW w:w="88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2,810</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2,335</w:t>
            </w:r>
          </w:p>
        </w:tc>
        <w:tc>
          <w:tcPr>
            <w:tcW w:w="4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to compute</w:t>
            </w:r>
          </w:p>
        </w:tc>
        <w:tc>
          <w:tcPr>
            <w:tcW w:w="84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6"/>
              </w:rPr>
              <w:t>24,046</w:t>
            </w:r>
          </w:p>
        </w:tc>
        <w:tc>
          <w:tcPr>
            <w:tcW w:w="880" w:type="dxa"/>
            <w:vAlign w:val="bottom"/>
            <w:shd w:val="clear" w:color="auto" w:fill="EEEEEE"/>
          </w:tcPr>
          <w:p>
            <w:pPr>
              <w:spacing w:after="0"/>
              <w:rPr>
                <w:sz w:val="17"/>
                <w:szCs w:val="17"/>
                <w:color w:val="auto"/>
              </w:rPr>
            </w:pPr>
          </w:p>
        </w:tc>
        <w:tc>
          <w:tcPr>
            <w:tcW w:w="82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24,153</w:t>
            </w:r>
          </w:p>
        </w:tc>
        <w:tc>
          <w:tcPr>
            <w:tcW w:w="16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24,187</w:t>
            </w:r>
          </w:p>
        </w:tc>
        <w:tc>
          <w:tcPr>
            <w:tcW w:w="440" w:type="dxa"/>
            <w:vAlign w:val="bottom"/>
            <w:shd w:val="clear" w:color="auto" w:fill="EEEEEE"/>
          </w:tcPr>
          <w:p>
            <w:pPr>
              <w:spacing w:after="0"/>
              <w:rPr>
                <w:sz w:val="17"/>
                <w:szCs w:val="17"/>
                <w:color w:val="auto"/>
              </w:rPr>
            </w:pPr>
          </w:p>
        </w:tc>
        <w:tc>
          <w:tcPr>
            <w:tcW w:w="10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24,340</w:t>
            </w:r>
          </w:p>
        </w:tc>
        <w:tc>
          <w:tcPr>
            <w:tcW w:w="0" w:type="dxa"/>
            <w:vAlign w:val="bottom"/>
          </w:tcPr>
          <w:p>
            <w:pPr>
              <w:spacing w:after="0"/>
              <w:rPr>
                <w:sz w:val="1"/>
                <w:szCs w:val="1"/>
                <w:color w:val="auto"/>
              </w:rPr>
            </w:pPr>
          </w:p>
        </w:tc>
      </w:tr>
      <w:tr>
        <w:trPr>
          <w:trHeight w:val="221"/>
        </w:trPr>
        <w:tc>
          <w:tcPr>
            <w:tcW w:w="56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gridSpan w:val="2"/>
            <w:vMerge w:val="continue"/>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vMerge w:val="continue"/>
            <w:shd w:val="clear" w:color="auto" w:fill="EEEEEE"/>
          </w:tcPr>
          <w:p>
            <w:pPr>
              <w:spacing w:after="0"/>
              <w:rPr>
                <w:sz w:val="19"/>
                <w:szCs w:val="19"/>
                <w:color w:val="auto"/>
              </w:rPr>
            </w:pPr>
          </w:p>
        </w:tc>
        <w:tc>
          <w:tcPr>
            <w:tcW w:w="1660" w:type="dxa"/>
            <w:vAlign w:val="bottom"/>
            <w:gridSpan w:val="2"/>
            <w:vMerge w:val="continue"/>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0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nine-month period ended September 30, 2025, would have included an additional 1.6 million shares attributable to the exercise of outstanding options and warrants. For the three-month and nine-month periods ended September 30, 2024, 1.6 million and 1.7 million shares, respectively, would be included in the diluted earnings per share calculation.</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events that have been recognized in the financial statements. A valuation allowance is recognized to reduce a deferred tax asset if, based on the weight of all available evidence, it is more likely than not that some or all of the deferred tax asset will not be realized. When making this judgment, both positive and negative evidence is considered, with the most weight given to evidence that can be objectively verified. The recognition of deferred tax liabilities, however, does not require a similar more likely than not test for realization. They are recognized with the expectation that they will be settled in future periods when the related taxable temporary differences reverse. As of September 2025, we have a net deferred tax liabilities of $674,000. Our net deferred tax liabilities of $674,000 consists of approximately $847,000 of net U.S. federal deferred tax liabilities and $173,000 of net state deferred tax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$2.2 million for the three months and $6.4 million nine months ended September 30, 2025, representing effective income tax rates of 31%, compared to income tax expense of $2.1 million and 6.0 million for the three months and nine months ended September 30, 2024, and representing effective income tax rates of 30% respectively.</w:t>
      </w:r>
    </w:p>
    <w:p>
      <w:pPr>
        <w:spacing w:after="0" w:line="172"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Prior to the motion being ruled upon, summary judgment was granted in our favor, disposing of the claims against CPS. An appeal of the summary judgment ruling was filed on October 25, 2024, and we filed a cross appeal of the denial of the motion to compel arbitration on October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September 30, 2025, our best estimate of probable incurred losses for legal contingencies, including the matters identified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identified above, as of September 30, 2025, does not exceed $3.2 million.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2025,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82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3,559,029</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2,960,375</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3,313,767</w:t>
            </w:r>
          </w:p>
        </w:tc>
        <w:tc>
          <w:tcPr>
            <w:tcW w:w="440" w:type="dxa"/>
            <w:vAlign w:val="bottom"/>
            <w:gridSpan w:val="2"/>
            <w:shd w:val="clear" w:color="auto" w:fill="EEEEEE"/>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2,722,662</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392,822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442,126</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1,275,701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1,195,886</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(260,043)</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(217,945)</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(777,612)</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(637,844)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(66,867)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(57,746)</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(193,415)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(164,394)</w:t>
            </w: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6,500</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3,624,941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3,132,310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3,624,941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3,132,310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1"/>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4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3,759,339</w:t>
            </w:r>
          </w:p>
        </w:tc>
        <w:tc>
          <w:tcPr>
            <w:tcW w:w="4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3,624,941</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3,485,540</w:t>
            </w:r>
          </w:p>
        </w:tc>
        <w:tc>
          <w:tcPr>
            <w:tcW w:w="42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60" w:type="dxa"/>
            <w:vAlign w:val="bottom"/>
          </w:tcPr>
          <w:p>
            <w:pPr>
              <w:spacing w:after="0"/>
              <w:rPr>
                <w:sz w:val="20"/>
                <w:szCs w:val="20"/>
                <w:color w:val="auto"/>
              </w:rPr>
            </w:pPr>
          </w:p>
        </w:tc>
        <w:tc>
          <w:tcPr>
            <w:tcW w:w="26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Weight Avg. Inputs as of</w:t>
            </w:r>
          </w:p>
        </w:tc>
        <w:tc>
          <w:tcPr>
            <w:tcW w:w="0" w:type="dxa"/>
            <w:vAlign w:val="bottom"/>
          </w:tcPr>
          <w:p>
            <w:pPr>
              <w:spacing w:after="0"/>
              <w:rPr>
                <w:sz w:val="1"/>
                <w:szCs w:val="1"/>
                <w:color w:val="auto"/>
              </w:rPr>
            </w:pPr>
          </w:p>
        </w:tc>
      </w:tr>
      <w:tr>
        <w:trPr>
          <w:trHeight w:val="201"/>
        </w:trPr>
        <w:tc>
          <w:tcPr>
            <w:tcW w:w="3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3,624,941</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3,313,767</w:t>
            </w:r>
          </w:p>
        </w:tc>
        <w:tc>
          <w:tcPr>
            <w:tcW w:w="178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September 30, 2025, and December 31, 2024:</w:t>
      </w:r>
    </w:p>
    <w:p>
      <w:pPr>
        <w:spacing w:after="0" w:line="387"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6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3,234,924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2,969,864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247,787</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61</w:t>
            </w:r>
          </w:p>
        </w:tc>
        <w:tc>
          <w:tcPr>
            <w:tcW w:w="2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111,169</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113,662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58,631</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w:t>
            </w:r>
          </w:p>
        </w:tc>
        <w:tc>
          <w:tcPr>
            <w:tcW w:w="17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106,828</w:t>
            </w: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95,321</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3,759,339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3,485,540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estimated fair values of financial assets and liabilities, excluding assets carried at fair value, on September 30, 2025, and December 31, 2024,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9,388</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9,388</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9,388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142,506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142,506</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142,506</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340,645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340,645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340,645</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149,501</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149,501</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149,501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11,573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11,573</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2,916,439</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2,912,901</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2,912,901</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28,589</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28,589</w:t>
            </w:r>
          </w:p>
        </w:tc>
        <w:tc>
          <w:tcPr>
            <w:tcW w:w="0" w:type="dxa"/>
            <w:vAlign w:val="bottom"/>
          </w:tcPr>
          <w:p>
            <w:pPr>
              <w:spacing w:after="0"/>
              <w:rPr>
                <w:sz w:val="1"/>
                <w:szCs w:val="1"/>
                <w:color w:val="auto"/>
              </w:rPr>
            </w:pPr>
          </w:p>
        </w:tc>
      </w:tr>
      <w:tr>
        <w:trPr>
          <w:trHeight w:val="643"/>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11,713</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125,684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410,898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10,663</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2,594,384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26,489</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Company’s one reportable segment, it provides indirect vehicle financing to motor vehicle dealer’s less credit- worthy borrowers. The Company’s revenue primarily consists of interest income and is derived from the interest recorded on contracts the Company has purchased. The revenue generated from any individual borrower is deemed to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17, 2025, we closed a new two-year $167.5 million revolving credit agreement with Capital One, N.A. The credit facility includes a subordinate lender, in which it will provide effective advances up to 10% of eligible finance receivables, effectively increasing the advance rate up to 95.5% across the facility. The revolving period for this facility will extend to October 2027 followed by an amortization period through April 2028 for any receivables pledged at the end of the revolving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2025, we executed our fourth securitization of 2025. In the transaction, qualified institutional buyers purchased $384.6 million of asset-backed notes secured by $392.5 million in automobile receivables originated by CPS. The sold notes, issued by CPS Auto Receivables Trust 2025-D,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5.72%.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680" w:hanging="672"/>
        <w:spacing w:after="0" w:line="26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September 30, 2025, we have originated a total of approximately $24.3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20" w:type="dxa"/>
            <w:vAlign w:val="bottom"/>
          </w:tcPr>
          <w:p>
            <w:pPr>
              <w:spacing w:after="0"/>
              <w:rPr>
                <w:sz w:val="16"/>
                <w:szCs w:val="16"/>
                <w:color w:val="auto"/>
              </w:rPr>
            </w:pP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Purchased in Period</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09"/>
        </w:trPr>
        <w:tc>
          <w:tcPr>
            <w:tcW w:w="36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20" w:type="dxa"/>
            <w:vAlign w:val="bottom"/>
          </w:tcPr>
          <w:p>
            <w:pPr>
              <w:spacing w:after="0"/>
              <w:rPr>
                <w:sz w:val="18"/>
                <w:szCs w:val="18"/>
                <w:color w:val="auto"/>
              </w:rPr>
            </w:pPr>
          </w:p>
        </w:tc>
      </w:tr>
      <w:tr>
        <w:trPr>
          <w:trHeight w:val="216"/>
        </w:trPr>
        <w:tc>
          <w:tcPr>
            <w:tcW w:w="3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20" w:type="dxa"/>
            <w:vAlign w:val="bottom"/>
            <w:shd w:val="clear" w:color="auto" w:fill="EEEEEE"/>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20" w:type="dxa"/>
            <w:vAlign w:val="bottom"/>
          </w:tcPr>
          <w:p>
            <w:pPr>
              <w:spacing w:after="0"/>
              <w:rPr>
                <w:sz w:val="18"/>
                <w:szCs w:val="18"/>
                <w:color w:val="auto"/>
              </w:rPr>
            </w:pPr>
          </w:p>
        </w:tc>
      </w:tr>
      <w:tr>
        <w:trPr>
          <w:trHeight w:val="216"/>
        </w:trPr>
        <w:tc>
          <w:tcPr>
            <w:tcW w:w="3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20" w:type="dxa"/>
            <w:vAlign w:val="bottom"/>
            <w:shd w:val="clear" w:color="auto" w:fill="EEEEEE"/>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1,681,941</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3,665,725</w:t>
            </w:r>
          </w:p>
        </w:tc>
        <w:tc>
          <w:tcPr>
            <w:tcW w:w="120" w:type="dxa"/>
            <w:vAlign w:val="bottom"/>
          </w:tcPr>
          <w:p>
            <w:pPr>
              <w:spacing w:after="0"/>
              <w:rPr>
                <w:sz w:val="18"/>
                <w:szCs w:val="18"/>
                <w:color w:val="auto"/>
              </w:rPr>
            </w:pPr>
          </w:p>
        </w:tc>
      </w:tr>
      <w:tr>
        <w:trPr>
          <w:trHeight w:val="216"/>
        </w:trPr>
        <w:tc>
          <w:tcPr>
            <w:tcW w:w="3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1,275,293</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3,892,856</w:t>
            </w:r>
          </w:p>
        </w:tc>
        <w:tc>
          <w:tcPr>
            <w:tcW w:w="12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nine months ended September 30, 2025, we originated $11.0 million under this third-party program. As of September 30, 2025, our managed portfolio includes $132.5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1994 we have conducted 106 term securitizations of automobile contracts that we originated. As of September 30, 2025, 18 of those securitizations are active and all are structured as secured financings. We generally conduct our securitizations on a quarterly basis, near the beginning of each calendar quarter, resulting in four securitizations per calendar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5640" w:type="dxa"/>
            <w:vAlign w:val="bottom"/>
            <w:gridSpan w:val="4"/>
          </w:tcPr>
          <w:p>
            <w:pPr>
              <w:ind w:left="208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1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4"/>
          </w:tcPr>
          <w:p>
            <w:pPr>
              <w:ind w:left="12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9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 Pledged</w:t>
            </w:r>
          </w:p>
        </w:tc>
        <w:tc>
          <w:tcPr>
            <w:tcW w:w="120" w:type="dxa"/>
            <w:vAlign w:val="bottom"/>
          </w:tcPr>
          <w:p>
            <w:pPr>
              <w:spacing w:after="0"/>
              <w:rPr>
                <w:sz w:val="16"/>
                <w:szCs w:val="16"/>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1920" w:type="dxa"/>
            <w:vAlign w:val="bottom"/>
          </w:tcPr>
          <w:p>
            <w:pPr>
              <w:spacing w:after="0"/>
              <w:rPr>
                <w:sz w:val="20"/>
                <w:szCs w:val="20"/>
                <w:color w:val="auto"/>
              </w:rPr>
            </w:pPr>
          </w:p>
        </w:tc>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10"/>
        </w:trPr>
        <w:tc>
          <w:tcPr>
            <w:tcW w:w="1920" w:type="dxa"/>
            <w:vAlign w:val="bottom"/>
          </w:tcPr>
          <w:p>
            <w:pPr>
              <w:spacing w:after="0"/>
              <w:rPr>
                <w:sz w:val="18"/>
                <w:szCs w:val="18"/>
                <w:color w:val="auto"/>
              </w:rPr>
            </w:pPr>
          </w:p>
        </w:tc>
        <w:tc>
          <w:tcPr>
            <w:tcW w:w="35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EEEEEE"/>
            </w:tcBorders>
            <w:shd w:val="clear" w:color="auto" w:fill="EEEEEE"/>
          </w:tcPr>
          <w:p>
            <w:pPr>
              <w:spacing w:after="0"/>
              <w:rPr>
                <w:sz w:val="18"/>
                <w:szCs w:val="18"/>
                <w:color w:val="auto"/>
              </w:rPr>
            </w:pPr>
          </w:p>
        </w:tc>
        <w:tc>
          <w:tcPr>
            <w:tcW w:w="16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EEEEE"/>
          </w:tcPr>
          <w:p>
            <w:pPr>
              <w:spacing w:after="0"/>
              <w:rPr>
                <w:sz w:val="18"/>
                <w:szCs w:val="18"/>
                <w:color w:val="auto"/>
              </w:rPr>
            </w:pPr>
          </w:p>
        </w:tc>
        <w:tc>
          <w:tcPr>
            <w:tcW w:w="1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20" w:type="dxa"/>
            <w:vAlign w:val="bottom"/>
            <w:shd w:val="clear" w:color="auto" w:fill="EEEEEE"/>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1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EEEEE"/>
          </w:tcPr>
          <w:p>
            <w:pPr>
              <w:spacing w:after="0"/>
              <w:rPr>
                <w:sz w:val="18"/>
                <w:szCs w:val="18"/>
                <w:color w:val="auto"/>
              </w:rPr>
            </w:pPr>
          </w:p>
        </w:tc>
        <w:tc>
          <w:tcPr>
            <w:tcW w:w="1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120" w:type="dxa"/>
            <w:vAlign w:val="bottom"/>
            <w:shd w:val="clear" w:color="auto" w:fill="EEEEEE"/>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1,533,854</w:t>
            </w:r>
          </w:p>
        </w:tc>
        <w:tc>
          <w:tcPr>
            <w:tcW w:w="1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7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EEEEEE"/>
          </w:tcPr>
          <w:p>
            <w:pPr>
              <w:spacing w:after="0"/>
              <w:rPr>
                <w:sz w:val="18"/>
                <w:szCs w:val="18"/>
                <w:color w:val="auto"/>
              </w:rPr>
            </w:pPr>
          </w:p>
        </w:tc>
        <w:tc>
          <w:tcPr>
            <w:tcW w:w="1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1,335,329</w:t>
            </w:r>
          </w:p>
        </w:tc>
        <w:tc>
          <w:tcPr>
            <w:tcW w:w="12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$535 million over two credit facilities. The first credit facility was established in May 2012 with Citibank, N.A. This facility was most recently renewed in July 2024, extending the revolving period to July 2026, with an optional amortization period through July 2027. In addition, a subordinated lender was added to the credit facility in November 2024, effectively increasing our advance rate to a maximum of 95% for eligible receivables across the facility. The capacity was then increased from $200 million at the most recent renewal date to $335 million in December 2024.</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with Ares Agent Services, L.P.. In June 2022, we increased the capacity of that credit agreement from $100 million to $200 million. This facility was most recently renewed in March 2024, extending the revolving period to March 2026, followed by an amortization period to March 2028.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have also completed financings of our residual interests in other securitizations that we and our affiliates previously sponsored. 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 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events of default were to be accompanied by acceleration of such other indebtedness. As of September 30, 2025,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September 30, 2025, with the three months ended September30,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September 30, 2025, our revenues were $108.4 million, an increase of $7.8 million, or 7.8%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$100.6 million. The primary reason for the increase in revenues is the increase in interest income resulting from the increase in the average outstanding balance of finance receivables measured at fair value. Revenues for the three months ended September 30, 2025, did not include a mark to the recorded value of the finance receivables measured at fair value.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no marks to finance receivables measured at fair value. There was a $5.5 million mark up to the fair value portfolio in the prior year period.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September 30, 2025, increased $14.0 million, or 15.0%, to $107.2 million from $93.2 million in the prior year. The primary reason for the increase in interest income is the 14.2% increase in the average balance of our loan portfolio over the prior year period. The interest yield on our total loan portfolio is 11.4% for both current and in the prior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September 30,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3,745,325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107,166</w:t>
            </w:r>
          </w:p>
        </w:tc>
        <w:tc>
          <w:tcPr>
            <w:tcW w:w="180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11.4%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3,278,336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93,158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$1.3 million for the three months ended September 30, 2025, compared to $1.9 million for the comparable period in 2024. This $667,000 decrease was primarily driven by the decrease in origination and servicing fees we earned from third party receivables. These fees were $1.2 million for the quarter ended September 30, 2025, compared to $1.6 million in the prior year period.</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employee costs, sales and general and administrative expenses. Interest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$101.4 million for the three months ended September 30, 2025, compared to $93.7 million for the prior period, an increase of $7.7 million, or 8.2%. The increase is primarily due to increases in interest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$22.5 million during the three months ended September 30, 2025, compared to $24.2 million for the same quarter in the prior year, a decrease of $1.7 million, or 7.0%. The table below summarizes our employees by category as well as contract purchases and units in our managed portfolio as of, and for the three-month periods ended, September 30, 2025, and 2024:</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3,760.3</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212,509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$13.4 million, an increase of $145,000 from $13.3 million in the prior year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2025, was $59.1 million and represented 58.3% of total operating expenses, compared to $50.1 million in the previous year, when it was 53.4% of total operating expenses. The $9.0 million increase in interest expense compared to the prior year period was largely due to increases in the average balance of our securitization trust debt, warehouse credit line debt and residual interest financing debt. To a lesser extent, the increase is also due to the increase in the interest rate on our securitization trust debt.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$4.6 million for the three months ended September 30, 2025, compared to the prior period. The average balance of securitization trust debt increased to $2.830 million for the three months ended September 30, 2025, compared to $2,706.3 million for the three months ended September 30, 2024. The annualized average rate on our securitization trust debt was 6.7% for the three months ended September 30, 2025, compared to 6.4%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top w:val="single" w:sz="8" w:color="EEEEEE"/>
            </w:tcBorders>
            <w:shd w:val="clear" w:color="auto" w:fill="EEEEEE"/>
          </w:tcPr>
          <w:p>
            <w:pPr>
              <w:spacing w:after="0"/>
              <w:rPr>
                <w:sz w:val="18"/>
                <w:szCs w:val="18"/>
                <w:color w:val="auto"/>
              </w:rPr>
            </w:pPr>
          </w:p>
        </w:tc>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2022</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2022</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2022</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June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September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May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$2.7 million to $6.7 million for the three months ended September 30, 2025, compared to $4.0 million in the prior year period. The increase was primarily due to the higher utilization of our credit lines during the quarter compared to last year. The average balance of our warehouse debt was $284.6 million during the three months ended September 30, 2025, compared to $132.3 million for the same period in 2024. The annualized average rate on our credit line debt was 9.4% for the three months ended September 30, 2025, compared to 12.1% in the prior year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$722,000 for the three months ended September 30, 2025. The average balance of the outstanding subordinated debt was $29.0 million for the three months September 30, 2025, compared to $23.2 million for the prior year period. The average yield of subordinated notes is 10.0% for both current and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and again on March 20, 2025, we completed a securitization of residual interests from other previously issued securitizations in the amount of $50 million, $50 million, and $65 million, respectively. Interest expense for these residual interest financings was $4.1 million for the three months ended September 30, 2025, compared to 2.5 million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6"/>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22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2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3,745,325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107,166</w:t>
            </w: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3,278,336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93,158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92"/>
        </w:trPr>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284,638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132,254</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165,000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2,829,527</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47,581</w:t>
            </w: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2,706,266</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42,998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28,976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23,237</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EEEEEE"/>
            </w:tcBorders>
            <w:shd w:val="clear" w:color="auto" w:fill="000000"/>
          </w:tcPr>
          <w:p>
            <w:pPr>
              <w:spacing w:after="0" w:line="20" w:lineRule="exact"/>
              <w:rPr>
                <w:sz w:val="1"/>
                <w:szCs w:val="1"/>
                <w:color w:val="auto"/>
              </w:rPr>
            </w:pPr>
          </w:p>
        </w:tc>
        <w:tc>
          <w:tcPr>
            <w:tcW w:w="1480" w:type="dxa"/>
            <w:vAlign w:val="bottom"/>
            <w:gridSpan w:val="3"/>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34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236"/>
        </w:trPr>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3,308,141</w:t>
            </w:r>
          </w:p>
        </w:tc>
        <w:tc>
          <w:tcPr>
            <w:tcW w:w="200" w:type="dxa"/>
            <w:vAlign w:val="bottom"/>
            <w:shd w:val="clear" w:color="auto" w:fill="EEEEEE"/>
          </w:tcPr>
          <w:p>
            <w:pPr>
              <w:spacing w:after="0"/>
              <w:rPr>
                <w:sz w:val="20"/>
                <w:szCs w:val="20"/>
                <w:color w:val="auto"/>
              </w:rPr>
            </w:pP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59,098</w:t>
            </w:r>
          </w:p>
        </w:tc>
        <w:tc>
          <w:tcPr>
            <w:tcW w:w="1480" w:type="dxa"/>
            <w:vAlign w:val="bottom"/>
            <w:gridSpan w:val="3"/>
            <w:vMerge w:val="continue"/>
            <w:shd w:val="clear" w:color="auto" w:fill="EEEEEE"/>
          </w:tcPr>
          <w:p>
            <w:pPr>
              <w:spacing w:after="0"/>
              <w:rPr>
                <w:sz w:val="20"/>
                <w:szCs w:val="20"/>
                <w:color w:val="auto"/>
              </w:rPr>
            </w:pP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2,961,757</w:t>
            </w:r>
          </w:p>
        </w:tc>
        <w:tc>
          <w:tcPr>
            <w:tcW w:w="20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220" w:type="dxa"/>
            <w:vAlign w:val="bottom"/>
            <w:vMerge w:val="continue"/>
            <w:shd w:val="clear" w:color="auto" w:fill="EEEEEE"/>
          </w:tcPr>
          <w:p>
            <w:pPr>
              <w:spacing w:after="0"/>
              <w:rPr>
                <w:sz w:val="20"/>
                <w:szCs w:val="20"/>
                <w:color w:val="auto"/>
              </w:rPr>
            </w:pPr>
          </w:p>
        </w:tc>
        <w:tc>
          <w:tcPr>
            <w:tcW w:w="134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48,068</w:t>
            </w:r>
          </w:p>
        </w:tc>
        <w:tc>
          <w:tcPr>
            <w:tcW w:w="140" w:type="dxa"/>
            <w:vAlign w:val="bottom"/>
            <w:tcBorders>
              <w:bottom w:val="single" w:sz="8" w:color="EEEEEE"/>
            </w:tcBorders>
            <w:shd w:val="clear" w:color="auto" w:fill="EEEEEE"/>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220" w:type="dxa"/>
            <w:vAlign w:val="bottom"/>
            <w:tcBorders>
              <w:bottom w:val="single" w:sz="8" w:color="EEEEEE"/>
            </w:tcBorders>
            <w:shd w:val="clear" w:color="auto" w:fill="EEEEEE"/>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yield (2)</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97"/>
        </w:trPr>
        <w:tc>
          <w:tcPr>
            <w:tcW w:w="248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8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w:t>
            </w: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0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00" w:type="dxa"/>
            <w:vAlign w:val="bottom"/>
            <w:tcBorders>
              <w:right w:val="single" w:sz="8" w:color="EEEEEE"/>
            </w:tcBorders>
            <w:shd w:val="clear" w:color="auto" w:fill="EEEEEE"/>
          </w:tcPr>
          <w:p>
            <w:pPr>
              <w:spacing w:after="0"/>
              <w:rPr>
                <w:sz w:val="20"/>
                <w:szCs w:val="20"/>
                <w:color w:val="auto"/>
              </w:rPr>
            </w:pP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5"/>
        </w:trPr>
        <w:tc>
          <w:tcPr>
            <w:tcW w:w="2760" w:type="dxa"/>
            <w:vAlign w:val="bottom"/>
            <w:gridSpan w:val="7"/>
          </w:tcPr>
          <w:p>
            <w:pPr>
              <w:jc w:val="right"/>
              <w:ind w:right="60"/>
              <w:spacing w:after="0" w:line="245" w:lineRule="exact"/>
              <w:rPr>
                <w:sz w:val="20"/>
                <w:szCs w:val="20"/>
                <w:color w:val="auto"/>
              </w:rPr>
            </w:pPr>
            <w:r>
              <w:rPr>
                <w:rFonts w:ascii="Times New Roman" w:cs="Times New Roman" w:eastAsia="Times New Roman" w:hAnsi="Times New Roman"/>
                <w:sz w:val="22"/>
                <w:szCs w:val="22"/>
                <w:color w:val="auto"/>
                <w:w w:val="97"/>
              </w:rPr>
              <w:t>_________________________</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20" w:hanging="28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7" w:lineRule="exact"/>
        <w:rPr>
          <w:rFonts w:ascii="Times New Roman" w:cs="Times New Roman" w:eastAsia="Times New Roman" w:hAnsi="Times New Roman"/>
          <w:sz w:val="18"/>
          <w:szCs w:val="18"/>
          <w:color w:val="auto"/>
        </w:rPr>
      </w:pPr>
    </w:p>
    <w:p>
      <w:pPr>
        <w:ind w:left="520" w:hanging="28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8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2600" w:type="dxa"/>
            <w:vAlign w:val="bottom"/>
          </w:tcPr>
          <w:p>
            <w:pPr>
              <w:spacing w:after="0"/>
              <w:rPr>
                <w:sz w:val="19"/>
                <w:szCs w:val="19"/>
                <w:color w:val="auto"/>
              </w:rPr>
            </w:pPr>
          </w:p>
        </w:tc>
      </w:tr>
      <w:tr>
        <w:trPr>
          <w:trHeight w:val="238"/>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2024</w:t>
            </w:r>
          </w:p>
        </w:tc>
        <w:tc>
          <w:tcPr>
            <w:tcW w:w="2600" w:type="dxa"/>
            <w:vAlign w:val="bottom"/>
          </w:tcPr>
          <w:p>
            <w:pPr>
              <w:spacing w:after="0"/>
              <w:rPr>
                <w:sz w:val="20"/>
                <w:szCs w:val="20"/>
                <w:color w:val="auto"/>
              </w:rPr>
            </w:pPr>
          </w:p>
        </w:tc>
      </w:tr>
      <w:tr>
        <w:trPr>
          <w:trHeight w:val="201"/>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8"/>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2600" w:type="dxa"/>
            <w:vAlign w:val="bottom"/>
          </w:tcPr>
          <w:p>
            <w:pPr>
              <w:spacing w:after="0"/>
              <w:rPr>
                <w:sz w:val="20"/>
                <w:szCs w:val="20"/>
                <w:color w:val="auto"/>
              </w:rPr>
            </w:pPr>
          </w:p>
        </w:tc>
      </w:tr>
      <w:tr>
        <w:trPr>
          <w:trHeight w:val="210"/>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940" w:type="dxa"/>
            <w:vAlign w:val="bottom"/>
            <w:shd w:val="clear" w:color="auto" w:fill="EEEEEE"/>
          </w:tcPr>
          <w:p>
            <w:pPr>
              <w:spacing w:after="0"/>
              <w:rPr>
                <w:sz w:val="17"/>
                <w:szCs w:val="17"/>
                <w:color w:val="auto"/>
              </w:rPr>
            </w:pPr>
          </w:p>
        </w:tc>
        <w:tc>
          <w:tcPr>
            <w:tcW w:w="3100" w:type="dxa"/>
            <w:vAlign w:val="bottom"/>
            <w:gridSpan w:val="4"/>
            <w:shd w:val="clear" w:color="auto" w:fill="EEEEEE"/>
          </w:tcPr>
          <w:p>
            <w:pPr>
              <w:jc w:val="center"/>
              <w:ind w:right="10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0" w:type="dxa"/>
            <w:vAlign w:val="bottom"/>
          </w:tcPr>
          <w:p>
            <w:pPr>
              <w:spacing w:after="0"/>
              <w:rPr>
                <w:sz w:val="17"/>
                <w:szCs w:val="17"/>
                <w:color w:val="auto"/>
              </w:rPr>
            </w:pPr>
          </w:p>
        </w:tc>
      </w:tr>
      <w:tr>
        <w:trPr>
          <w:trHeight w:val="216"/>
        </w:trPr>
        <w:tc>
          <w:tcPr>
            <w:tcW w:w="108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800" w:type="dxa"/>
            <w:vAlign w:val="bottom"/>
            <w:tcBorders>
              <w:top w:val="single" w:sz="8" w:color="auto"/>
            </w:tcBorders>
          </w:tcPr>
          <w:p>
            <w:pPr>
              <w:spacing w:after="0"/>
              <w:rPr>
                <w:sz w:val="18"/>
                <w:szCs w:val="18"/>
                <w:color w:val="auto"/>
              </w:rPr>
            </w:pPr>
          </w:p>
        </w:tc>
        <w:tc>
          <w:tcPr>
            <w:tcW w:w="1160" w:type="dxa"/>
            <w:vAlign w:val="bottom"/>
            <w:tcBorders>
              <w:top w:val="single" w:sz="8" w:color="EEEEEE"/>
            </w:tcBorders>
            <w:gridSpan w:val="2"/>
          </w:tcPr>
          <w:p>
            <w:pPr>
              <w:spacing w:after="0"/>
              <w:rPr>
                <w:sz w:val="18"/>
                <w:szCs w:val="18"/>
                <w:color w:val="auto"/>
              </w:rPr>
            </w:pPr>
          </w:p>
        </w:tc>
        <w:tc>
          <w:tcPr>
            <w:tcW w:w="220" w:type="dxa"/>
            <w:vAlign w:val="bottom"/>
            <w:tcBorders>
              <w:top w:val="single" w:sz="8" w:color="EEEEEE"/>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EEEEEE"/>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14,008</w:t>
            </w:r>
          </w:p>
        </w:tc>
        <w:tc>
          <w:tcPr>
            <w:tcW w:w="260" w:type="dxa"/>
            <w:vAlign w:val="bottom"/>
            <w:tcBorders>
              <w:top w:val="single" w:sz="8" w:color="EEEEEE"/>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14,008</w:t>
            </w:r>
          </w:p>
        </w:tc>
        <w:tc>
          <w:tcPr>
            <w:tcW w:w="260" w:type="dxa"/>
            <w:vAlign w:val="bottom"/>
            <w:tcBorders>
              <w:top w:val="single" w:sz="8" w:color="EEEEEE"/>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18"/>
                <w:szCs w:val="18"/>
                <w:color w:val="auto"/>
              </w:rPr>
            </w:pPr>
          </w:p>
        </w:tc>
      </w:tr>
      <w:tr>
        <w:trPr>
          <w:trHeight w:val="216"/>
        </w:trPr>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0" w:type="dxa"/>
            <w:vAlign w:val="bottom"/>
          </w:tcPr>
          <w:p>
            <w:pPr>
              <w:spacing w:after="0"/>
              <w:rPr>
                <w:sz w:val="18"/>
                <w:szCs w:val="18"/>
                <w:color w:val="auto"/>
              </w:rPr>
            </w:pPr>
          </w:p>
        </w:tc>
      </w:tr>
      <w:tr>
        <w:trPr>
          <w:trHeight w:val="175"/>
        </w:trPr>
        <w:tc>
          <w:tcPr>
            <w:tcW w:w="404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21"/>
        </w:trPr>
        <w:tc>
          <w:tcPr>
            <w:tcW w:w="9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40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(1,921)</w:t>
            </w:r>
          </w:p>
        </w:tc>
        <w:tc>
          <w:tcPr>
            <w:tcW w:w="2600" w:type="dxa"/>
            <w:vAlign w:val="bottom"/>
          </w:tcPr>
          <w:p>
            <w:pPr>
              <w:spacing w:after="0"/>
              <w:rPr>
                <w:sz w:val="18"/>
                <w:szCs w:val="18"/>
                <w:color w:val="auto"/>
              </w:rPr>
            </w:pPr>
          </w:p>
        </w:tc>
      </w:tr>
      <w:tr>
        <w:trPr>
          <w:trHeight w:val="216"/>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18"/>
                <w:szCs w:val="18"/>
                <w:color w:val="auto"/>
              </w:rPr>
            </w:pPr>
          </w:p>
        </w:tc>
      </w:tr>
      <w:tr>
        <w:trPr>
          <w:trHeight w:val="216"/>
        </w:trPr>
        <w:tc>
          <w:tcPr>
            <w:tcW w:w="40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4,583</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2600" w:type="dxa"/>
            <w:vAlign w:val="bottom"/>
          </w:tcPr>
          <w:p>
            <w:pPr>
              <w:spacing w:after="0"/>
              <w:rPr>
                <w:sz w:val="18"/>
                <w:szCs w:val="18"/>
                <w:color w:val="auto"/>
              </w:rPr>
            </w:pPr>
          </w:p>
        </w:tc>
      </w:tr>
      <w:tr>
        <w:trPr>
          <w:trHeight w:val="229"/>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19"/>
                <w:szCs w:val="19"/>
                <w:color w:val="auto"/>
              </w:rPr>
            </w:pPr>
          </w:p>
        </w:tc>
      </w:tr>
      <w:tr>
        <w:trPr>
          <w:trHeight w:val="210"/>
        </w:trPr>
        <w:tc>
          <w:tcPr>
            <w:tcW w:w="9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EEEEEE"/>
            </w:tcBorders>
            <w:shd w:val="clear" w:color="auto" w:fill="EEEEEE"/>
          </w:tcPr>
          <w:p>
            <w:pPr>
              <w:spacing w:after="0"/>
              <w:rPr>
                <w:sz w:val="18"/>
                <w:szCs w:val="18"/>
                <w:color w:val="auto"/>
              </w:rPr>
            </w:pPr>
          </w:p>
        </w:tc>
        <w:tc>
          <w:tcPr>
            <w:tcW w:w="260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43"/>
        </w:trPr>
        <w:tc>
          <w:tcPr>
            <w:tcW w:w="40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20" w:type="dxa"/>
            <w:vAlign w:val="bottom"/>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4,966</w:t>
            </w:r>
          </w:p>
        </w:tc>
        <w:tc>
          <w:tcPr>
            <w:tcW w:w="26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2600" w:type="dxa"/>
            <w:vAlign w:val="bottom"/>
          </w:tcPr>
          <w:p>
            <w:pPr>
              <w:spacing w:after="0"/>
              <w:rPr>
                <w:sz w:val="21"/>
                <w:szCs w:val="21"/>
                <w:color w:val="auto"/>
              </w:rPr>
            </w:pPr>
          </w:p>
        </w:tc>
      </w:tr>
      <w:tr>
        <w:trPr>
          <w:trHeight w:val="20"/>
        </w:trPr>
        <w:tc>
          <w:tcPr>
            <w:tcW w:w="9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953"/>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Our evaluation of the allowance for credit losses indicated that the reserves against future losses are adequate as of September 30, 2025. The allowance applies only to our finance receivables originated through December 2017, which we refer to as our legacy portfolio. </w:t>
      </w:r>
      <w:r>
        <w:rPr>
          <w:rFonts w:ascii="Times New Roman" w:cs="Times New Roman" w:eastAsia="Times New Roman" w:hAnsi="Times New Roman"/>
          <w:sz w:val="17"/>
          <w:szCs w:val="17"/>
          <w:color w:val="auto"/>
        </w:rPr>
        <w:t>Finance receivables that we have originated since January 2018 are accounted for at fair value. Under the fair value method of accounting,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recognize interest income net of expected credit losses. Thus, no provision for credit loss expense is recorded for finance receivables measured at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we recorded a reduction to provision for credit losses on finance receivables in the amount of $712,000. The reserve decrease was primarily due to better-than-expected recovery rates and a decrease in lifetime expected credit losses resulting from improved credit performance as our previous estimates for future losses exceeded actual incurred losses. This compares to $994,000 in reductions to provision for credit losses for the three months ended September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 based on volume of contract purchases. Sales expense decreased by $41,000 to $5.7 million during the three months ended September 30, 2025, from $5.7 million for the same quarter in 2024. We purchased $391.1 million of new contracts during the three months ended September 30, 2025, compared to $445.9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were $1.2 million for the three months ending September 30, 2025, which is down from $1.3 million in the third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decreased to $207,000 compared to $214,000 in the previous 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we recorded income tax expense of $2.2 million, representing a 31% effective tax rate. In the prior period, our income tax expense was $2.1 million, representing a 30% effective tax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nine months ended September 30, 2025 with the nine months ended September 30,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nine months ended September 30, 2025, our revenues were $325.1 million, an increase of $36.9 million, or 12.8%,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$288.2 million. The primary reason for the increase in revenues is the increase in interest income resulting from the increase in the average outstanding balance of finance receivables measured at fair value. Revenues for the nine months ended September 30, 2025 include a $6.5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receivables and a mark down to the fair values of selected receivables. The net effect of the marks to the fair value resulted in a net mark up of $6.5 million. There was a $16.0 million mark up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nine months ended September 30, 2025 increased $48.7 million, or 18.3%, to $314.5 million from $265.8 million in the prior year. The primary reason for the increase in interest income is the 17.1% increase in the average balance of our loan portfolio over the prior year period. The interest yield on our total loan portfolio increased from 11.3% in the prior year period to 11.4%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nine months ended September 30,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0"/>
                <w:szCs w:val="20"/>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56"/>
        </w:trPr>
        <w:tc>
          <w:tcPr>
            <w:tcW w:w="23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3,666,975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314,462</w:t>
            </w:r>
          </w:p>
        </w:tc>
        <w:tc>
          <w:tcPr>
            <w:tcW w:w="178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11.4%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3,131,477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265,812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$4.1 million for the nine months ended September 30, 2025 compared to $6.4 million for the comparable period in 2024. This $2.3 million decrease was primarily driven by the decrease in origination and servicing fees we earned from third party receivables. These fees were $4.1 million for the nine months ended September 30, 2025 compared to $5.5 million in the prior year period.</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were $304.3 million for the nine months ended September 30, 2025, compared to $268.1 million for the prior period, an increase of $36.2 million, or 13.5% The increase is primarily due to increases in interest expense and a decrease in the reduction to provision for credit losses. To a lesser extent, increases to sales expenses also contributed to the increase in operating expenses during the 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$71.9 million during the nine months ended September 30, 2025 compared to $72.3 million for the same period in the prior year. The table below summarizes our employees by category as well as contract purchases and units in our managed portfolio as of, and for the nine-month periods ended, September 30, 2025 and 2024:</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56,861</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3,760.3</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212,509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$40.1 million for the nine months ended September 30, 2025, a decrease of $141,000 from $40.3 million in the prior year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2025, was $172.7 million, compared to $138.7 million in the previous year, an increase of $34.0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$21.3 million for the nine months ended September 30, 2025, compared to the prior period. The average balance of securitization trust debt increased to $2,834.4 million for the nine months ended September 30, 2025, compared to $2,549.9 million for the nine months ended September 30, 2024. The annualized average rate on our securitization trust debt was 6.5% for the nine months ended September 30, 2025, compared to 6.1%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09"/>
        </w:trPr>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top w:val="single" w:sz="8" w:color="EEEEEE"/>
            </w:tcBorders>
            <w:shd w:val="clear" w:color="auto" w:fill="EEEEEE"/>
          </w:tcPr>
          <w:p>
            <w:pPr>
              <w:spacing w:after="0"/>
              <w:rPr>
                <w:sz w:val="18"/>
                <w:szCs w:val="18"/>
                <w:color w:val="auto"/>
              </w:rPr>
            </w:pPr>
          </w:p>
        </w:tc>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2022</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2022</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2022</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June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September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May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$7.4 million to $21.4 million for the nine months ended September 30, 2025 compared to $14.0 million in the prior year period. The increase was due to higher rates on the debt during the nine month period compared to last year. The average balance of our warehouse debt was $304.6 million during the nine months ended September 30, 2025 compared to $170.7 million for the same period in 2024. The annualized average rate on our credit line debt was 9.4% for the nine months ended September 30, 2025 compared to 11.0% in the prior 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$2.1 million for the nine months ended September 30, 2025. The average balance of the outstanding subordinated debt increased by $5.9 million to $28.0 million for the nine months ended September 30, 2025 compared to $22.1 million for the prior year. The average yield of subordinated notes was 9.8% in the current and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and again on March 20, 2025, we completed a securitization of residual interests from other previously issued securitizations in the amount of $50 million, $50 million, and $65 million, respectively. Interest expense on the residual interest financing was $11.0 million for the nine months ended September 30, 2025 compared to $6.2 million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22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2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3,666,975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314,462</w:t>
            </w: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3,131,477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265,812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gridSpan w:val="5"/>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304,568</w:t>
            </w: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21,439</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170,706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146,429</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11,048</w:t>
            </w: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89,051</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6,225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2,834,434</w:t>
            </w: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138,182</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2,549,877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27,993</w:t>
            </w:r>
          </w:p>
        </w:tc>
        <w:tc>
          <w:tcPr>
            <w:tcW w:w="2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2,051</w:t>
            </w: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22,117</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1,629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3,313,424</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172,720</w:t>
            </w:r>
          </w:p>
        </w:tc>
        <w:tc>
          <w:tcPr>
            <w:tcW w:w="80" w:type="dxa"/>
            <w:vAlign w:val="bottom"/>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2,831,751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138,735</w:t>
            </w:r>
          </w:p>
        </w:tc>
        <w:tc>
          <w:tcPr>
            <w:tcW w:w="22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40" w:type="dxa"/>
            <w:vAlign w:val="bottom"/>
            <w:tcBorders>
              <w:top w:val="single" w:sz="8" w:color="EEEEEE"/>
              <w:bottom w:val="single" w:sz="8" w:color="auto"/>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2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141,742</w:t>
            </w:r>
          </w:p>
        </w:tc>
        <w:tc>
          <w:tcPr>
            <w:tcW w:w="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8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127,077</w:t>
            </w:r>
          </w:p>
        </w:tc>
        <w:tc>
          <w:tcPr>
            <w:tcW w:w="22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8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(2)</w:t>
            </w: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60" w:type="dxa"/>
            <w:vAlign w:val="bottom"/>
            <w:gridSpan w:val="3"/>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w:t>
            </w: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5"/>
        </w:trPr>
        <w:tc>
          <w:tcPr>
            <w:tcW w:w="2760" w:type="dxa"/>
            <w:vAlign w:val="bottom"/>
            <w:gridSpan w:val="7"/>
          </w:tcPr>
          <w:p>
            <w:pPr>
              <w:jc w:val="right"/>
              <w:ind w:right="60"/>
              <w:spacing w:after="0" w:line="245" w:lineRule="exact"/>
              <w:rPr>
                <w:sz w:val="20"/>
                <w:szCs w:val="20"/>
                <w:color w:val="auto"/>
              </w:rPr>
            </w:pPr>
            <w:r>
              <w:rPr>
                <w:rFonts w:ascii="Times New Roman" w:cs="Times New Roman" w:eastAsia="Times New Roman" w:hAnsi="Times New Roman"/>
                <w:sz w:val="22"/>
                <w:szCs w:val="22"/>
                <w:color w:val="auto"/>
                <w:w w:val="97"/>
              </w:rPr>
              <w:t>_________________________</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20" w:hanging="28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7" w:lineRule="exact"/>
        <w:rPr>
          <w:rFonts w:ascii="Times New Roman" w:cs="Times New Roman" w:eastAsia="Times New Roman" w:hAnsi="Times New Roman"/>
          <w:sz w:val="18"/>
          <w:szCs w:val="18"/>
          <w:color w:val="auto"/>
        </w:rPr>
      </w:pPr>
    </w:p>
    <w:p>
      <w:pPr>
        <w:ind w:left="520" w:hanging="28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8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2024</w:t>
            </w:r>
          </w:p>
        </w:tc>
      </w:tr>
      <w:tr>
        <w:trPr>
          <w:trHeight w:val="230"/>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Change Due</w:t>
            </w:r>
          </w:p>
        </w:tc>
        <w:tc>
          <w:tcPr>
            <w:tcW w:w="140" w:type="dxa"/>
            <w:vAlign w:val="bottom"/>
          </w:tcPr>
          <w:p>
            <w:pPr>
              <w:spacing w:after="0"/>
              <w:rPr>
                <w:sz w:val="19"/>
                <w:szCs w:val="19"/>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 Due</w:t>
            </w:r>
          </w:p>
        </w:tc>
      </w:tr>
      <w:tr>
        <w:trPr>
          <w:trHeight w:val="238"/>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4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10"/>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940" w:type="dxa"/>
            <w:vAlign w:val="bottom"/>
            <w:shd w:val="clear" w:color="auto" w:fill="EEEEEE"/>
          </w:tcPr>
          <w:p>
            <w:pPr>
              <w:spacing w:after="0"/>
              <w:rPr>
                <w:sz w:val="18"/>
                <w:szCs w:val="18"/>
                <w:color w:val="auto"/>
              </w:rPr>
            </w:pPr>
          </w:p>
        </w:tc>
        <w:tc>
          <w:tcPr>
            <w:tcW w:w="3100" w:type="dxa"/>
            <w:vAlign w:val="bottom"/>
            <w:gridSpan w:val="4"/>
            <w:shd w:val="clear" w:color="auto" w:fill="EEEEEE"/>
          </w:tcPr>
          <w:p>
            <w:pPr>
              <w:jc w:val="center"/>
              <w:ind w:right="10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108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800" w:type="dxa"/>
            <w:vAlign w:val="bottom"/>
            <w:tcBorders>
              <w:top w:val="single" w:sz="8" w:color="auto"/>
            </w:tcBorders>
          </w:tcPr>
          <w:p>
            <w:pPr>
              <w:spacing w:after="0"/>
              <w:rPr>
                <w:sz w:val="18"/>
                <w:szCs w:val="18"/>
                <w:color w:val="auto"/>
              </w:rPr>
            </w:pPr>
          </w:p>
        </w:tc>
        <w:tc>
          <w:tcPr>
            <w:tcW w:w="1160" w:type="dxa"/>
            <w:vAlign w:val="bottom"/>
            <w:tcBorders>
              <w:top w:val="single" w:sz="8" w:color="EEEEEE"/>
            </w:tcBorders>
            <w:gridSpan w:val="2"/>
          </w:tcPr>
          <w:p>
            <w:pPr>
              <w:spacing w:after="0"/>
              <w:rPr>
                <w:sz w:val="18"/>
                <w:szCs w:val="18"/>
                <w:color w:val="auto"/>
              </w:rPr>
            </w:pPr>
          </w:p>
        </w:tc>
        <w:tc>
          <w:tcPr>
            <w:tcW w:w="220" w:type="dxa"/>
            <w:vAlign w:val="bottom"/>
            <w:tcBorders>
              <w:top w:val="single" w:sz="8" w:color="EEEEEE"/>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48,650</w:t>
            </w:r>
          </w:p>
        </w:tc>
        <w:tc>
          <w:tcPr>
            <w:tcW w:w="10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44,390</w:t>
            </w:r>
          </w:p>
        </w:tc>
        <w:tc>
          <w:tcPr>
            <w:tcW w:w="14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EEEEEE"/>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4,260</w:t>
            </w:r>
          </w:p>
        </w:tc>
        <w:tc>
          <w:tcPr>
            <w:tcW w:w="80" w:type="dxa"/>
            <w:vAlign w:val="bottom"/>
            <w:tcBorders>
              <w:top w:val="single" w:sz="8" w:color="EEEEEE"/>
            </w:tcBorders>
          </w:tcPr>
          <w:p>
            <w:pPr>
              <w:spacing w:after="0"/>
              <w:rPr>
                <w:sz w:val="18"/>
                <w:szCs w:val="18"/>
                <w:color w:val="auto"/>
              </w:rPr>
            </w:pPr>
          </w:p>
        </w:tc>
      </w:tr>
      <w:tr>
        <w:trPr>
          <w:trHeight w:val="176"/>
        </w:trPr>
        <w:tc>
          <w:tcPr>
            <w:tcW w:w="4040" w:type="dxa"/>
            <w:vAlign w:val="bottom"/>
            <w:gridSpan w:val="5"/>
            <w:shd w:val="clear" w:color="auto" w:fill="EEEEEE"/>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22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r>
      <w:tr>
        <w:trPr>
          <w:trHeight w:val="20"/>
        </w:trPr>
        <w:tc>
          <w:tcPr>
            <w:tcW w:w="9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12,188</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(4,771)</w:t>
            </w:r>
          </w:p>
        </w:tc>
      </w:tr>
      <w:tr>
        <w:trPr>
          <w:trHeight w:val="216"/>
        </w:trPr>
        <w:tc>
          <w:tcPr>
            <w:tcW w:w="40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3,740</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EEEEEE"/>
          </w:tcPr>
          <w:p>
            <w:pPr>
              <w:spacing w:after="0"/>
              <w:rPr>
                <w:sz w:val="18"/>
                <w:szCs w:val="18"/>
                <w:color w:val="auto"/>
              </w:rPr>
            </w:pPr>
          </w:p>
        </w:tc>
      </w:tr>
      <w:tr>
        <w:trPr>
          <w:trHeight w:val="216"/>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21,323</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10,280</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11,043</w:t>
            </w:r>
          </w:p>
        </w:tc>
        <w:tc>
          <w:tcPr>
            <w:tcW w:w="80" w:type="dxa"/>
            <w:vAlign w:val="bottom"/>
          </w:tcPr>
          <w:p>
            <w:pPr>
              <w:spacing w:after="0"/>
              <w:rPr>
                <w:sz w:val="18"/>
                <w:szCs w:val="18"/>
                <w:color w:val="auto"/>
              </w:rPr>
            </w:pPr>
          </w:p>
        </w:tc>
      </w:tr>
      <w:tr>
        <w:trPr>
          <w:trHeight w:val="230"/>
        </w:trPr>
        <w:tc>
          <w:tcPr>
            <w:tcW w:w="40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9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22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Our evaluation of the allowance for credit losses indicated that the reserves against future losses are adequate as of September 30, 2025. The allowance applies only to our finance receivables originated through December 2017, which we refer to as our legacy portfolio. </w:t>
      </w:r>
      <w:r>
        <w:rPr>
          <w:rFonts w:ascii="Times New Roman" w:cs="Times New Roman" w:eastAsia="Times New Roman" w:hAnsi="Times New Roman"/>
          <w:sz w:val="17"/>
          <w:szCs w:val="17"/>
          <w:color w:val="auto"/>
        </w:rPr>
        <w:t>Finance receivables that we have originated since January 2018 are accounted for at fair value. Under the fair value method of accounting,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recognize interest income net of expected credit losses. Thus, no provision for credit loss expense is recorded for finance receivables measured at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we recorded a reduction to provision for credit losses on finance receivables in the amount of $2.5 million. The reserve decrease was primarily due to better-than-expected recovery rates and a decrease in lifetime expected credit losses resulting from improved credit performance as our previous estimates for future losses exceeded actual losses incurred. This compares to $4.6 million in reductions to provision for credit losses for the nine months ended September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Sales expense increased to $17.3 million during the nine months ended September 30, 2025 from $16.5 million in the same period in 2024. We purchased $1,275.3 million of new contracts during the nine months ended September 30, 2025 compared to $1,224.1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were $4.0 million for the nine months ending September 30, 2025, which is down from $4.3 million for the same period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$705,000 compared to $650,000 in the previous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we recorded income tax expense of $6.4 million, representing a 31% effective tax rate. In the prior period, our income tax expense was $6.0 million, representing a 30%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3" w:name="page44"/>
    <w:bookmarkEnd w:id="43"/>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9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9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78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212,509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3,760,315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194,434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3,329,836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201,441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3,490,960</w:t>
            </w: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31-60 days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14,498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247,940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219,265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243,068</w:t>
            </w: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61-90 days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6,924</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111,396</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103,404</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114,633</w:t>
            </w: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 days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4,057</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52,046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65,081</w:t>
            </w:r>
          </w:p>
        </w:tc>
        <w:tc>
          <w:tcPr>
            <w:tcW w:w="0" w:type="dxa"/>
            <w:vAlign w:val="bottom"/>
          </w:tcPr>
          <w:p>
            <w:pPr>
              <w:spacing w:after="0"/>
              <w:rPr>
                <w:sz w:val="1"/>
                <w:szCs w:val="1"/>
                <w:color w:val="auto"/>
              </w:rPr>
            </w:pPr>
          </w:p>
        </w:tc>
      </w:tr>
      <w:tr>
        <w:trPr>
          <w:trHeight w:val="209"/>
        </w:trPr>
        <w:tc>
          <w:tcPr>
            <w:tcW w:w="2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418,008</w:t>
            </w:r>
          </w:p>
        </w:tc>
        <w:tc>
          <w:tcPr>
            <w:tcW w:w="2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374,715</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422,782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7,173</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106,907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92,939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95,620</w:t>
            </w:r>
          </w:p>
        </w:tc>
        <w:tc>
          <w:tcPr>
            <w:tcW w:w="0" w:type="dxa"/>
            <w:vAlign w:val="bottom"/>
          </w:tcPr>
          <w:p>
            <w:pPr>
              <w:spacing w:after="0"/>
              <w:rPr>
                <w:sz w:val="1"/>
                <w:szCs w:val="1"/>
                <w:color w:val="auto"/>
              </w:rPr>
            </w:pPr>
          </w:p>
        </w:tc>
      </w:tr>
      <w:tr>
        <w:trPr>
          <w:trHeight w:val="178"/>
        </w:trPr>
        <w:tc>
          <w:tcPr>
            <w:tcW w:w="2620" w:type="dxa"/>
            <w:vAlign w:val="bottom"/>
            <w:tcBorders>
              <w:top w:val="single" w:sz="8" w:color="EEEEEE"/>
            </w:tcBorders>
            <w:shd w:val="clear" w:color="auto" w:fill="EEEEEE"/>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20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2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220" w:type="dxa"/>
            <w:vAlign w:val="bottom"/>
            <w:tcBorders>
              <w:top w:val="single" w:sz="8" w:color="auto"/>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0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32,652</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524,915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29,705</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467,654</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32,591</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518,402</w:t>
            </w:r>
          </w:p>
        </w:tc>
        <w:tc>
          <w:tcPr>
            <w:tcW w:w="0" w:type="dxa"/>
            <w:vAlign w:val="bottom"/>
          </w:tcPr>
          <w:p>
            <w:pPr>
              <w:spacing w:after="0"/>
              <w:rPr>
                <w:sz w:val="1"/>
                <w:szCs w:val="1"/>
                <w:color w:val="auto"/>
              </w:rPr>
            </w:pPr>
          </w:p>
        </w:tc>
      </w:tr>
      <w:tr>
        <w:trPr>
          <w:trHeight w:val="20"/>
        </w:trPr>
        <w:tc>
          <w:tcPr>
            <w:tcW w:w="26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11.12%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as a percentage of</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accruing</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36,628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674,431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567,435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601,049</w:t>
            </w: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extensions, accruing</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50,593</w:t>
            </w:r>
          </w:p>
        </w:tc>
        <w:tc>
          <w:tcPr>
            <w:tcW w:w="2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794,733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46,701</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681,625</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47,227</w:t>
            </w:r>
          </w:p>
        </w:tc>
        <w:tc>
          <w:tcPr>
            <w:tcW w:w="10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701,158</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87,221</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1,469,164</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1,249,060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(4)</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3,034</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51,821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53,018</w:t>
            </w: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extensions, non-accrual (4)</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5,183</w:t>
            </w:r>
          </w:p>
        </w:tc>
        <w:tc>
          <w:tcPr>
            <w:tcW w:w="2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75,779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48,020</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60,660</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121,396</w:t>
            </w:r>
          </w:p>
        </w:tc>
        <w:tc>
          <w:tcPr>
            <w:tcW w:w="20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99,841</w:t>
            </w:r>
          </w:p>
        </w:tc>
        <w:tc>
          <w:tcPr>
            <w:tcW w:w="220" w:type="dxa"/>
            <w:vAlign w:val="bottom"/>
            <w:tcBorders>
              <w:bottom w:val="single" w:sz="8" w:color="EEEEEE"/>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95,438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1,590,560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1,348,901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88,385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1,415,885</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60" w:firstLine="8"/>
        <w:spacing w:after="0" w:line="250" w:lineRule="auto"/>
        <w:tabs>
          <w:tab w:leader="none" w:pos="616"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left="360" w:firstLine="8"/>
        <w:spacing w:after="0" w:line="250" w:lineRule="auto"/>
        <w:tabs>
          <w:tab w:leader="none" w:pos="627"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620" w:hanging="252"/>
        <w:spacing w:after="0"/>
        <w:tabs>
          <w:tab w:leader="none" w:pos="6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620" w:hanging="252"/>
        <w:spacing w:after="0"/>
        <w:tabs>
          <w:tab w:leader="none" w:pos="6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r>
      <w:tr>
        <w:trPr>
          <w:trHeight w:val="229"/>
        </w:trPr>
        <w:tc>
          <w:tcPr>
            <w:tcW w:w="518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3,666,975</w:t>
            </w:r>
          </w:p>
        </w:tc>
        <w:tc>
          <w:tcPr>
            <w:tcW w:w="3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3,131,477</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3,209,988</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(2)</w:t>
            </w: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7.62%</w:t>
            </w: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p>
      <w:pPr>
        <w:spacing w:after="0" w:line="9" w:lineRule="exact"/>
        <w:rPr>
          <w:sz w:val="20"/>
          <w:szCs w:val="20"/>
          <w:color w:val="auto"/>
        </w:rPr>
      </w:pPr>
    </w:p>
    <w:p>
      <w:pPr>
        <w:ind w:left="620" w:hanging="252"/>
        <w:spacing w:after="0"/>
        <w:tabs>
          <w:tab w:leader="none" w:pos="6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9" w:lineRule="exact"/>
        <w:rPr>
          <w:rFonts w:ascii="Times New Roman" w:cs="Times New Roman" w:eastAsia="Times New Roman" w:hAnsi="Times New Roman"/>
          <w:sz w:val="18"/>
          <w:szCs w:val="18"/>
          <w:i w:val="1"/>
          <w:iCs w:val="1"/>
          <w:color w:val="auto"/>
        </w:rPr>
      </w:pPr>
    </w:p>
    <w:p>
      <w:pPr>
        <w:jc w:val="both"/>
        <w:ind w:left="360" w:firstLine="8"/>
        <w:spacing w:after="0" w:line="253" w:lineRule="auto"/>
        <w:tabs>
          <w:tab w:leader="none" w:pos="63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2025, and September 30, 2024, percentages represent nine months ended September 30, 2025, and September 30, 2024, annualized. December 31, 2024, represents 12 months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eight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September 30, 2025, for accounts that received extensions from 2011 through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 Charged</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Avg</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Off &lt;= 6</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Active or Paid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Active or Paid</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Charged Off &gt; 6</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Charged Off &gt;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Charged Off &lt;=</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Months</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to Charge</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Period of</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Extensions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 at September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 at September</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Months After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Months After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Months After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After</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 Post</w:t>
            </w:r>
          </w:p>
        </w:tc>
        <w:tc>
          <w:tcPr>
            <w:tcW w:w="0" w:type="dxa"/>
            <w:vAlign w:val="bottom"/>
          </w:tcPr>
          <w:p>
            <w:pPr>
              <w:spacing w:after="0"/>
              <w:rPr>
                <w:sz w:val="1"/>
                <w:szCs w:val="1"/>
                <w:color w:val="auto"/>
              </w:rPr>
            </w:pPr>
          </w:p>
        </w:tc>
      </w:tr>
      <w:tr>
        <w:trPr>
          <w:trHeight w:val="234"/>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Granted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30, 2025</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30, 2025</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Extension</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Extension</w:t>
            </w:r>
          </w:p>
        </w:tc>
        <w:tc>
          <w:tcPr>
            <w:tcW w:w="0" w:type="dxa"/>
            <w:vAlign w:val="bottom"/>
          </w:tcPr>
          <w:p>
            <w:pPr>
              <w:spacing w:after="0"/>
              <w:rPr>
                <w:sz w:val="1"/>
                <w:szCs w:val="1"/>
                <w:color w:val="auto"/>
              </w:rPr>
            </w:pPr>
          </w:p>
        </w:tc>
      </w:tr>
      <w:tr>
        <w:trPr>
          <w:trHeight w:val="209"/>
        </w:trPr>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18,786</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10,962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6,883</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18,783</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11,315</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6,667</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23,398</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11,130</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11,282</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25,773</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10,418</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14,486</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53,319</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21,932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30,058</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80,897</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43,007</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2,954</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133,847</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54,799</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68,336</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10,712</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121,531</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56,011</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53,641</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11,879</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71,548</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41,186</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22,951</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7,411</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83,170</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54,607</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24,531</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4,032</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47,010</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32,043</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13,731</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56,142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36,099</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18,089</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83,113</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56,070</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23,784</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90,484</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75,690</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12,153</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0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57.6% were either paid in full or active and performing as of September 30, 2025.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2018 that subsequently charged off, such charge offs occurred, on average, 20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8"/>
          </w:tcPr>
          <w:p>
            <w:pPr>
              <w:jc w:val="center"/>
              <w:ind w:right="52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40" w:type="dxa"/>
            <w:vAlign w:val="bottom"/>
          </w:tcPr>
          <w:p>
            <w:pPr>
              <w:spacing w:after="0"/>
              <w:rPr>
                <w:sz w:val="18"/>
                <w:szCs w:val="18"/>
                <w:color w:val="auto"/>
              </w:rPr>
            </w:pPr>
          </w:p>
        </w:tc>
        <w:tc>
          <w:tcPr>
            <w:tcW w:w="13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2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8"/>
          </w:tcPr>
          <w:p>
            <w:pPr>
              <w:jc w:val="center"/>
              <w:ind w:right="520"/>
              <w:spacing w:after="0"/>
              <w:rPr>
                <w:sz w:val="20"/>
                <w:szCs w:val="20"/>
                <w:color w:val="auto"/>
              </w:rPr>
            </w:pPr>
            <w:r>
              <w:rPr>
                <w:rFonts w:ascii="Times New Roman" w:cs="Times New Roman" w:eastAsia="Times New Roman" w:hAnsi="Times New Roman"/>
                <w:sz w:val="18"/>
                <w:szCs w:val="18"/>
                <w:color w:val="auto"/>
                <w:w w:val="99"/>
              </w:rPr>
              <w:t>September 30,</w:t>
            </w:r>
          </w:p>
        </w:tc>
        <w:tc>
          <w:tcPr>
            <w:tcW w:w="14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8,725</w:t>
            </w: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7,342</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7,540</w:t>
            </w:r>
          </w:p>
        </w:tc>
      </w:tr>
      <w:tr>
        <w:trPr>
          <w:trHeight w:val="216"/>
        </w:trPr>
        <w:tc>
          <w:tcPr>
            <w:tcW w:w="26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940" w:type="dxa"/>
            <w:vAlign w:val="bottom"/>
            <w:gridSpan w:val="6"/>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209,228</w:t>
            </w: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186,139</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189,460</w:t>
            </w:r>
          </w:p>
        </w:tc>
      </w:tr>
      <w:tr>
        <w:trPr>
          <w:trHeight w:val="216"/>
        </w:trPr>
        <w:tc>
          <w:tcPr>
            <w:tcW w:w="26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2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September 30, 2025</w:t>
            </w:r>
          </w:p>
        </w:tc>
        <w:tc>
          <w:tcPr>
            <w:tcW w:w="252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1"/>
        </w:trPr>
        <w:tc>
          <w:tcPr>
            <w:tcW w:w="2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4"/>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4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Contracts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2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color w:val="auto"/>
              </w:rPr>
              <w:t>(Dollars 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r>
      <w:tr>
        <w:trPr>
          <w:trHeight w:val="216"/>
        </w:trPr>
        <w:tc>
          <w:tcPr>
            <w:tcW w:w="2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39,662</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720,048</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35,484</w:t>
            </w:r>
          </w:p>
        </w:tc>
        <w:tc>
          <w:tcPr>
            <w:tcW w:w="44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619,256</w:t>
            </w:r>
          </w:p>
        </w:tc>
        <w:tc>
          <w:tcPr>
            <w:tcW w:w="1500" w:type="dxa"/>
            <w:vAlign w:val="bottom"/>
            <w:gridSpan w:val="6"/>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37,106</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654,067</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23,521</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404,496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381,208</w:t>
            </w:r>
          </w:p>
        </w:tc>
        <w:tc>
          <w:tcPr>
            <w:tcW w:w="1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22,452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382,301</w:t>
            </w:r>
          </w:p>
        </w:tc>
      </w:tr>
      <w:tr>
        <w:trPr>
          <w:trHeight w:val="216"/>
        </w:trPr>
        <w:tc>
          <w:tcPr>
            <w:tcW w:w="2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14,574</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236,989</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12,614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198,602</w:t>
            </w:r>
          </w:p>
        </w:tc>
        <w:tc>
          <w:tcPr>
            <w:tcW w:w="1500" w:type="dxa"/>
            <w:vAlign w:val="bottom"/>
            <w:gridSpan w:val="6"/>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13,300</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214,194</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8,828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134,431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86,837</w:t>
            </w:r>
          </w:p>
        </w:tc>
        <w:tc>
          <w:tcPr>
            <w:tcW w:w="1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7,462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99,071</w:t>
            </w:r>
          </w:p>
        </w:tc>
      </w:tr>
      <w:tr>
        <w:trPr>
          <w:trHeight w:val="216"/>
        </w:trPr>
        <w:tc>
          <w:tcPr>
            <w:tcW w:w="2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5,199</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65,084</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4,674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40,801</w:t>
            </w:r>
          </w:p>
        </w:tc>
        <w:tc>
          <w:tcPr>
            <w:tcW w:w="1500" w:type="dxa"/>
            <w:vAlign w:val="bottom"/>
            <w:gridSpan w:val="6"/>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4,645</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43,264</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3,654</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22,196</w:t>
            </w:r>
          </w:p>
        </w:tc>
        <w:tc>
          <w:tcPr>
            <w:tcW w:w="1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3,420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22,988</w:t>
            </w:r>
          </w:p>
        </w:tc>
      </w:tr>
      <w:tr>
        <w:trPr>
          <w:trHeight w:val="223"/>
        </w:trPr>
        <w:tc>
          <w:tcPr>
            <w:tcW w:w="26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95,438</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1,590,560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auto"/>
              <w:bottom w:val="single" w:sz="8" w:color="auto"/>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85,463</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1,348,900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1,415,885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7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7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originated and owned by 3rd</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4"/>
        </w:trPr>
        <w:tc>
          <w:tcPr>
            <w:tcW w:w="27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212,509</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3,760,315</w:t>
            </w:r>
          </w:p>
        </w:tc>
        <w:tc>
          <w:tcPr>
            <w:tcW w:w="1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194,434</w:t>
            </w:r>
          </w:p>
        </w:tc>
        <w:tc>
          <w:tcPr>
            <w:tcW w:w="44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3,329,836</w:t>
            </w:r>
          </w:p>
        </w:tc>
        <w:tc>
          <w:tcPr>
            <w:tcW w:w="1500" w:type="dxa"/>
            <w:vAlign w:val="bottom"/>
            <w:gridSpan w:val="6"/>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201,441</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3,490,960</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in employing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nine-month period ended September 30, 2025 was $213.2 million, an increase of $47.4 million, compared to net cash provided by operating activities for the nine-month period ended September 30, 2024 of $165.8 million. Net cash from operating activities is generally provided by net income from operations adjusted for significant non-cash items such as our provision for credit losses and marks to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$492.3 million for the nine months ended September 30, 2025 compared to $536.8 million in the prior year period. Net cash used in investing activities generally relates to new purchases of automobile contracts net of principal payments and other proceeds received during the period. Purchases of finance receivables excluding acquisition fees were $1,275.7 million and $1,195.9 million during the first nine months of 2025 and 2024,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was $293.5 million compared to $524.7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2025, we issued $1,280.7 million in new securitization trust debt compared to $1,453.9 million for the same period in 2024. We repaid $957.6 million in securitization trust debt in the nine months ended September 30, 2025 compared to repayments of securitization trust debt of $840.5 million in the prior year period. In the nine months ended September 30, 2025, we had net repayments on warehouse lines of credit of $72.3 million, compared to net advances from warehouse lines of credit of $125.6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September 30, 2025, we had unrestricted cash of $8.1 million and $271.0 million aggregate available borrowings under our two warehouse credit facilities (assuming the availability of sufficient eligible collateral). As of September 30, 2025, we had approximately $8.5 million of such eligible collateral. Our plans to manage our liquidity include maintaining our rate of automobile contract purchases at a level that matches our available capital, and, as appropriate, minimizing our operating costs. During the nine-month period ended September 30, 2025, we completed three securitizations aggregating $1,280.7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2025,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2025, we had approximately $3,435.2 million of debt outstanding. Such debt consisted primarily of $2,916.4 million of securitization trust debt and $340.6 million of debt from warehouse lines of credit. Our securitization trust debt has increased by $322.1 million while our warehouse lines of credit debt has decreased by $70.3 million since December 31, 2024 (each net of deferred financing costs). Since 2005, we have offered renewable subordinated notes to the public on a continuous basis, and such notes have maturities that range from six months to 10 years. We had $28.6 million and $26.5 million in subordinated renewable notes outstanding at September 30, 2025, and December 31, 2024, respectively. In June 2021, March 2024, and again on March 20, 2025, we completed a securitization of residual interests from other previously issued securitizations in the amount of $50 million, $50 million, and $65 million, respectively. As of September 30, 2025, we have $149.5 million of the residual interest debt remains outstanding.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12, 2025.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2025, we had approximately $3,435.2 million of debt outstanding. Such debt consisted primarily of $2,916.4 million of securitization trust debt and $340.6 million of debt from warehouse lines of credit. Our securitization trust debt has increased by $322.1 million while our warehouse lines of credit debt has decreased by $70.3 million since December 31, 2024 (each net of deferred financing costs). Since 2005, we have offered renewable subordinated notes to the public on a continuous basis, and such notes have maturities that range from six months to 10 years. We had $28.6 million and $26.5 million in subordinated renewable notes outstanding at September 30, 2025, and December 31, 2024, respectively. In June 2021, March 2024, and again on March 20, 2025, we completed a securitization of residual interests from other previously issued securitizations in the amount of $50 million, $50 million, and $65 million, respectively. As of September 30, 2025, we have $149.5 million of the residual interest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right="20" w:hanging="259"/>
        <w:spacing w:after="0" w:line="282"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the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we repurchased 112,482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8"/>
        </w:trPr>
        <w:tc>
          <w:tcPr>
            <w:tcW w:w="38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20"/>
                <w:szCs w:val="20"/>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2025</w:t>
            </w:r>
          </w:p>
        </w:tc>
        <w:tc>
          <w:tcPr>
            <w:tcW w:w="2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5,512,216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5,500,052</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110,982</w:t>
            </w: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8.56</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110,982</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4,550,135</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112,482</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April 2024, our board of directors authorized the purchase of an additional $10 million of our common stock. Through September 30, 2024, our board of directors had authorized the purchase of up to $113.2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adopted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in exhibit 101).</w:t>
            </w:r>
          </w:p>
        </w:tc>
      </w:tr>
    </w:tbl>
    <w:p>
      <w:pPr>
        <w:spacing w:after="0" w:line="198" w:lineRule="exact"/>
        <w:rPr>
          <w:sz w:val="20"/>
          <w:szCs w:val="20"/>
          <w:color w:val="auto"/>
        </w:rPr>
      </w:pPr>
    </w:p>
    <w:p>
      <w:pPr>
        <w:jc w:val="both"/>
        <w:ind w:firstLine="8"/>
        <w:spacing w:after="0" w:line="266" w:lineRule="auto"/>
        <w:tabs>
          <w:tab w:leader="none" w:pos="1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52" w:lineRule="exact"/>
        <w:rPr>
          <w:sz w:val="20"/>
          <w:szCs w:val="20"/>
          <w:color w:val="auto"/>
        </w:rPr>
      </w:pPr>
    </w:p>
    <w:p>
      <w:pPr>
        <w:ind w:left="1140"/>
        <w:spacing w:after="0"/>
        <w:tabs>
          <w:tab w:leader="none" w:pos="1560" w:val="left"/>
        </w:tabs>
        <w:rPr>
          <w:sz w:val="20"/>
          <w:szCs w:val="20"/>
          <w:color w:val="auto"/>
        </w:rPr>
      </w:pPr>
      <w:r>
        <w:rPr>
          <w:rFonts w:ascii="Times New Roman" w:cs="Times New Roman" w:eastAsia="Times New Roman" w:hAnsi="Times New Roman"/>
          <w:sz w:val="18"/>
          <w:szCs w:val="18"/>
          <w:color w:val="auto"/>
        </w:rPr>
        <w:t>By:</w:t>
        <w:tab/>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4942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10, 2025</w:t>
      </w:r>
    </w:p>
    <w:p>
      <w:pPr>
        <w:spacing w:after="0" w:line="242" w:lineRule="exact"/>
        <w:rPr>
          <w:sz w:val="20"/>
          <w:szCs w:val="20"/>
          <w:color w:val="auto"/>
        </w:rPr>
      </w:pPr>
    </w:p>
    <w:p>
      <w:pPr>
        <w:ind w:left="1140"/>
        <w:spacing w:after="0"/>
        <w:tabs>
          <w:tab w:leader="none" w:pos="1560" w:val="left"/>
        </w:tabs>
        <w:rPr>
          <w:sz w:val="20"/>
          <w:szCs w:val="20"/>
          <w:color w:val="auto"/>
        </w:rPr>
      </w:pPr>
      <w:r>
        <w:rPr>
          <w:rFonts w:ascii="Times New Roman" w:cs="Times New Roman" w:eastAsia="Times New Roman" w:hAnsi="Times New Roman"/>
          <w:sz w:val="18"/>
          <w:szCs w:val="18"/>
          <w:color w:val="auto"/>
        </w:rPr>
        <w:t>By:</w:t>
        <w:tab/>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49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September 30, 2025,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20" w:firstLine="332"/>
        <w:spacing w:after="0" w:line="500"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10,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Roman"/>
      <w:start w:val="3"/>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2025-11-10T15:43:59Z</dcterms:created>
  <dcterms:modified xsi:type="dcterms:W3CDTF">2025-11-10T15:43:59Z</dcterms:modified>
</cp:coreProperties>
</file>