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15"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229" w:lineRule="exact"/>
        <w:rPr>
          <w:sz w:val="24"/>
          <w:szCs w:val="24"/>
          <w:color w:val="auto"/>
        </w:rPr>
      </w:pPr>
    </w:p>
    <w:p>
      <w:pPr>
        <w:ind w:left="3240" w:right="1980" w:hanging="3232"/>
        <w:spacing w:after="0" w:line="498" w:lineRule="auto"/>
        <w:tabs>
          <w:tab w:leader="none" w:pos="56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 to ______________</w:t>
      </w:r>
    </w:p>
    <w:p>
      <w:pPr>
        <w:spacing w:after="0" w:line="1" w:lineRule="exact"/>
        <w:rPr>
          <w:rFonts w:ascii="MS PGothic" w:cs="MS PGothic" w:eastAsia="MS PGothic" w:hAnsi="MS PGothic"/>
          <w:sz w:val="18"/>
          <w:szCs w:val="18"/>
          <w:color w:val="auto"/>
        </w:rPr>
      </w:pPr>
    </w:p>
    <w:p>
      <w:pPr>
        <w:ind w:left="43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1-11416</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CONSUMER PORTFOLIO SERVICES,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8"/>
              </w:rPr>
              <w:t>California</w:t>
            </w:r>
          </w:p>
        </w:tc>
        <w:tc>
          <w:tcPr>
            <w:tcW w:w="36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33-0459135</w:t>
            </w:r>
          </w:p>
        </w:tc>
      </w:tr>
      <w:tr>
        <w:trPr>
          <w:trHeight w:val="234"/>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6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9"/>
              </w:rPr>
              <w:t>3800 Howard Hughes Parkway, Suite 1400,</w:t>
            </w:r>
          </w:p>
        </w:tc>
        <w:tc>
          <w:tcPr>
            <w:tcW w:w="3600" w:type="dxa"/>
            <w:vAlign w:val="bottom"/>
          </w:tcPr>
          <w:p>
            <w:pPr>
              <w:spacing w:after="0"/>
              <w:rPr>
                <w:sz w:val="24"/>
                <w:szCs w:val="24"/>
                <w:color w:val="auto"/>
              </w:rPr>
            </w:pPr>
          </w:p>
        </w:tc>
      </w:tr>
      <w:tr>
        <w:trPr>
          <w:trHeight w:val="216"/>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8"/>
              </w:rPr>
              <w:t>Las Vegas, Nevada</w:t>
            </w:r>
          </w:p>
        </w:tc>
        <w:tc>
          <w:tcPr>
            <w:tcW w:w="360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89169</w:t>
            </w:r>
          </w:p>
        </w:tc>
      </w:tr>
      <w:tr>
        <w:trPr>
          <w:trHeight w:val="234"/>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0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753-6800</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 N/A</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91"/>
        </w:trPr>
        <w:tc>
          <w:tcPr>
            <w:tcW w:w="15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160" w:type="dxa"/>
            <w:vAlign w:val="bottom"/>
          </w:tcPr>
          <w:p>
            <w:pPr>
              <w:spacing w:after="0"/>
              <w:rPr>
                <w:sz w:val="24"/>
                <w:szCs w:val="24"/>
                <w:color w:val="auto"/>
              </w:rPr>
            </w:pPr>
          </w:p>
        </w:tc>
      </w:tr>
      <w:tr>
        <w:trPr>
          <w:trHeight w:val="237"/>
        </w:trPr>
        <w:tc>
          <w:tcPr>
            <w:tcW w:w="46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440" w:type="dxa"/>
            <w:vAlign w:val="bottom"/>
          </w:tcPr>
          <w:p>
            <w:pPr>
              <w:spacing w:after="0"/>
              <w:rPr>
                <w:sz w:val="20"/>
                <w:szCs w:val="20"/>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CPSS</w:t>
            </w:r>
          </w:p>
        </w:tc>
        <w:tc>
          <w:tcPr>
            <w:tcW w:w="416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w w:val="99"/>
              </w:rPr>
              <w:t>The NASDAQ Stock Market LLC (Global Market)</w:t>
            </w:r>
          </w:p>
        </w:tc>
      </w:tr>
    </w:tbl>
    <w:p>
      <w:pPr>
        <w:spacing w:after="0" w:line="198" w:lineRule="exact"/>
        <w:rPr>
          <w:sz w:val="24"/>
          <w:szCs w:val="24"/>
          <w:color w:val="auto"/>
        </w:rPr>
      </w:pPr>
    </w:p>
    <w:p>
      <w:pPr>
        <w:jc w:val="both"/>
        <w:ind w:right="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ectPr>
          <w:pgSz w:w="11900" w:h="16838" w:orient="portrait"/>
          <w:cols w:equalWidth="0" w:num="1">
            <w:col w:w="11240"/>
          </w:cols>
          <w:pgMar w:left="320" w:top="229" w:right="339" w:bottom="1440" w:gutter="0" w:footer="0" w:header="0"/>
        </w:sectPr>
      </w:pPr>
    </w:p>
    <w:p>
      <w:pPr>
        <w:spacing w:after="0" w:line="133" w:lineRule="exact"/>
        <w:rPr>
          <w:sz w:val="24"/>
          <w:szCs w:val="24"/>
          <w:color w:val="auto"/>
        </w:rPr>
      </w:pPr>
    </w:p>
    <w:p>
      <w:pPr>
        <w:jc w:val="center"/>
        <w:ind w:left="70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jc w:val="center"/>
        <w:ind w:left="70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jc w:val="center"/>
        <w:ind w:left="6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jc w:val="center"/>
        <w:ind w:right="228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jc w:val="center"/>
        <w:ind w:right="2280"/>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16" w:lineRule="exact"/>
        <w:rPr>
          <w:sz w:val="24"/>
          <w:szCs w:val="24"/>
          <w:color w:val="auto"/>
        </w:rPr>
      </w:pPr>
    </w:p>
    <w:p>
      <w:pPr>
        <w:sectPr>
          <w:pgSz w:w="11900" w:h="16838" w:orient="portrait"/>
          <w:cols w:equalWidth="0" w:num="2">
            <w:col w:w="6060" w:space="720"/>
            <w:col w:w="4460"/>
          </w:cols>
          <w:pgMar w:left="320" w:top="229" w:right="339" w:bottom="1440" w:gutter="0" w:footer="0" w:header="0"/>
          <w:type w:val="continuous"/>
        </w:sectPr>
      </w:pPr>
    </w:p>
    <w:p>
      <w:pPr>
        <w:spacing w:after="0" w:line="17"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7, 2022 the registrant had 20,438,986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40" w:type="dxa"/>
            <w:vAlign w:val="bottom"/>
            <w:gridSpan w:val="15"/>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9"/>
              </w:rPr>
              <w:t>CONSUMER PORTFOLIO SERVICES, INC. AND SUBSIDIARIES</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60" w:type="dxa"/>
            <w:vAlign w:val="bottom"/>
            <w:gridSpan w:val="11"/>
          </w:tcPr>
          <w:p>
            <w:pPr>
              <w:jc w:val="center"/>
              <w:ind w:right="3600"/>
              <w:spacing w:after="0"/>
              <w:rPr>
                <w:sz w:val="20"/>
                <w:szCs w:val="20"/>
                <w:color w:val="auto"/>
              </w:rPr>
            </w:pPr>
            <w:r>
              <w:rPr>
                <w:rFonts w:ascii="Times New Roman" w:cs="Times New Roman" w:eastAsia="Times New Roman" w:hAnsi="Times New Roman"/>
                <w:sz w:val="18"/>
                <w:szCs w:val="18"/>
                <w:color w:val="auto"/>
                <w:w w:val="99"/>
              </w:rPr>
              <w:t>INDEX TO FORM 10-Q</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0" w:type="dxa"/>
            <w:vAlign w:val="bottom"/>
            <w:gridSpan w:val="13"/>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September 30, 2022</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3440" w:type="dxa"/>
            <w:vAlign w:val="bottom"/>
            <w:gridSpan w:val="7"/>
            <w:vMerge w:val="restart"/>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60" w:type="dxa"/>
            <w:vAlign w:val="bottom"/>
            <w:tcBorders>
              <w:bottom w:val="single" w:sz="8" w:color="0000EE"/>
            </w:tcBorders>
            <w:gridSpan w:val="5"/>
            <w:vMerge w:val="continue"/>
          </w:tcPr>
          <w:p>
            <w:pPr>
              <w:spacing w:after="0"/>
              <w:rPr>
                <w:sz w:val="17"/>
                <w:szCs w:val="17"/>
                <w:color w:val="auto"/>
              </w:rPr>
            </w:pPr>
          </w:p>
        </w:tc>
        <w:tc>
          <w:tcPr>
            <w:tcW w:w="3440" w:type="dxa"/>
            <w:vAlign w:val="bottom"/>
            <w:gridSpan w:val="7"/>
            <w:vMerge w:val="continue"/>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tcBorders>
              <w:bottom w:val="single" w:sz="8" w:color="0000EE"/>
            </w:tcBorders>
            <w:gridSpan w:val="7"/>
          </w:tcPr>
          <w:p>
            <w:pPr>
              <w:ind w:left="20"/>
              <w:spacing w:after="0"/>
              <w:rPr>
                <w:sz w:val="20"/>
                <w:szCs w:val="20"/>
                <w:color w:val="auto"/>
              </w:rPr>
            </w:pPr>
            <w:r>
              <w:rPr>
                <w:rFonts w:ascii="Times New Roman" w:cs="Times New Roman" w:eastAsia="Times New Roman" w:hAnsi="Times New Roman"/>
                <w:sz w:val="18"/>
                <w:szCs w:val="18"/>
                <w:color w:val="0000EE"/>
                <w:w w:val="98"/>
              </w:rPr>
              <w:t>Financial Statements</w:t>
            </w:r>
          </w:p>
        </w:tc>
        <w:tc>
          <w:tcPr>
            <w:tcW w:w="7840" w:type="dxa"/>
            <w:vAlign w:val="bottom"/>
            <w:gridSpan w:val="15"/>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Balance Sheets as of September 30, 2022 and December 31, 2021</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Operations for the three-month and nine-month periods ended September</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30, 2022 and 2021</w:t>
            </w:r>
          </w:p>
        </w:tc>
        <w:tc>
          <w:tcPr>
            <w:tcW w:w="7580" w:type="dxa"/>
            <w:vAlign w:val="bottom"/>
            <w:tcBorders>
              <w:top w:val="single" w:sz="8" w:color="0000EE"/>
            </w:tcBorders>
            <w:gridSpan w:val="14"/>
          </w:tcPr>
          <w:p>
            <w:pPr>
              <w:spacing w:after="0"/>
              <w:rPr>
                <w:sz w:val="17"/>
                <w:szCs w:val="17"/>
                <w:color w:val="auto"/>
              </w:rPr>
            </w:pPr>
          </w:p>
        </w:tc>
        <w:tc>
          <w:tcPr>
            <w:tcW w:w="420" w:type="dxa"/>
            <w:vAlign w:val="bottom"/>
            <w:gridSpan w:val="2"/>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060" w:type="dxa"/>
            <w:vAlign w:val="bottom"/>
            <w:tcBorders>
              <w:bottom w:val="single" w:sz="8" w:color="0000EE"/>
            </w:tcBorders>
            <w:gridSpan w:val="21"/>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Comprehensive Income for the three-month and nine-month periods ended</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EE"/>
              </w:rPr>
              <w:t>September 30, 2022 and 2021</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nine-month periods ended September 30, 2022 and</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2021</w:t>
            </w:r>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Shareholders’ Equity for the three-month and nine-month periods ended</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8860" w:type="dxa"/>
            <w:vAlign w:val="bottom"/>
            <w:tcBorders>
              <w:top w:val="single" w:sz="8" w:color="0000EE"/>
            </w:tcBorders>
            <w:gridSpan w:val="19"/>
          </w:tcPr>
          <w:p>
            <w:pPr>
              <w:ind w:left="20"/>
              <w:spacing w:after="0" w:line="196" w:lineRule="exact"/>
              <w:rPr>
                <w:sz w:val="20"/>
                <w:szCs w:val="20"/>
                <w:color w:val="auto"/>
              </w:rPr>
            </w:pPr>
            <w:r>
              <w:rPr>
                <w:rFonts w:ascii="Times New Roman" w:cs="Times New Roman" w:eastAsia="Times New Roman" w:hAnsi="Times New Roman"/>
                <w:sz w:val="18"/>
                <w:szCs w:val="18"/>
                <w:color w:val="0000EE"/>
              </w:rPr>
              <w:t>September 30, 2022 and 2021</w:t>
            </w:r>
          </w:p>
        </w:tc>
        <w:tc>
          <w:tcPr>
            <w:tcW w:w="500" w:type="dxa"/>
            <w:vAlign w:val="bottom"/>
            <w:gridSpan w:val="3"/>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4800" w:type="dxa"/>
            <w:vAlign w:val="bottom"/>
            <w:tcBorders>
              <w:bottom w:val="single" w:sz="8" w:color="0000EE"/>
            </w:tcBorders>
            <w:gridSpan w:val="13"/>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4560" w:type="dxa"/>
            <w:vAlign w:val="bottom"/>
            <w:gridSpan w:val="9"/>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60" w:type="dxa"/>
            <w:vAlign w:val="bottom"/>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6460" w:type="dxa"/>
            <w:vAlign w:val="bottom"/>
            <w:tcBorders>
              <w:top w:val="single" w:sz="8" w:color="0000EE"/>
            </w:tcBorders>
            <w:gridSpan w:val="16"/>
          </w:tcPr>
          <w:p>
            <w:pPr>
              <w:ind w:left="20"/>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2900" w:type="dxa"/>
            <w:vAlign w:val="bottom"/>
            <w:gridSpan w:val="6"/>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628"/>
        </w:trPr>
        <w:tc>
          <w:tcPr>
            <w:tcW w:w="124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60" w:type="dxa"/>
            <w:vAlign w:val="bottom"/>
            <w:gridSpan w:val="11"/>
          </w:tcPr>
          <w:p>
            <w:pPr>
              <w:jc w:val="center"/>
              <w:ind w:right="3600"/>
              <w:spacing w:after="0"/>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00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EE"/>
              </w:rPr>
              <w:t>Legal Proceedings</w:t>
            </w:r>
          </w:p>
        </w:tc>
        <w:tc>
          <w:tcPr>
            <w:tcW w:w="2760" w:type="dxa"/>
            <w:vAlign w:val="bottom"/>
            <w:tcBorders>
              <w:top w:val="single" w:sz="8" w:color="0000EE"/>
            </w:tcBorders>
            <w:gridSpan w:val="3"/>
          </w:tcPr>
          <w:p>
            <w:pPr>
              <w:spacing w:after="0"/>
              <w:rPr>
                <w:sz w:val="24"/>
                <w:szCs w:val="24"/>
                <w:color w:val="auto"/>
              </w:rPr>
            </w:pPr>
          </w:p>
        </w:tc>
        <w:tc>
          <w:tcPr>
            <w:tcW w:w="3600" w:type="dxa"/>
            <w:vAlign w:val="bottom"/>
            <w:gridSpan w:val="8"/>
          </w:tcPr>
          <w:p>
            <w:pPr>
              <w:spacing w:after="0"/>
              <w:rPr>
                <w:sz w:val="24"/>
                <w:szCs w:val="24"/>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420" w:type="dxa"/>
            <w:vAlign w:val="bottom"/>
            <w:tcBorders>
              <w:top w:val="single" w:sz="8" w:color="0000EE"/>
            </w:tcBorders>
          </w:tcPr>
          <w:p>
            <w:pPr>
              <w:spacing w:after="0"/>
              <w:rPr>
                <w:sz w:val="17"/>
                <w:szCs w:val="17"/>
                <w:color w:val="auto"/>
              </w:rPr>
            </w:pPr>
          </w:p>
        </w:tc>
        <w:tc>
          <w:tcPr>
            <w:tcW w:w="8020" w:type="dxa"/>
            <w:vAlign w:val="bottom"/>
            <w:gridSpan w:val="17"/>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5000" w:type="dxa"/>
            <w:vAlign w:val="bottom"/>
            <w:gridSpan w:val="10"/>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60" w:type="dxa"/>
            <w:vAlign w:val="bottom"/>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0" w:type="dxa"/>
            <w:vAlign w:val="bottom"/>
            <w:gridSpan w:val="1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792" w:right="5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0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9"/>
                <w:szCs w:val="19"/>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000" w:type="dxa"/>
            <w:vAlign w:val="bottom"/>
            <w:tcBorders>
              <w:bottom w:val="single" w:sz="8" w:color="EEEEEE"/>
            </w:tcBorders>
          </w:tcPr>
          <w:p>
            <w:pPr>
              <w:spacing w:after="0"/>
              <w:rPr>
                <w:sz w:val="20"/>
                <w:szCs w:val="20"/>
                <w:color w:val="auto"/>
              </w:rPr>
            </w:pPr>
          </w:p>
        </w:tc>
        <w:tc>
          <w:tcPr>
            <w:tcW w:w="466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EEEEE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EEEEEE"/>
            </w:tcBorders>
          </w:tcPr>
          <w:p>
            <w:pPr>
              <w:spacing w:after="0"/>
              <w:rPr>
                <w:sz w:val="20"/>
                <w:szCs w:val="20"/>
                <w:color w:val="auto"/>
              </w:rPr>
            </w:pPr>
          </w:p>
        </w:tc>
      </w:tr>
      <w:tr>
        <w:trPr>
          <w:trHeight w:val="209"/>
        </w:trPr>
        <w:tc>
          <w:tcPr>
            <w:tcW w:w="30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12,944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29,928</w:t>
            </w:r>
          </w:p>
        </w:tc>
      </w:tr>
      <w:tr>
        <w:trPr>
          <w:trHeight w:val="216"/>
        </w:trPr>
        <w:tc>
          <w:tcPr>
            <w:tcW w:w="30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46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159,762</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146,620</w:t>
            </w:r>
          </w:p>
        </w:tc>
      </w:tr>
      <w:tr>
        <w:trPr>
          <w:trHeight w:val="216"/>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Finance receivables measured at fair value</w:t>
            </w: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2,343,253</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1,749,098</w:t>
            </w:r>
          </w:p>
        </w:tc>
      </w:tr>
      <w:tr>
        <w:trPr>
          <w:trHeight w:val="216"/>
        </w:trPr>
        <w:tc>
          <w:tcPr>
            <w:tcW w:w="3000" w:type="dxa"/>
            <w:vAlign w:val="bottom"/>
            <w:shd w:val="clear" w:color="auto" w:fill="EEEEEE"/>
          </w:tcPr>
          <w:p>
            <w:pPr>
              <w:spacing w:after="0"/>
              <w:rPr>
                <w:sz w:val="18"/>
                <w:szCs w:val="18"/>
                <w:color w:val="auto"/>
              </w:rPr>
            </w:pPr>
          </w:p>
        </w:tc>
        <w:tc>
          <w:tcPr>
            <w:tcW w:w="46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Finance receivables</w:t>
            </w:r>
          </w:p>
        </w:tc>
        <w:tc>
          <w:tcPr>
            <w:tcW w:w="4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117,686</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232,390</w:t>
            </w:r>
          </w:p>
        </w:tc>
      </w:tr>
      <w:tr>
        <w:trPr>
          <w:trHeight w:val="229"/>
        </w:trPr>
        <w:tc>
          <w:tcPr>
            <w:tcW w:w="30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Less: Allowance for finance credit losses</w:t>
            </w:r>
          </w:p>
        </w:tc>
        <w:tc>
          <w:tcPr>
            <w:tcW w:w="46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7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(27,996)</w:t>
            </w:r>
          </w:p>
        </w:tc>
        <w:tc>
          <w:tcPr>
            <w:tcW w:w="1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(56,206)</w:t>
            </w:r>
          </w:p>
        </w:tc>
      </w:tr>
      <w:tr>
        <w:trPr>
          <w:trHeight w:val="21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Finance receivables, net</w:t>
            </w:r>
          </w:p>
        </w:tc>
        <w:tc>
          <w:tcPr>
            <w:tcW w:w="46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89,690</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176,184</w:t>
            </w:r>
          </w:p>
        </w:tc>
        <w:tc>
          <w:tcPr>
            <w:tcW w:w="100" w:type="dxa"/>
            <w:vAlign w:val="bottom"/>
          </w:tcPr>
          <w:p>
            <w:pPr>
              <w:spacing w:after="0"/>
              <w:rPr>
                <w:sz w:val="18"/>
                <w:szCs w:val="18"/>
                <w:color w:val="auto"/>
              </w:rPr>
            </w:pPr>
          </w:p>
        </w:tc>
      </w:tr>
      <w:tr>
        <w:trPr>
          <w:trHeight w:val="216"/>
        </w:trPr>
        <w:tc>
          <w:tcPr>
            <w:tcW w:w="3000" w:type="dxa"/>
            <w:vAlign w:val="bottom"/>
            <w:shd w:val="clear" w:color="auto" w:fill="EEEEEE"/>
          </w:tcPr>
          <w:p>
            <w:pPr>
              <w:spacing w:after="0"/>
              <w:rPr>
                <w:sz w:val="18"/>
                <w:szCs w:val="18"/>
                <w:color w:val="auto"/>
              </w:rPr>
            </w:pPr>
          </w:p>
        </w:tc>
        <w:tc>
          <w:tcPr>
            <w:tcW w:w="46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equipment, net</w:t>
            </w:r>
          </w:p>
        </w:tc>
        <w:tc>
          <w:tcPr>
            <w:tcW w:w="4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1,700</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1,129</w:t>
            </w:r>
          </w:p>
        </w:tc>
      </w:tr>
      <w:tr>
        <w:trPr>
          <w:trHeight w:val="216"/>
        </w:trPr>
        <w:tc>
          <w:tcPr>
            <w:tcW w:w="30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46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14,570</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19,575</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4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776</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2,269</w:t>
            </w:r>
          </w:p>
        </w:tc>
      </w:tr>
      <w:tr>
        <w:trPr>
          <w:trHeight w:val="230"/>
        </w:trPr>
        <w:tc>
          <w:tcPr>
            <w:tcW w:w="30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6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27,829</w:t>
            </w:r>
          </w:p>
        </w:tc>
        <w:tc>
          <w:tcPr>
            <w:tcW w:w="1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34,775</w:t>
            </w:r>
          </w:p>
        </w:tc>
      </w:tr>
      <w:tr>
        <w:trPr>
          <w:trHeight w:val="263"/>
        </w:trPr>
        <w:tc>
          <w:tcPr>
            <w:tcW w:w="3000" w:type="dxa"/>
            <w:vAlign w:val="bottom"/>
            <w:tcBorders>
              <w:bottom w:val="single" w:sz="8" w:color="EEEEEE"/>
            </w:tcBorders>
          </w:tcPr>
          <w:p>
            <w:pPr>
              <w:spacing w:after="0"/>
              <w:rPr>
                <w:sz w:val="22"/>
                <w:szCs w:val="22"/>
                <w:color w:val="auto"/>
              </w:rPr>
            </w:pPr>
          </w:p>
        </w:tc>
        <w:tc>
          <w:tcPr>
            <w:tcW w:w="4660" w:type="dxa"/>
            <w:vAlign w:val="bottom"/>
            <w:tcBorders>
              <w:bottom w:val="single" w:sz="8" w:color="EEEEEE"/>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2,650,524</w:t>
            </w:r>
          </w:p>
        </w:tc>
        <w:tc>
          <w:tcPr>
            <w:tcW w:w="320" w:type="dxa"/>
            <w:vAlign w:val="bottom"/>
            <w:tcBorders>
              <w:bottom w:val="single" w:sz="8" w:color="EEEEEE"/>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2,159,578</w:t>
            </w:r>
          </w:p>
        </w:tc>
        <w:tc>
          <w:tcPr>
            <w:tcW w:w="100" w:type="dxa"/>
            <w:vAlign w:val="bottom"/>
            <w:tcBorders>
              <w:bottom w:val="single" w:sz="8" w:color="EEEEEE"/>
            </w:tcBorders>
          </w:tcPr>
          <w:p>
            <w:pPr>
              <w:spacing w:after="0"/>
              <w:rPr>
                <w:sz w:val="22"/>
                <w:szCs w:val="22"/>
                <w:color w:val="auto"/>
              </w:rPr>
            </w:pPr>
          </w:p>
        </w:tc>
      </w:tr>
      <w:tr>
        <w:trPr>
          <w:trHeight w:val="197"/>
        </w:trPr>
        <w:tc>
          <w:tcPr>
            <w:tcW w:w="3000" w:type="dxa"/>
            <w:vAlign w:val="bottom"/>
            <w:shd w:val="clear" w:color="auto" w:fill="EEEEEE"/>
          </w:tcPr>
          <w:p>
            <w:pPr>
              <w:spacing w:after="0"/>
              <w:rPr>
                <w:sz w:val="17"/>
                <w:szCs w:val="17"/>
                <w:color w:val="auto"/>
              </w:rPr>
            </w:pPr>
          </w:p>
        </w:tc>
        <w:tc>
          <w:tcPr>
            <w:tcW w:w="46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6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55,982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43,648</w:t>
            </w:r>
          </w:p>
        </w:tc>
      </w:tr>
      <w:tr>
        <w:trPr>
          <w:trHeight w:val="216"/>
        </w:trPr>
        <w:tc>
          <w:tcPr>
            <w:tcW w:w="30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46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242,449</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105,610</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4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49,560</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53,682</w:t>
            </w:r>
          </w:p>
        </w:tc>
      </w:tr>
      <w:tr>
        <w:trPr>
          <w:trHeight w:val="216"/>
        </w:trPr>
        <w:tc>
          <w:tcPr>
            <w:tcW w:w="30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46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2,057,100</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1,759,972</w:t>
            </w:r>
          </w:p>
        </w:tc>
      </w:tr>
      <w:tr>
        <w:trPr>
          <w:trHeight w:val="229"/>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4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27,249</w:t>
            </w: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26,459</w:t>
            </w:r>
          </w:p>
        </w:tc>
      </w:tr>
      <w:tr>
        <w:trPr>
          <w:trHeight w:val="210"/>
        </w:trPr>
        <w:tc>
          <w:tcPr>
            <w:tcW w:w="3000" w:type="dxa"/>
            <w:vAlign w:val="bottom"/>
            <w:tcBorders>
              <w:top w:val="single" w:sz="8" w:color="EEEEEE"/>
            </w:tcBorders>
            <w:shd w:val="clear" w:color="auto" w:fill="EEEEEE"/>
          </w:tcPr>
          <w:p>
            <w:pPr>
              <w:spacing w:after="0"/>
              <w:rPr>
                <w:sz w:val="18"/>
                <w:szCs w:val="18"/>
                <w:color w:val="auto"/>
              </w:rPr>
            </w:pPr>
          </w:p>
        </w:tc>
        <w:tc>
          <w:tcPr>
            <w:tcW w:w="46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2,432,340</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1,989,371</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46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6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Preferred stock, $1 par value; authorized 4,998,130 shares; none issued</w:t>
            </w:r>
          </w:p>
        </w:tc>
        <w:tc>
          <w:tcPr>
            <w:tcW w:w="1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Series A preferred stock, $1 par value; authorized 5,000,000 shares; none issued</w:t>
            </w: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2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Series B preferred stock, $1 par value; authorized 1,870 shares; none issued</w:t>
            </w:r>
          </w:p>
        </w:tc>
        <w:tc>
          <w:tcPr>
            <w:tcW w:w="1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no par value; authorized</w:t>
            </w:r>
          </w:p>
        </w:tc>
        <w:tc>
          <w:tcPr>
            <w:tcW w:w="4820" w:type="dxa"/>
            <w:vAlign w:val="bottom"/>
            <w:gridSpan w:val="2"/>
          </w:tcPr>
          <w:p>
            <w:pPr>
              <w:jc w:val="right"/>
              <w:ind w:right="350"/>
              <w:spacing w:after="0" w:line="198" w:lineRule="exact"/>
              <w:rPr>
                <w:sz w:val="20"/>
                <w:szCs w:val="20"/>
                <w:color w:val="auto"/>
              </w:rPr>
            </w:pPr>
            <w:r>
              <w:rPr>
                <w:rFonts w:ascii="Times New Roman" w:cs="Times New Roman" w:eastAsia="Times New Roman" w:hAnsi="Times New Roman"/>
                <w:sz w:val="18"/>
                <w:szCs w:val="18"/>
                <w:color w:val="auto"/>
                <w:w w:val="99"/>
              </w:rPr>
              <w:t>75,000,000 shares; 20,607,286 and 21,143,764 shares issued</w:t>
            </w: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8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and outstanding at September 30, 2022 and December 31, 2021, respectively</w:t>
            </w: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31,427</w:t>
            </w:r>
          </w:p>
        </w:tc>
        <w:tc>
          <w:tcPr>
            <w:tcW w:w="18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55,298</w:t>
            </w:r>
          </w:p>
        </w:tc>
      </w:tr>
      <w:tr>
        <w:trPr>
          <w:trHeight w:val="216"/>
        </w:trPr>
        <w:tc>
          <w:tcPr>
            <w:tcW w:w="30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46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188,379</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116,531</w:t>
            </w: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(1,622)</w:t>
            </w:r>
          </w:p>
        </w:tc>
        <w:tc>
          <w:tcPr>
            <w:tcW w:w="1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(1,622)</w:t>
            </w:r>
          </w:p>
        </w:tc>
      </w:tr>
      <w:tr>
        <w:trPr>
          <w:trHeight w:val="210"/>
        </w:trPr>
        <w:tc>
          <w:tcPr>
            <w:tcW w:w="3000" w:type="dxa"/>
            <w:vAlign w:val="bottom"/>
            <w:tcBorders>
              <w:top w:val="single" w:sz="8" w:color="EEEEEE"/>
            </w:tcBorders>
            <w:shd w:val="clear" w:color="auto" w:fill="EEEEEE"/>
          </w:tcPr>
          <w:p>
            <w:pPr>
              <w:spacing w:after="0"/>
              <w:rPr>
                <w:sz w:val="18"/>
                <w:szCs w:val="18"/>
                <w:color w:val="auto"/>
              </w:rPr>
            </w:pPr>
          </w:p>
        </w:tc>
        <w:tc>
          <w:tcPr>
            <w:tcW w:w="46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bottom w:val="single" w:sz="8" w:color="auto"/>
            </w:tcBorders>
            <w:shd w:val="clear" w:color="auto" w:fill="EEEEEE"/>
          </w:tcPr>
          <w:p>
            <w:pPr>
              <w:spacing w:after="0"/>
              <w:rPr>
                <w:sz w:val="18"/>
                <w:szCs w:val="18"/>
                <w:color w:val="auto"/>
              </w:rPr>
            </w:pP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218,184</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170,207</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30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000" w:type="dxa"/>
            <w:vAlign w:val="bottom"/>
            <w:shd w:val="clear" w:color="auto" w:fill="EEEEEE"/>
          </w:tcPr>
          <w:p>
            <w:pPr>
              <w:spacing w:after="0"/>
              <w:rPr>
                <w:sz w:val="21"/>
                <w:szCs w:val="21"/>
                <w:color w:val="auto"/>
              </w:rPr>
            </w:pPr>
          </w:p>
        </w:tc>
        <w:tc>
          <w:tcPr>
            <w:tcW w:w="48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2,650,524</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2,159,578</w:t>
            </w:r>
          </w:p>
        </w:tc>
      </w:tr>
      <w:tr>
        <w:trPr>
          <w:trHeight w:val="20"/>
        </w:trPr>
        <w:tc>
          <w:tcPr>
            <w:tcW w:w="3000" w:type="dxa"/>
            <w:vAlign w:val="bottom"/>
            <w:tcBorders>
              <w:top w:val="single" w:sz="8" w:color="EEEEEE"/>
            </w:tcBorders>
          </w:tcPr>
          <w:p>
            <w:pPr>
              <w:spacing w:after="0" w:line="20" w:lineRule="exact"/>
              <w:rPr>
                <w:sz w:val="1"/>
                <w:szCs w:val="1"/>
                <w:color w:val="auto"/>
              </w:rPr>
            </w:pPr>
          </w:p>
        </w:tc>
        <w:tc>
          <w:tcPr>
            <w:tcW w:w="46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CONSUMER PORTFOLIO SERVICES, INC. AND SUBSIDIARIES UNAUDITED CONDENSED CONSOLIDATED STATEMENTS OF OPERATIONS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20" w:type="dxa"/>
            <w:vAlign w:val="bottom"/>
            <w:gridSpan w:val="6"/>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9"/>
                <w:szCs w:val="19"/>
                <w:color w:val="auto"/>
              </w:rPr>
            </w:pPr>
          </w:p>
        </w:tc>
        <w:tc>
          <w:tcPr>
            <w:tcW w:w="282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40" w:type="dxa"/>
            <w:vAlign w:val="bottom"/>
            <w:tcBorders>
              <w:bottom w:val="single" w:sz="8" w:color="EEEEEE"/>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bottom w:val="single" w:sz="8" w:color="EEEEEE"/>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EEEEEE"/>
            </w:tcBorders>
          </w:tcPr>
          <w:p>
            <w:pPr>
              <w:spacing w:after="0"/>
              <w:rPr>
                <w:sz w:val="19"/>
                <w:szCs w:val="19"/>
                <w:color w:val="auto"/>
              </w:rPr>
            </w:pPr>
          </w:p>
        </w:tc>
      </w:tr>
      <w:tr>
        <w:trPr>
          <w:trHeight w:val="209"/>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79,817</w:t>
            </w:r>
          </w:p>
        </w:tc>
        <w:tc>
          <w:tcPr>
            <w:tcW w:w="5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67,018</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225,547</w:t>
            </w:r>
          </w:p>
        </w:tc>
        <w:tc>
          <w:tcPr>
            <w:tcW w:w="58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198,551</w:t>
            </w: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Mark to finance receivables measured at fair value</w:t>
            </w:r>
          </w:p>
        </w:tc>
        <w:tc>
          <w:tcPr>
            <w:tcW w:w="2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8,183</w:t>
            </w: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15,283</w:t>
            </w: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(4,417)</w:t>
            </w: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2,305</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1,547</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5,859</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4,312</w:t>
            </w:r>
          </w:p>
        </w:tc>
      </w:tr>
      <w:tr>
        <w:trPr>
          <w:trHeight w:val="209"/>
        </w:trPr>
        <w:tc>
          <w:tcPr>
            <w:tcW w:w="474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90,305</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bottom w:val="single" w:sz="8" w:color="auto"/>
            </w:tcBorders>
            <w:shd w:val="clear" w:color="auto" w:fill="EEEEEE"/>
          </w:tcPr>
          <w:p>
            <w:pPr>
              <w:spacing w:after="0"/>
              <w:rPr>
                <w:sz w:val="18"/>
                <w:szCs w:val="18"/>
                <w:color w:val="auto"/>
              </w:rPr>
            </w:pP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68,565</w:t>
            </w:r>
          </w:p>
        </w:tc>
        <w:tc>
          <w:tcPr>
            <w:tcW w:w="3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246,689</w:t>
            </w: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bottom w:val="single" w:sz="8" w:color="auto"/>
            </w:tcBorders>
            <w:shd w:val="clear" w:color="auto" w:fill="EEEEEE"/>
          </w:tcPr>
          <w:p>
            <w:pPr>
              <w:spacing w:after="0"/>
              <w:rPr>
                <w:sz w:val="18"/>
                <w:szCs w:val="18"/>
                <w:color w:val="auto"/>
              </w:rPr>
            </w:pP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198,446</w:t>
            </w:r>
          </w:p>
        </w:tc>
        <w:tc>
          <w:tcPr>
            <w:tcW w:w="100" w:type="dxa"/>
            <w:vAlign w:val="bottom"/>
            <w:tcBorders>
              <w:top w:val="single" w:sz="8" w:color="EEEEEE"/>
            </w:tcBorders>
            <w:shd w:val="clear" w:color="auto" w:fill="EEEEEE"/>
          </w:tcPr>
          <w:p>
            <w:pPr>
              <w:spacing w:after="0"/>
              <w:rPr>
                <w:sz w:val="18"/>
                <w:szCs w:val="18"/>
                <w:color w:val="auto"/>
              </w:rPr>
            </w:pPr>
          </w:p>
        </w:tc>
      </w:tr>
      <w:tr>
        <w:trPr>
          <w:trHeight w:val="209"/>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Employee costs</w:t>
            </w: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20,671</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18,170</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63,414</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57,777</w:t>
            </w: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9,408</w:t>
            </w: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7,455</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25,920</w:t>
            </w: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23,034</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23,483</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18,334</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58,654</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58,260</w:t>
            </w: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(6,000)</w:t>
            </w: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(1,590)</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(23,400)</w:t>
            </w: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(1,590)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Sales</w:t>
            </w: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5,962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4,288</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17,186</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12,475</w:t>
            </w: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Occupancy</w:t>
            </w:r>
          </w:p>
        </w:tc>
        <w:tc>
          <w:tcPr>
            <w:tcW w:w="2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2,031</w:t>
            </w: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1,952</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5,820</w:t>
            </w: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5,870</w:t>
            </w: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409</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1,207</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1,254</w:t>
            </w:r>
          </w:p>
        </w:tc>
      </w:tr>
      <w:tr>
        <w:trPr>
          <w:trHeight w:val="209"/>
        </w:trPr>
        <w:tc>
          <w:tcPr>
            <w:tcW w:w="474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55,961</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bottom w:val="single" w:sz="8" w:color="auto"/>
            </w:tcBorders>
            <w:shd w:val="clear" w:color="auto" w:fill="EEEEEE"/>
          </w:tcPr>
          <w:p>
            <w:pPr>
              <w:spacing w:after="0"/>
              <w:rPr>
                <w:sz w:val="18"/>
                <w:szCs w:val="18"/>
                <w:color w:val="auto"/>
              </w:rPr>
            </w:pP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49,018</w:t>
            </w:r>
          </w:p>
        </w:tc>
        <w:tc>
          <w:tcPr>
            <w:tcW w:w="3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148,801</w:t>
            </w: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bottom w:val="single" w:sz="8" w:color="auto"/>
            </w:tcBorders>
            <w:shd w:val="clear" w:color="auto" w:fill="EEEEEE"/>
          </w:tcPr>
          <w:p>
            <w:pPr>
              <w:spacing w:after="0"/>
              <w:rPr>
                <w:sz w:val="18"/>
                <w:szCs w:val="18"/>
                <w:color w:val="auto"/>
              </w:rPr>
            </w:pP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157,080</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41,366</w:t>
            </w:r>
          </w:p>
        </w:tc>
        <w:tc>
          <w:tcPr>
            <w:tcW w:w="100" w:type="dxa"/>
            <w:vAlign w:val="bottom"/>
          </w:tcPr>
          <w:p>
            <w:pPr>
              <w:spacing w:after="0"/>
              <w:rPr>
                <w:sz w:val="18"/>
                <w:szCs w:val="18"/>
                <w:color w:val="auto"/>
              </w:rPr>
            </w:pPr>
          </w:p>
        </w:tc>
      </w:tr>
      <w:tr>
        <w:trPr>
          <w:trHeight w:val="229"/>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8,931</w:t>
            </w:r>
          </w:p>
        </w:tc>
        <w:tc>
          <w:tcPr>
            <w:tcW w:w="14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5,864</w:t>
            </w:r>
          </w:p>
        </w:tc>
        <w:tc>
          <w:tcPr>
            <w:tcW w:w="28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26,040</w:t>
            </w:r>
          </w:p>
        </w:tc>
        <w:tc>
          <w:tcPr>
            <w:tcW w:w="14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12,807</w:t>
            </w:r>
          </w:p>
        </w:tc>
      </w:tr>
      <w:tr>
        <w:trPr>
          <w:trHeight w:val="263"/>
        </w:trPr>
        <w:tc>
          <w:tcPr>
            <w:tcW w:w="474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25,413</w:t>
            </w:r>
          </w:p>
        </w:tc>
        <w:tc>
          <w:tcPr>
            <w:tcW w:w="20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13,683</w:t>
            </w:r>
          </w:p>
        </w:tc>
        <w:tc>
          <w:tcPr>
            <w:tcW w:w="320" w:type="dxa"/>
            <w:vAlign w:val="bottom"/>
            <w:tcBorders>
              <w:bottom w:val="single" w:sz="8" w:color="EEEEEE"/>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71,848</w:t>
            </w:r>
          </w:p>
        </w:tc>
        <w:tc>
          <w:tcPr>
            <w:tcW w:w="18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28,559</w:t>
            </w:r>
          </w:p>
        </w:tc>
        <w:tc>
          <w:tcPr>
            <w:tcW w:w="100" w:type="dxa"/>
            <w:vAlign w:val="bottom"/>
            <w:tcBorders>
              <w:bottom w:val="single" w:sz="8" w:color="EEEEEE"/>
            </w:tcBorders>
          </w:tcPr>
          <w:p>
            <w:pPr>
              <w:spacing w:after="0"/>
              <w:rPr>
                <w:sz w:val="22"/>
                <w:szCs w:val="22"/>
                <w:color w:val="auto"/>
              </w:rPr>
            </w:pPr>
          </w:p>
        </w:tc>
      </w:tr>
      <w:tr>
        <w:trPr>
          <w:trHeight w:val="196"/>
        </w:trPr>
        <w:tc>
          <w:tcPr>
            <w:tcW w:w="47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EEEEE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1.22</w:t>
            </w:r>
          </w:p>
        </w:tc>
        <w:tc>
          <w:tcPr>
            <w:tcW w:w="580" w:type="dxa"/>
            <w:vAlign w:val="bottom"/>
            <w:gridSpan w:val="2"/>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0.59</w:t>
            </w:r>
          </w:p>
        </w:tc>
        <w:tc>
          <w:tcPr>
            <w:tcW w:w="280" w:type="dxa"/>
            <w:vAlign w:val="bottom"/>
            <w:shd w:val="clear" w:color="auto" w:fill="EEEEE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3.39</w:t>
            </w:r>
          </w:p>
        </w:tc>
        <w:tc>
          <w:tcPr>
            <w:tcW w:w="580" w:type="dxa"/>
            <w:vAlign w:val="bottom"/>
            <w:gridSpan w:val="2"/>
            <w:shd w:val="clear" w:color="auto" w:fill="EEEEEE"/>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0.95</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0.52</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47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used in computing earnings per share:</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20,911</w:t>
            </w: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23,011</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21,166</w:t>
            </w: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22,866</w:t>
            </w:r>
          </w:p>
        </w:tc>
      </w:tr>
      <w:tr>
        <w:trPr>
          <w:trHeight w:val="234"/>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26,654</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26,218</w:t>
            </w:r>
          </w:p>
        </w:tc>
        <w:tc>
          <w:tcPr>
            <w:tcW w:w="2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27,512</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25,439</w:t>
            </w:r>
          </w:p>
        </w:tc>
      </w:tr>
    </w:tbl>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CONSUMER PORTFOLIO SERVICES, INC. AND SUBSIDIARIES UNAUDITED CONDENSED CONSOLIDATED STATEMENTS OF COMPREHENSIVE INCOME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2580" w:type="dxa"/>
            <w:vAlign w:val="bottom"/>
            <w:gridSpan w:val="5"/>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7"/>
          </w:tcPr>
          <w:p>
            <w:pPr>
              <w:ind w:left="4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7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47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EEEEEE"/>
          </w:tcPr>
          <w:p>
            <w:pPr>
              <w:jc w:val="right"/>
              <w:ind w:right="69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w w:val="96"/>
              </w:rPr>
              <w:t>25,413</w:t>
            </w:r>
          </w:p>
        </w:tc>
        <w:tc>
          <w:tcPr>
            <w:tcW w:w="1040" w:type="dxa"/>
            <w:vAlign w:val="bottom"/>
            <w:gridSpan w:val="2"/>
            <w:shd w:val="clear" w:color="auto" w:fill="EEEEEE"/>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w w:val="96"/>
              </w:rPr>
              <w:t>13,683</w:t>
            </w:r>
          </w:p>
        </w:tc>
        <w:tc>
          <w:tcPr>
            <w:tcW w:w="280" w:type="dxa"/>
            <w:vAlign w:val="bottom"/>
            <w:shd w:val="clear" w:color="auto" w:fill="EEEEE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71,848</w:t>
            </w:r>
          </w:p>
        </w:tc>
        <w:tc>
          <w:tcPr>
            <w:tcW w:w="440" w:type="dxa"/>
            <w:vAlign w:val="bottom"/>
            <w:gridSpan w:val="2"/>
            <w:shd w:val="clear" w:color="auto" w:fill="EEEEEE"/>
          </w:tcPr>
          <w:p>
            <w:pPr>
              <w:jc w:val="right"/>
              <w:ind w:right="30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28,559</w:t>
            </w:r>
          </w:p>
        </w:tc>
        <w:tc>
          <w:tcPr>
            <w:tcW w:w="8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474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income/(loss); change in funded status</w:t>
            </w:r>
          </w:p>
        </w:tc>
        <w:tc>
          <w:tcPr>
            <w:tcW w:w="86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48"/>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of pension plan</w:t>
            </w:r>
          </w:p>
        </w:tc>
        <w:tc>
          <w:tcPr>
            <w:tcW w:w="860" w:type="dxa"/>
            <w:vAlign w:val="bottom"/>
            <w:shd w:val="clear" w:color="auto" w:fill="EEEEEE"/>
          </w:tcPr>
          <w:p>
            <w:pPr>
              <w:spacing w:after="0"/>
              <w:rPr>
                <w:sz w:val="21"/>
                <w:szCs w:val="21"/>
                <w:color w:val="auto"/>
              </w:rPr>
            </w:pPr>
          </w:p>
        </w:tc>
        <w:tc>
          <w:tcPr>
            <w:tcW w:w="68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21"/>
                <w:szCs w:val="21"/>
                <w:color w:val="auto"/>
              </w:rPr>
            </w:pPr>
          </w:p>
        </w:tc>
        <w:tc>
          <w:tcPr>
            <w:tcW w:w="880" w:type="dxa"/>
            <w:vAlign w:val="bottom"/>
            <w:shd w:val="clear" w:color="auto" w:fill="EEEEEE"/>
          </w:tcPr>
          <w:p>
            <w:pPr>
              <w:spacing w:after="0"/>
              <w:rPr>
                <w:sz w:val="21"/>
                <w:szCs w:val="21"/>
                <w:color w:val="auto"/>
              </w:rPr>
            </w:pP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EEEEEE"/>
          </w:tcPr>
          <w:p>
            <w:pPr>
              <w:spacing w:after="0"/>
              <w:rPr>
                <w:sz w:val="21"/>
                <w:szCs w:val="21"/>
                <w:color w:val="auto"/>
              </w:rPr>
            </w:pPr>
          </w:p>
        </w:tc>
        <w:tc>
          <w:tcPr>
            <w:tcW w:w="13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EEEEE"/>
          </w:tcPr>
          <w:p>
            <w:pPr>
              <w:spacing w:after="0"/>
              <w:rPr>
                <w:sz w:val="21"/>
                <w:szCs w:val="21"/>
                <w:color w:val="auto"/>
              </w:rPr>
            </w:pPr>
          </w:p>
        </w:tc>
        <w:tc>
          <w:tcPr>
            <w:tcW w:w="420" w:type="dxa"/>
            <w:vAlign w:val="bottom"/>
            <w:shd w:val="clear" w:color="auto" w:fill="EEEEEE"/>
          </w:tcPr>
          <w:p>
            <w:pPr>
              <w:spacing w:after="0"/>
              <w:rPr>
                <w:sz w:val="21"/>
                <w:szCs w:val="21"/>
                <w:color w:val="auto"/>
              </w:rPr>
            </w:pPr>
          </w:p>
        </w:tc>
        <w:tc>
          <w:tcPr>
            <w:tcW w:w="100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860" w:type="dxa"/>
            <w:vAlign w:val="bottom"/>
            <w:tcBorders>
              <w:top w:val="single" w:sz="8" w:color="auto"/>
              <w:bottom w:val="single" w:sz="8" w:color="auto"/>
            </w:tcBorders>
          </w:tcPr>
          <w:p>
            <w:pPr>
              <w:jc w:val="right"/>
              <w:ind w:right="69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25,413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13,683</w:t>
            </w:r>
          </w:p>
        </w:tc>
        <w:tc>
          <w:tcPr>
            <w:tcW w:w="3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71,848</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jc w:val="center"/>
        <w:ind w:left="340" w:right="2340"/>
        <w:spacing w:after="0" w:line="268" w:lineRule="auto"/>
        <w:rPr>
          <w:sz w:val="20"/>
          <w:szCs w:val="20"/>
          <w:color w:val="auto"/>
        </w:rPr>
      </w:pPr>
      <w:r>
        <w:rPr>
          <w:rFonts w:ascii="Times New Roman" w:cs="Times New Roman" w:eastAsia="Times New Roman" w:hAnsi="Times New Roman"/>
          <w:sz w:val="18"/>
          <w:szCs w:val="18"/>
          <w:b w:val="1"/>
          <w:bCs w:val="1"/>
          <w:color w:val="auto"/>
        </w:rPr>
        <w:t>CONSUMER PORTFOLIO SERVICES, INC. AND SUBSIDIARIES UNAUDITED CONDENSED CONSOLIDATED STATEMENTS OF CASH FLOWS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6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840" w:type="dxa"/>
            <w:vAlign w:val="bottom"/>
            <w:tcBorders>
              <w:bottom w:val="single" w:sz="8" w:color="EEEEEE"/>
            </w:tcBorders>
          </w:tcPr>
          <w:p>
            <w:pPr>
              <w:spacing w:after="0"/>
              <w:rPr>
                <w:sz w:val="19"/>
                <w:szCs w:val="19"/>
                <w:color w:val="auto"/>
              </w:rPr>
            </w:pPr>
          </w:p>
        </w:tc>
        <w:tc>
          <w:tcPr>
            <w:tcW w:w="82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EEEEEE"/>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00" w:type="dxa"/>
            <w:vAlign w:val="bottom"/>
            <w:tcBorders>
              <w:bottom w:val="single" w:sz="8" w:color="EEEEEE"/>
            </w:tcBorders>
          </w:tcPr>
          <w:p>
            <w:pPr>
              <w:spacing w:after="0"/>
              <w:rPr>
                <w:sz w:val="19"/>
                <w:szCs w:val="19"/>
                <w:color w:val="auto"/>
              </w:rPr>
            </w:pPr>
          </w:p>
        </w:tc>
      </w:tr>
      <w:tr>
        <w:trPr>
          <w:trHeight w:val="209"/>
        </w:trPr>
        <w:tc>
          <w:tcPr>
            <w:tcW w:w="6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71,848</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28,559</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of deferred acquisition fees and origination costs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651</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Net interest income accretion on fair value receivables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97,462</w:t>
            </w: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100,676</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1,207</w:t>
            </w:r>
          </w:p>
        </w:tc>
        <w:tc>
          <w:tcPr>
            <w:tcW w:w="60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1,254</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5,860</w:t>
            </w: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5,360</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 to finance receivables measured at fair value</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(15,283)</w:t>
            </w:r>
          </w:p>
        </w:tc>
        <w:tc>
          <w:tcPr>
            <w:tcW w:w="60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4,417</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(23,400)</w:t>
            </w: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(1,590)</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2,966</w:t>
            </w:r>
          </w:p>
        </w:tc>
        <w:tc>
          <w:tcPr>
            <w:tcW w:w="60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1,265</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Purchases of finance receivables held-for-sale</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(23,700)</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 of finance receivables held-for-sale</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23,513</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1,493</w:t>
            </w:r>
          </w:p>
        </w:tc>
        <w:tc>
          <w:tcPr>
            <w:tcW w:w="60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2,087</w:t>
            </w:r>
          </w:p>
        </w:tc>
      </w:tr>
      <w:tr>
        <w:trPr>
          <w:trHeight w:val="216"/>
        </w:trPr>
        <w:tc>
          <w:tcPr>
            <w:tcW w:w="68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Deferred tax assets, net</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5,005</w:t>
            </w: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3,146</w:t>
            </w: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5,252</w:t>
            </w:r>
          </w:p>
        </w:tc>
        <w:tc>
          <w:tcPr>
            <w:tcW w:w="60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8,629</w:t>
            </w:r>
          </w:p>
        </w:tc>
      </w:tr>
      <w:tr>
        <w:trPr>
          <w:trHeight w:val="229"/>
        </w:trPr>
        <w:tc>
          <w:tcPr>
            <w:tcW w:w="68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8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12,334</w:t>
            </w:r>
          </w:p>
        </w:tc>
        <w:tc>
          <w:tcPr>
            <w:tcW w:w="60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8,809</w:t>
            </w:r>
          </w:p>
        </w:tc>
      </w:tr>
      <w:tr>
        <w:trPr>
          <w:trHeight w:val="210"/>
        </w:trPr>
        <w:tc>
          <w:tcPr>
            <w:tcW w:w="6840" w:type="dxa"/>
            <w:vAlign w:val="bottom"/>
            <w:tcBorders>
              <w:bottom w:val="single" w:sz="8" w:color="EEEEEE"/>
            </w:tcBorders>
          </w:tcPr>
          <w:p>
            <w:pPr>
              <w:ind w:left="5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2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164,744</w:t>
            </w:r>
          </w:p>
        </w:tc>
        <w:tc>
          <w:tcPr>
            <w:tcW w:w="320" w:type="dxa"/>
            <w:vAlign w:val="bottom"/>
            <w:tcBorders>
              <w:bottom w:val="single" w:sz="8" w:color="EEEEEE"/>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163,076</w:t>
            </w:r>
          </w:p>
        </w:tc>
        <w:tc>
          <w:tcPr>
            <w:tcW w:w="100" w:type="dxa"/>
            <w:vAlign w:val="bottom"/>
            <w:tcBorders>
              <w:bottom w:val="single" w:sz="8" w:color="EEEEEE"/>
            </w:tcBorders>
          </w:tcPr>
          <w:p>
            <w:pPr>
              <w:spacing w:after="0"/>
              <w:rPr>
                <w:sz w:val="18"/>
                <w:szCs w:val="18"/>
                <w:color w:val="auto"/>
              </w:rPr>
            </w:pPr>
          </w:p>
        </w:tc>
      </w:tr>
      <w:tr>
        <w:trPr>
          <w:trHeight w:val="210"/>
        </w:trPr>
        <w:tc>
          <w:tcPr>
            <w:tcW w:w="68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Payments received on finance receivables held for investment</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109,894</w:t>
            </w: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198,366</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finance receivables measured at fair value</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(1,311,735)</w:t>
            </w:r>
          </w:p>
        </w:tc>
        <w:tc>
          <w:tcPr>
            <w:tcW w:w="6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(795,457)</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Payments received on finance receivables at fair value</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635,401</w:t>
            </w: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546,897</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repossessions held in inventory</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1,694</w:t>
            </w:r>
          </w:p>
        </w:tc>
        <w:tc>
          <w:tcPr>
            <w:tcW w:w="60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1,567</w:t>
            </w:r>
          </w:p>
        </w:tc>
      </w:tr>
      <w:tr>
        <w:trPr>
          <w:trHeight w:val="230"/>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Purchase of furniture and equipment</w:t>
            </w:r>
          </w:p>
        </w:tc>
        <w:tc>
          <w:tcPr>
            <w:tcW w:w="8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(1,778)</w:t>
            </w:r>
          </w:p>
        </w:tc>
        <w:tc>
          <w:tcPr>
            <w:tcW w:w="60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(1,547)</w:t>
            </w:r>
          </w:p>
        </w:tc>
      </w:tr>
      <w:tr>
        <w:trPr>
          <w:trHeight w:val="210"/>
        </w:trPr>
        <w:tc>
          <w:tcPr>
            <w:tcW w:w="6840" w:type="dxa"/>
            <w:vAlign w:val="bottom"/>
            <w:tcBorders>
              <w:bottom w:val="single" w:sz="8" w:color="EEEEEE"/>
            </w:tcBorders>
          </w:tcPr>
          <w:p>
            <w:pPr>
              <w:ind w:left="5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2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(566,524</w:t>
            </w:r>
          </w:p>
        </w:tc>
        <w:tc>
          <w:tcPr>
            <w:tcW w:w="320" w:type="dxa"/>
            <w:vAlign w:val="bottom"/>
            <w:tcBorders>
              <w:bottom w:val="single" w:sz="8" w:color="EEEEEE"/>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(50,174</w:t>
            </w:r>
          </w:p>
        </w:tc>
        <w:tc>
          <w:tcPr>
            <w:tcW w:w="10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8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Proceeds from issuance of securitization trust debt</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1,104,000</w:t>
            </w: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761,545</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subordinated renewable notes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4,004</w:t>
            </w:r>
          </w:p>
        </w:tc>
        <w:tc>
          <w:tcPr>
            <w:tcW w:w="60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7,416</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Payments on subordinated renewable notes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(3,214)</w:t>
            </w: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(1,277)</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(repayments of) warehouse lines of credit</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139,477</w:t>
            </w:r>
          </w:p>
        </w:tc>
        <w:tc>
          <w:tcPr>
            <w:tcW w:w="6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(22,089)</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Net Proceeds from (repayment of) residual interest financing debt</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(4,311)</w:t>
            </w: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39,705</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securitization trust debt</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(804,774)</w:t>
            </w:r>
          </w:p>
        </w:tc>
        <w:tc>
          <w:tcPr>
            <w:tcW w:w="6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(861,045)</w:t>
            </w: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 of financing costs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(10,407)</w:t>
            </w: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(5,752)</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common stock</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(41,535)</w:t>
            </w:r>
          </w:p>
        </w:tc>
        <w:tc>
          <w:tcPr>
            <w:tcW w:w="6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(3,959)</w:t>
            </w:r>
          </w:p>
        </w:tc>
      </w:tr>
      <w:tr>
        <w:trPr>
          <w:trHeight w:val="230"/>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Exercise of options and warrants</w:t>
            </w:r>
          </w:p>
        </w:tc>
        <w:tc>
          <w:tcPr>
            <w:tcW w:w="8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14,698</w:t>
            </w:r>
          </w:p>
        </w:tc>
        <w:tc>
          <w:tcPr>
            <w:tcW w:w="60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2,167</w:t>
            </w:r>
          </w:p>
        </w:tc>
      </w:tr>
      <w:tr>
        <w:trPr>
          <w:trHeight w:val="209"/>
        </w:trPr>
        <w:tc>
          <w:tcPr>
            <w:tcW w:w="6840" w:type="dxa"/>
            <w:vAlign w:val="bottom"/>
            <w:tcBorders>
              <w:bottom w:val="single" w:sz="8" w:color="EEEEEE"/>
            </w:tcBorders>
          </w:tcPr>
          <w:p>
            <w:pPr>
              <w:ind w:left="5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82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397,938</w:t>
            </w:r>
          </w:p>
        </w:tc>
        <w:tc>
          <w:tcPr>
            <w:tcW w:w="320" w:type="dxa"/>
            <w:vAlign w:val="bottom"/>
            <w:tcBorders>
              <w:bottom w:val="single" w:sz="8" w:color="EEEEEE"/>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(83,289</w:t>
            </w:r>
          </w:p>
        </w:tc>
        <w:tc>
          <w:tcPr>
            <w:tcW w:w="10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29,613</w:t>
            </w:r>
          </w:p>
        </w:tc>
        <w:tc>
          <w:tcPr>
            <w:tcW w:w="100" w:type="dxa"/>
            <w:vAlign w:val="bottom"/>
            <w:shd w:val="clear" w:color="auto" w:fill="EEEEEE"/>
          </w:tcPr>
          <w:p>
            <w:pPr>
              <w:spacing w:after="0"/>
              <w:rPr>
                <w:sz w:val="18"/>
                <w:szCs w:val="18"/>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Cash and restricted cash at beginning of period</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176,548</w:t>
            </w:r>
          </w:p>
        </w:tc>
        <w:tc>
          <w:tcPr>
            <w:tcW w:w="60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144,152</w:t>
            </w:r>
          </w:p>
        </w:tc>
      </w:tr>
      <w:tr>
        <w:trPr>
          <w:trHeight w:val="223"/>
        </w:trPr>
        <w:tc>
          <w:tcPr>
            <w:tcW w:w="68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restricted cash at end of period</w:t>
            </w:r>
          </w:p>
        </w:tc>
        <w:tc>
          <w:tcPr>
            <w:tcW w:w="82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172,706</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600" w:type="dxa"/>
            <w:vAlign w:val="bottom"/>
            <w:tcBorders>
              <w:top w:val="single" w:sz="8" w:color="auto"/>
              <w:bottom w:val="single" w:sz="8" w:color="auto"/>
            </w:tcBorders>
            <w:shd w:val="clear" w:color="auto" w:fill="EEEEEE"/>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173,765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1180" w:type="dxa"/>
            <w:vAlign w:val="bottom"/>
            <w:gridSpan w:val="2"/>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51,300</w:t>
            </w:r>
          </w:p>
        </w:tc>
        <w:tc>
          <w:tcPr>
            <w:tcW w:w="600" w:type="dxa"/>
            <w:vAlign w:val="bottom"/>
            <w:shd w:val="clear" w:color="auto" w:fill="EEEEEE"/>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53,931</w:t>
            </w:r>
          </w:p>
        </w:tc>
      </w:tr>
      <w:tr>
        <w:trPr>
          <w:trHeight w:val="234"/>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13,977</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8,997</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60" w:type="dxa"/>
            <w:vAlign w:val="bottom"/>
            <w:gridSpan w:val="6"/>
          </w:tcPr>
          <w:p>
            <w:pPr>
              <w:jc w:val="right"/>
              <w:ind w:right="7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9"/>
                <w:szCs w:val="19"/>
                <w:color w:val="auto"/>
              </w:rPr>
            </w:pPr>
          </w:p>
        </w:tc>
        <w:tc>
          <w:tcPr>
            <w:tcW w:w="2700" w:type="dxa"/>
            <w:vAlign w:val="bottom"/>
            <w:gridSpan w:val="7"/>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08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EEEEEE"/>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EEEEEE"/>
            </w:tcBorders>
          </w:tcPr>
          <w:p>
            <w:pPr>
              <w:spacing w:after="0"/>
              <w:rPr>
                <w:sz w:val="19"/>
                <w:szCs w:val="19"/>
                <w:color w:val="auto"/>
              </w:rPr>
            </w:pPr>
          </w:p>
        </w:tc>
        <w:tc>
          <w:tcPr>
            <w:tcW w:w="20" w:type="dxa"/>
            <w:vAlign w:val="bottom"/>
            <w:tcBorders>
              <w:bottom w:val="single" w:sz="8" w:color="EEEEEE"/>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r>
      <w:tr>
        <w:trPr>
          <w:trHeight w:val="209"/>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Common Stock (Shares Outstanding)</w:t>
            </w: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21,207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23,055</w:t>
            </w:r>
          </w:p>
        </w:tc>
        <w:tc>
          <w:tcPr>
            <w:tcW w:w="30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21,144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22,737</w:t>
            </w: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Common stock issued upon exercise of options and warrants</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379</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2,974</w:t>
            </w: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80" w:type="dxa"/>
            <w:vAlign w:val="bottom"/>
            <w:shd w:val="clear" w:color="auto" w:fill="EEEEEE"/>
          </w:tcPr>
          <w:p>
            <w:pPr>
              <w:spacing w:after="0"/>
              <w:rPr>
                <w:sz w:val="18"/>
                <w:szCs w:val="18"/>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00" w:type="dxa"/>
            <w:vAlign w:val="bottom"/>
          </w:tcPr>
          <w:p>
            <w:pPr>
              <w:spacing w:after="0"/>
              <w:rPr>
                <w:sz w:val="19"/>
                <w:szCs w:val="19"/>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(434)</w:t>
            </w:r>
          </w:p>
        </w:tc>
        <w:tc>
          <w:tcPr>
            <w:tcW w:w="300" w:type="dxa"/>
            <w:vAlign w:val="bottom"/>
          </w:tcPr>
          <w:p>
            <w:pPr>
              <w:spacing w:after="0"/>
              <w:rPr>
                <w:sz w:val="19"/>
                <w:szCs w:val="19"/>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(3,511)</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(792)</w:t>
            </w:r>
          </w:p>
        </w:tc>
      </w:tr>
      <w:tr>
        <w:trPr>
          <w:trHeight w:val="209"/>
        </w:trPr>
        <w:tc>
          <w:tcPr>
            <w:tcW w:w="50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20,607</w:t>
            </w:r>
          </w:p>
        </w:tc>
        <w:tc>
          <w:tcPr>
            <w:tcW w:w="1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bottom w:val="single" w:sz="8" w:color="auto"/>
            </w:tcBorders>
            <w:shd w:val="clear" w:color="auto" w:fill="EEEEEE"/>
          </w:tcPr>
          <w:p>
            <w:pPr>
              <w:spacing w:after="0"/>
              <w:rPr>
                <w:sz w:val="18"/>
                <w:szCs w:val="18"/>
                <w:color w:val="auto"/>
              </w:rPr>
            </w:pP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2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20,607</w:t>
            </w:r>
          </w:p>
        </w:tc>
        <w:tc>
          <w:tcPr>
            <w:tcW w:w="22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bottom w:val="single" w:sz="8" w:color="auto"/>
            </w:tcBorders>
            <w:shd w:val="clear" w:color="auto" w:fill="EEEEEE"/>
          </w:tcPr>
          <w:p>
            <w:pPr>
              <w:spacing w:after="0"/>
              <w:rPr>
                <w:sz w:val="18"/>
                <w:szCs w:val="18"/>
                <w:color w:val="auto"/>
              </w:rPr>
            </w:pP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100" w:type="dxa"/>
            <w:vAlign w:val="bottom"/>
            <w:tcBorders>
              <w:top w:val="single" w:sz="8" w:color="EEEEEE"/>
            </w:tcBorders>
            <w:gridSpan w:val="2"/>
            <w:shd w:val="clear" w:color="auto" w:fill="EEEEEE"/>
          </w:tcPr>
          <w:p>
            <w:pPr>
              <w:spacing w:after="0"/>
              <w:rPr>
                <w:sz w:val="18"/>
                <w:szCs w:val="18"/>
                <w:color w:val="auto"/>
              </w:rPr>
            </w:pPr>
          </w:p>
        </w:tc>
      </w:tr>
      <w:tr>
        <w:trPr>
          <w:trHeight w:val="210"/>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36,947</w:t>
            </w:r>
          </w:p>
        </w:tc>
        <w:tc>
          <w:tcPr>
            <w:tcW w:w="54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73,204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55,298</w:t>
            </w:r>
          </w:p>
        </w:tc>
        <w:tc>
          <w:tcPr>
            <w:tcW w:w="460" w:type="dxa"/>
            <w:vAlign w:val="bottom"/>
            <w:gridSpan w:val="2"/>
          </w:tcPr>
          <w:p>
            <w:pPr>
              <w:jc w:val="right"/>
              <w:ind w:right="32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72,926</w:t>
            </w: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Common stock issued upon exercise of options and warrants</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1,042</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14,698</w:t>
            </w: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0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(7,250)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(2,377)</w:t>
            </w:r>
          </w:p>
        </w:tc>
        <w:tc>
          <w:tcPr>
            <w:tcW w:w="30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(41,535)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(3,959)</w:t>
            </w:r>
          </w:p>
        </w:tc>
      </w:tr>
      <w:tr>
        <w:trPr>
          <w:trHeight w:val="230"/>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530</w:t>
            </w:r>
          </w:p>
        </w:tc>
        <w:tc>
          <w:tcPr>
            <w:tcW w:w="30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2,966</w:t>
            </w:r>
          </w:p>
        </w:tc>
        <w:tc>
          <w:tcPr>
            <w:tcW w:w="2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80" w:type="dxa"/>
            <w:vAlign w:val="bottom"/>
            <w:shd w:val="clear" w:color="auto" w:fill="EEEEEE"/>
          </w:tcPr>
          <w:p>
            <w:pPr>
              <w:spacing w:after="0"/>
              <w:rPr>
                <w:sz w:val="19"/>
                <w:szCs w:val="19"/>
                <w:color w:val="auto"/>
              </w:rPr>
            </w:pPr>
          </w:p>
        </w:tc>
      </w:tr>
      <w:tr>
        <w:trPr>
          <w:trHeight w:val="209"/>
        </w:trPr>
        <w:tc>
          <w:tcPr>
            <w:tcW w:w="508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31,427</w:t>
            </w:r>
          </w:p>
        </w:tc>
        <w:tc>
          <w:tcPr>
            <w:tcW w:w="16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72,399</w:t>
            </w:r>
          </w:p>
        </w:tc>
        <w:tc>
          <w:tcPr>
            <w:tcW w:w="2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31,427</w:t>
            </w:r>
          </w:p>
        </w:tc>
        <w:tc>
          <w:tcPr>
            <w:tcW w:w="22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3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72,399</w:t>
            </w:r>
          </w:p>
        </w:tc>
        <w:tc>
          <w:tcPr>
            <w:tcW w:w="100" w:type="dxa"/>
            <w:vAlign w:val="bottom"/>
            <w:tcBorders>
              <w:bottom w:val="single" w:sz="8" w:color="EEEEEE"/>
            </w:tcBorders>
            <w:gridSpan w:val="2"/>
          </w:tcPr>
          <w:p>
            <w:pPr>
              <w:spacing w:after="0"/>
              <w:rPr>
                <w:sz w:val="18"/>
                <w:szCs w:val="18"/>
                <w:color w:val="auto"/>
              </w:rPr>
            </w:pPr>
          </w:p>
        </w:tc>
      </w:tr>
      <w:tr>
        <w:trPr>
          <w:trHeight w:val="209"/>
        </w:trPr>
        <w:tc>
          <w:tcPr>
            <w:tcW w:w="50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162,966</w:t>
            </w:r>
          </w:p>
        </w:tc>
        <w:tc>
          <w:tcPr>
            <w:tcW w:w="540" w:type="dxa"/>
            <w:vAlign w:val="bottom"/>
            <w:gridSpan w:val="2"/>
            <w:shd w:val="clear" w:color="auto" w:fill="EEEEEE"/>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83,884</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116,531</w:t>
            </w:r>
          </w:p>
        </w:tc>
        <w:tc>
          <w:tcPr>
            <w:tcW w:w="460" w:type="dxa"/>
            <w:vAlign w:val="bottom"/>
            <w:gridSpan w:val="2"/>
            <w:shd w:val="clear" w:color="auto" w:fill="EEEEEE"/>
          </w:tcPr>
          <w:p>
            <w:pPr>
              <w:jc w:val="right"/>
              <w:ind w:right="32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69,007</w:t>
            </w: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25,413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13,683</w:t>
            </w:r>
          </w:p>
        </w:tc>
        <w:tc>
          <w:tcPr>
            <w:tcW w:w="300" w:type="dxa"/>
            <w:vAlign w:val="bottom"/>
          </w:tcPr>
          <w:p>
            <w:pPr>
              <w:spacing w:after="0"/>
              <w:rPr>
                <w:sz w:val="19"/>
                <w:szCs w:val="19"/>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71,848</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28,559</w:t>
            </w:r>
          </w:p>
        </w:tc>
      </w:tr>
      <w:tr>
        <w:trPr>
          <w:trHeight w:val="209"/>
        </w:trPr>
        <w:tc>
          <w:tcPr>
            <w:tcW w:w="50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188,379</w:t>
            </w:r>
          </w:p>
        </w:tc>
        <w:tc>
          <w:tcPr>
            <w:tcW w:w="1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bottom w:val="single" w:sz="8" w:color="auto"/>
            </w:tcBorders>
            <w:shd w:val="clear" w:color="auto" w:fill="EEEEEE"/>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97,566</w:t>
            </w:r>
          </w:p>
        </w:tc>
        <w:tc>
          <w:tcPr>
            <w:tcW w:w="2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188,379</w:t>
            </w:r>
          </w:p>
        </w:tc>
        <w:tc>
          <w:tcPr>
            <w:tcW w:w="22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bottom w:val="single" w:sz="8" w:color="auto"/>
            </w:tcBorders>
            <w:shd w:val="clear" w:color="auto" w:fill="EEEEEE"/>
          </w:tcPr>
          <w:p>
            <w:pPr>
              <w:jc w:val="right"/>
              <w:ind w:right="3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97,566</w:t>
            </w:r>
          </w:p>
        </w:tc>
        <w:tc>
          <w:tcPr>
            <w:tcW w:w="100" w:type="dxa"/>
            <w:vAlign w:val="bottom"/>
            <w:tcBorders>
              <w:top w:val="single" w:sz="8" w:color="EEEEEE"/>
            </w:tcBorders>
            <w:gridSpan w:val="2"/>
            <w:shd w:val="clear" w:color="auto" w:fill="EEEEEE"/>
          </w:tcPr>
          <w:p>
            <w:pPr>
              <w:spacing w:after="0"/>
              <w:rPr>
                <w:sz w:val="18"/>
                <w:szCs w:val="18"/>
                <w:color w:val="auto"/>
              </w:rPr>
            </w:pPr>
          </w:p>
        </w:tc>
      </w:tr>
      <w:tr>
        <w:trPr>
          <w:trHeight w:val="210"/>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(1,622)</w:t>
            </w:r>
          </w:p>
        </w:tc>
        <w:tc>
          <w:tcPr>
            <w:tcW w:w="54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(8,571)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(1,622)</w:t>
            </w:r>
          </w:p>
        </w:tc>
        <w:tc>
          <w:tcPr>
            <w:tcW w:w="460" w:type="dxa"/>
            <w:vAlign w:val="bottom"/>
            <w:gridSpan w:val="2"/>
          </w:tcPr>
          <w:p>
            <w:pPr>
              <w:jc w:val="right"/>
              <w:ind w:right="32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(8,571)</w:t>
            </w:r>
          </w:p>
        </w:tc>
      </w:tr>
      <w:tr>
        <w:trPr>
          <w:trHeight w:val="230"/>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Pension benefit obligation</w:t>
            </w:r>
          </w:p>
        </w:tc>
        <w:tc>
          <w:tcPr>
            <w:tcW w:w="30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9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08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60" w:type="dxa"/>
            <w:vAlign w:val="bottom"/>
            <w:tcBorders>
              <w:bottom w:val="single" w:sz="8" w:color="EEEEEE"/>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EEEEEE"/>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220" w:type="dxa"/>
            <w:vAlign w:val="bottom"/>
            <w:tcBorders>
              <w:bottom w:val="single" w:sz="8" w:color="EEEEEE"/>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220" w:type="dxa"/>
            <w:vAlign w:val="bottom"/>
            <w:tcBorders>
              <w:bottom w:val="single" w:sz="8" w:color="EEEEEE"/>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EEEEEE"/>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3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100" w:type="dxa"/>
            <w:vAlign w:val="bottom"/>
            <w:tcBorders>
              <w:bottom w:val="single" w:sz="8" w:color="EEEEEE"/>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080" w:type="dxa"/>
            <w:vAlign w:val="bottom"/>
            <w:shd w:val="clear" w:color="auto" w:fill="EEEEEE"/>
          </w:tcPr>
          <w:p>
            <w:pPr>
              <w:spacing w:after="0"/>
              <w:rPr>
                <w:sz w:val="18"/>
                <w:szCs w:val="18"/>
                <w:color w:val="auto"/>
              </w:rPr>
            </w:pPr>
          </w:p>
        </w:tc>
        <w:tc>
          <w:tcPr>
            <w:tcW w:w="300" w:type="dxa"/>
            <w:vAlign w:val="bottom"/>
            <w:tcBorders>
              <w:bottom w:val="single" w:sz="8" w:color="auto"/>
            </w:tcBorders>
            <w:shd w:val="clear" w:color="auto" w:fill="EEEEEE"/>
          </w:tcPr>
          <w:p>
            <w:pPr>
              <w:spacing w:after="0"/>
              <w:rPr>
                <w:sz w:val="18"/>
                <w:szCs w:val="18"/>
                <w:color w:val="auto"/>
              </w:rPr>
            </w:pPr>
          </w:p>
        </w:tc>
        <w:tc>
          <w:tcPr>
            <w:tcW w:w="1060" w:type="dxa"/>
            <w:vAlign w:val="bottom"/>
            <w:tcBorders>
              <w:bottom w:val="single" w:sz="8" w:color="auto"/>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40" w:type="dxa"/>
            <w:vAlign w:val="bottom"/>
            <w:tcBorders>
              <w:bottom w:val="single" w:sz="8" w:color="auto"/>
            </w:tcBorders>
            <w:shd w:val="clear" w:color="auto" w:fill="EEEEEE"/>
          </w:tcPr>
          <w:p>
            <w:pPr>
              <w:spacing w:after="0"/>
              <w:rPr>
                <w:sz w:val="18"/>
                <w:szCs w:val="18"/>
                <w:color w:val="auto"/>
              </w:rPr>
            </w:pPr>
          </w:p>
        </w:tc>
        <w:tc>
          <w:tcPr>
            <w:tcW w:w="880" w:type="dxa"/>
            <w:vAlign w:val="bottom"/>
            <w:tcBorders>
              <w:bottom w:val="single" w:sz="8" w:color="auto"/>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tcBorders>
              <w:bottom w:val="single" w:sz="8" w:color="auto"/>
            </w:tcBorders>
            <w:shd w:val="clear" w:color="auto" w:fill="EEEEEE"/>
          </w:tcPr>
          <w:p>
            <w:pPr>
              <w:spacing w:after="0"/>
              <w:rPr>
                <w:sz w:val="18"/>
                <w:szCs w:val="18"/>
                <w:color w:val="auto"/>
              </w:rPr>
            </w:pPr>
          </w:p>
        </w:tc>
        <w:tc>
          <w:tcPr>
            <w:tcW w:w="1040" w:type="dxa"/>
            <w:vAlign w:val="bottom"/>
            <w:tcBorders>
              <w:bottom w:val="single" w:sz="8" w:color="auto"/>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40" w:type="dxa"/>
            <w:vAlign w:val="bottom"/>
            <w:tcBorders>
              <w:bottom w:val="single" w:sz="8" w:color="auto"/>
            </w:tcBorders>
            <w:shd w:val="clear" w:color="auto" w:fill="EEEEEE"/>
          </w:tcPr>
          <w:p>
            <w:pPr>
              <w:spacing w:after="0"/>
              <w:rPr>
                <w:sz w:val="18"/>
                <w:szCs w:val="18"/>
                <w:color w:val="auto"/>
              </w:rPr>
            </w:pPr>
          </w:p>
        </w:tc>
        <w:tc>
          <w:tcPr>
            <w:tcW w:w="880" w:type="dxa"/>
            <w:vAlign w:val="bottom"/>
            <w:tcBorders>
              <w:bottom w:val="single" w:sz="8" w:color="auto"/>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218,184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161,394</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218,184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161,394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We were formed in California on March 8, 1991. We specialize in purchasing and servicing retail automobile installment sale contracts (“automobile contracts” or “finance receivables”) originated by licensed motor vehicle dealers located throughout the United States (“dealers”) in the sale of new and used automobiles, light trucks and passenger vans. Through our purchases, we provide indirect financing to dealer customers for borrowers with limited credit histories or past credit problems (“sub-prime customers”). We serve as an alternative source of financing for dealers, allowing sales to customers who otherwise might not be able to obtain financing. In addition to purchasing installment purchase contracts directly from dealers, we have also (i) lent money directly to consumers for loans secured by vehicles, (ii) purchased immaterial amounts of vehicle purchase money loans from non-affiliated lenders, and</w:t>
      </w:r>
    </w:p>
    <w:p>
      <w:pPr>
        <w:spacing w:after="0" w:line="5" w:lineRule="exact"/>
        <w:rPr>
          <w:sz w:val="20"/>
          <w:szCs w:val="20"/>
          <w:color w:val="auto"/>
        </w:rPr>
      </w:pPr>
    </w:p>
    <w:p>
      <w:pPr>
        <w:ind w:firstLine="8"/>
        <w:spacing w:after="0" w:line="260" w:lineRule="auto"/>
        <w:tabs>
          <w:tab w:leader="none" w:pos="3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installment purchase contracts in four merger and acquisition transactions. In this report, we refer to all of such contracts and loans as "automobile contracts."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conformity with accounting principles generally accepted in the United States of America, with the instructions to Form 10-Q and with Article 10 of Regulation S-X of the Securities and Exchange Commission, and include all adjustments that are, in management’s opinion, necessary for a fair presentation of the results for the interim periods presented. All such adjustments are, in the opinion of management, of a normal recurring nature. Results for the nine-month period ended September 30, 2022 are not necessarily indicative of the operating results to be expected for the full year.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accounting principles generally accepted in the United States of America have been condensed or omitted from these Unaudited Condensed Consolidated Financial Statements. These Unaudited Condensed Consolidated Financial Statements should be read in conjunction with the Consolidated Financial Statements and Notes to Consolidated Financial Statements included in our Annual Report on Form 10-K for the year ended December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Receivables Measured at Fair Value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January 1, 2018, we adopted the fair value method of accounting for finance receivables acquired on or after that date. For each finance receivable acquired after 2017, we consider the price paid on the purchase date as the fair value for such receivable. We estimate the cash to be received in the future with respect to such receivables, based on our experience with similar receivables acquired in the past. We then compute the internal rate of return that results in the present value of those estimated cash receipts being equal to the purchase date fair value. Thereafter, we recognize interest income on such receivables on a level yield basis using that internal rate of return as the applicable interest rate. Cash received with respect to such receivables is applied first against such interest income, and then to reduce the recorded value of the receivables.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re-evaluate the fair value of such receivables at the close of each measurement period. If the reevaluation were to yield a value materially different from the recorded value, an adjustment would be required. Results for the three-month and nine-month periods ending September 30, 2022 include a $8.2 million and $15.3 million positive mark to the carrying value of the portion of the receivables portfolio accounted for at fair value. Mark downs of $4.4 million were included in the results for the nine months ending September 30, 2021. Mark downs are reflected as a reduction in revenue.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Anticipated credit losses are included in our estimation of cash to be received with respect to receivables. Because such credit losses are included in our computation of the appropriate level yield, we do not thereafter make periodic provision for credit losses, as our best estimate of the lifetime aggregate of credit losses is included in that initial computation. Also, because we include anticipated credit losses in our computation of the level yield, the computed level yield is materially lower than the average contractual rate applicable to the receivables. Because our initial recorded value is fixed as the price we pay for the receivable, rather than as the contractual principal balance, we do not record acquisition fees as an amortizing asset related to the receivables, nor do we capitalize costs of acquiring the receivables. Rather we recognize the costs of acquisition as expenses in the period incurred.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primary components of Other Income for the three-month and nine-month periods ending September 30,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tcPr>
          <w:p>
            <w:pPr>
              <w:spacing w:after="0"/>
              <w:rPr>
                <w:sz w:val="19"/>
                <w:szCs w:val="19"/>
                <w:color w:val="auto"/>
              </w:rPr>
            </w:pPr>
          </w:p>
        </w:tc>
        <w:tc>
          <w:tcPr>
            <w:tcW w:w="2500" w:type="dxa"/>
            <w:vAlign w:val="bottom"/>
            <w:gridSpan w:val="5"/>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40" w:type="dxa"/>
            <w:vAlign w:val="bottom"/>
            <w:gridSpan w:val="5"/>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50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right="376"/>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right="336"/>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0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0" w:type="dxa"/>
            <w:vAlign w:val="bottom"/>
            <w:gridSpan w:val="4"/>
          </w:tcPr>
          <w:p>
            <w:pPr>
              <w:jc w:val="center"/>
              <w:ind w:right="356"/>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gridSpan w:val="4"/>
          </w:tcPr>
          <w:p>
            <w:pPr>
              <w:jc w:val="center"/>
              <w:ind w:right="336"/>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Origination and servicing fees from third party receivables</w:t>
            </w:r>
          </w:p>
        </w:tc>
        <w:tc>
          <w:tcPr>
            <w:tcW w:w="900" w:type="dxa"/>
            <w:vAlign w:val="bottom"/>
            <w:shd w:val="clear" w:color="auto" w:fill="EEEEEE"/>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2,016</w:t>
            </w:r>
          </w:p>
        </w:tc>
        <w:tc>
          <w:tcPr>
            <w:tcW w:w="1020" w:type="dxa"/>
            <w:vAlign w:val="bottom"/>
            <w:gridSpan w:val="2"/>
            <w:shd w:val="clear" w:color="auto" w:fill="EEEEEE"/>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495</w:t>
            </w:r>
          </w:p>
        </w:tc>
        <w:tc>
          <w:tcPr>
            <w:tcW w:w="880" w:type="dxa"/>
            <w:vAlign w:val="bottom"/>
            <w:shd w:val="clear" w:color="auto" w:fill="EEEEEE"/>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4,268</w:t>
            </w:r>
          </w:p>
        </w:tc>
        <w:tc>
          <w:tcPr>
            <w:tcW w:w="1000" w:type="dxa"/>
            <w:vAlign w:val="bottom"/>
            <w:gridSpan w:val="2"/>
            <w:shd w:val="clear" w:color="auto" w:fill="EEEEEE"/>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611</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Direct mail revenues</w:t>
            </w:r>
          </w:p>
        </w:tc>
        <w:tc>
          <w:tcPr>
            <w:tcW w:w="9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779</w:t>
            </w:r>
          </w:p>
        </w:tc>
        <w:tc>
          <w:tcPr>
            <w:tcW w:w="8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2,648</w:t>
            </w: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Convenience fee revenue</w:t>
            </w:r>
          </w:p>
        </w:tc>
        <w:tc>
          <w:tcPr>
            <w:tcW w:w="9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88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540</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Recoveries on previously charged-off contracts</w:t>
            </w:r>
          </w:p>
        </w:tc>
        <w:tc>
          <w:tcPr>
            <w:tcW w:w="9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8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Sales tax refunds</w:t>
            </w:r>
          </w:p>
        </w:tc>
        <w:tc>
          <w:tcPr>
            <w:tcW w:w="9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88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423</w:t>
            </w: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50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income for the period</w:t>
            </w:r>
          </w:p>
        </w:tc>
        <w:tc>
          <w:tcPr>
            <w:tcW w:w="900" w:type="dxa"/>
            <w:vAlign w:val="bottom"/>
            <w:tcBorders>
              <w:top w:val="single" w:sz="8" w:color="auto"/>
              <w:bottom w:val="single" w:sz="8" w:color="auto"/>
            </w:tcBorders>
            <w:shd w:val="clear" w:color="auto" w:fill="EEEEEE"/>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880" w:type="dxa"/>
            <w:vAlign w:val="bottom"/>
            <w:tcBorders>
              <w:top w:val="single" w:sz="8" w:color="auto"/>
              <w:bottom w:val="single" w:sz="8" w:color="auto"/>
            </w:tcBorders>
            <w:shd w:val="clear" w:color="auto" w:fill="EEEEEE"/>
          </w:tcPr>
          <w:p>
            <w:pPr>
              <w:jc w:val="right"/>
              <w:ind w:right="71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880" w:type="dxa"/>
            <w:vAlign w:val="bottom"/>
            <w:tcBorders>
              <w:top w:val="single" w:sz="8" w:color="auto"/>
              <w:bottom w:val="single" w:sz="8" w:color="auto"/>
            </w:tcBorders>
            <w:shd w:val="clear" w:color="auto" w:fill="EEEEEE"/>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880" w:type="dxa"/>
            <w:vAlign w:val="bottom"/>
            <w:tcBorders>
              <w:top w:val="single" w:sz="8" w:color="auto"/>
              <w:bottom w:val="single" w:sz="8" w:color="auto"/>
            </w:tcBorders>
            <w:shd w:val="clear" w:color="auto" w:fill="EEEEEE"/>
          </w:tcPr>
          <w:p>
            <w:pPr>
              <w:jc w:val="right"/>
              <w:ind w:right="716"/>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operating leases for corporate offices, equipment, software and hardware. The Company has entered into operating leases for the majority of its real estate locations, primarily office space. These leases are generally for periods of three to seven years with various renewal options. The depreciable life of leased assets is limited by the expected lease term. Leases with an initial term of 12 months or less are not recorded on the balance sheet and the related lease expense is recognized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supplemental balance sheet information related to leases:</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7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7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5"/>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8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25,819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25,819</w:t>
            </w:r>
          </w:p>
        </w:tc>
        <w:tc>
          <w:tcPr>
            <w:tcW w:w="0" w:type="dxa"/>
            <w:vAlign w:val="bottom"/>
          </w:tcPr>
          <w:p>
            <w:pPr>
              <w:spacing w:after="0"/>
              <w:rPr>
                <w:sz w:val="1"/>
                <w:szCs w:val="1"/>
                <w:color w:val="auto"/>
              </w:rPr>
            </w:pPr>
          </w:p>
        </w:tc>
      </w:tr>
      <w:tr>
        <w:trPr>
          <w:trHeight w:val="229"/>
        </w:trPr>
        <w:tc>
          <w:tcPr>
            <w:tcW w:w="7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Less: Accumulated amortization right-of-use assets</w:t>
            </w:r>
          </w:p>
        </w:tc>
        <w:tc>
          <w:tcPr>
            <w:tcW w:w="8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(21,599)</w:t>
            </w:r>
          </w:p>
        </w:tc>
        <w:tc>
          <w:tcPr>
            <w:tcW w:w="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(17,624)</w:t>
            </w:r>
          </w:p>
        </w:tc>
        <w:tc>
          <w:tcPr>
            <w:tcW w:w="0" w:type="dxa"/>
            <w:vAlign w:val="bottom"/>
          </w:tcPr>
          <w:p>
            <w:pPr>
              <w:spacing w:after="0"/>
              <w:rPr>
                <w:sz w:val="1"/>
                <w:szCs w:val="1"/>
                <w:color w:val="auto"/>
              </w:rPr>
            </w:pPr>
          </w:p>
        </w:tc>
      </w:tr>
      <w:tr>
        <w:trPr>
          <w:trHeight w:val="263"/>
        </w:trPr>
        <w:tc>
          <w:tcPr>
            <w:tcW w:w="736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860" w:type="dxa"/>
            <w:vAlign w:val="bottom"/>
            <w:tcBorders>
              <w:bottom w:val="single" w:sz="8" w:color="EEEEEE"/>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14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36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40" w:type="dxa"/>
            <w:vAlign w:val="bottom"/>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FFFFFF"/>
              </w:rPr>
              <w:t>$</w:t>
            </w:r>
          </w:p>
        </w:tc>
        <w:tc>
          <w:tcPr>
            <w:tcW w:w="1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(4,749)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(9,058)</w:t>
            </w: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FFFFFF"/>
              </w:rPr>
              <w:t>$</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FFFFFF"/>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8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3,407</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3,407</w:t>
            </w: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(3,086)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(2,348)</w:t>
            </w:r>
          </w:p>
        </w:tc>
        <w:tc>
          <w:tcPr>
            <w:tcW w:w="0" w:type="dxa"/>
            <w:vAlign w:val="bottom"/>
          </w:tcPr>
          <w:p>
            <w:pPr>
              <w:spacing w:after="0"/>
              <w:rPr>
                <w:sz w:val="1"/>
                <w:szCs w:val="1"/>
                <w:color w:val="auto"/>
              </w:rPr>
            </w:pPr>
          </w:p>
        </w:tc>
      </w:tr>
      <w:tr>
        <w:trPr>
          <w:trHeight w:val="223"/>
        </w:trPr>
        <w:tc>
          <w:tcPr>
            <w:tcW w:w="73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6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FFFFFF"/>
              </w:rPr>
              <w:t>$</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9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(348)</w:t>
            </w:r>
          </w:p>
        </w:tc>
        <w:tc>
          <w:tcPr>
            <w:tcW w:w="2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FFFFFF"/>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8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lease</w:t>
            </w:r>
          </w:p>
        </w:tc>
        <w:tc>
          <w:tcPr>
            <w:tcW w:w="8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Maturities of lease liabilities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0" w:type="dxa"/>
            <w:vAlign w:val="bottom"/>
          </w:tcPr>
          <w:p>
            <w:pPr>
              <w:spacing w:after="0"/>
              <w:rPr>
                <w:sz w:val="1"/>
                <w:szCs w:val="1"/>
                <w:color w:val="auto"/>
              </w:rPr>
            </w:pPr>
          </w:p>
        </w:tc>
      </w:tr>
      <w:tr>
        <w:trPr>
          <w:trHeight w:val="248"/>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Year Ending September 30,</w:t>
            </w:r>
          </w:p>
        </w:tc>
        <w:tc>
          <w:tcPr>
            <w:tcW w:w="4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0" w:type="dxa"/>
            <w:vAlign w:val="bottom"/>
          </w:tcPr>
          <w:p>
            <w:pPr>
              <w:spacing w:after="0"/>
              <w:rPr>
                <w:sz w:val="1"/>
                <w:szCs w:val="1"/>
                <w:color w:val="auto"/>
              </w:rPr>
            </w:pPr>
          </w:p>
        </w:tc>
      </w:tr>
      <w:tr>
        <w:trPr>
          <w:trHeight w:val="210"/>
        </w:trPr>
        <w:tc>
          <w:tcPr>
            <w:tcW w:w="40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2022</w:t>
            </w:r>
          </w:p>
        </w:tc>
        <w:tc>
          <w:tcPr>
            <w:tcW w:w="420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4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4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2024</w:t>
            </w:r>
          </w:p>
        </w:tc>
        <w:tc>
          <w:tcPr>
            <w:tcW w:w="4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921</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4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2026</w:t>
            </w:r>
          </w:p>
        </w:tc>
        <w:tc>
          <w:tcPr>
            <w:tcW w:w="4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0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420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1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402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420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4200" w:type="dxa"/>
            <w:vAlign w:val="bottom"/>
            <w:vMerge w:val="restart"/>
          </w:tcPr>
          <w:p>
            <w:pPr>
              <w:jc w:val="right"/>
              <w:ind w:right="241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40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lease expense included in General and administrative and Occupancy expense on our Unaudited Condensed Consolidated Statement of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40" w:type="dxa"/>
            <w:vAlign w:val="bottom"/>
          </w:tcPr>
          <w:p>
            <w:pPr>
              <w:spacing w:after="0"/>
              <w:rPr>
                <w:sz w:val="19"/>
                <w:szCs w:val="19"/>
                <w:color w:val="auto"/>
              </w:rPr>
            </w:pPr>
          </w:p>
        </w:tc>
        <w:tc>
          <w:tcPr>
            <w:tcW w:w="300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38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840" w:type="dxa"/>
            <w:vAlign w:val="bottom"/>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09"/>
        </w:trPr>
        <w:tc>
          <w:tcPr>
            <w:tcW w:w="3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20" w:type="dxa"/>
            <w:vAlign w:val="bottom"/>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080" w:type="dxa"/>
            <w:vAlign w:val="bottom"/>
            <w:shd w:val="clear" w:color="auto" w:fill="EEEEEE"/>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1,767</w:t>
            </w:r>
          </w:p>
        </w:tc>
        <w:tc>
          <w:tcPr>
            <w:tcW w:w="1060" w:type="dxa"/>
            <w:vAlign w:val="bottom"/>
            <w:shd w:val="clear" w:color="auto" w:fill="EEEEEE"/>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1,768</w:t>
            </w:r>
          </w:p>
        </w:tc>
        <w:tc>
          <w:tcPr>
            <w:tcW w:w="340" w:type="dxa"/>
            <w:vAlign w:val="bottom"/>
            <w:shd w:val="clear" w:color="auto" w:fill="EEEEEE"/>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5,288</w:t>
            </w:r>
          </w:p>
        </w:tc>
        <w:tc>
          <w:tcPr>
            <w:tcW w:w="500" w:type="dxa"/>
            <w:vAlign w:val="bottom"/>
            <w:shd w:val="clear" w:color="auto" w:fill="EEEEEE"/>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5,398</w:t>
            </w: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08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257</w:t>
            </w:r>
          </w:p>
        </w:tc>
        <w:tc>
          <w:tcPr>
            <w:tcW w:w="106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308</w:t>
            </w:r>
          </w:p>
        </w:tc>
        <w:tc>
          <w:tcPr>
            <w:tcW w:w="34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813</w:t>
            </w:r>
          </w:p>
        </w:tc>
        <w:tc>
          <w:tcPr>
            <w:tcW w:w="5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924</w:t>
            </w:r>
          </w:p>
        </w:tc>
      </w:tr>
      <w:tr>
        <w:trPr>
          <w:trHeight w:val="223"/>
        </w:trPr>
        <w:tc>
          <w:tcPr>
            <w:tcW w:w="38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080" w:type="dxa"/>
            <w:vAlign w:val="bottom"/>
            <w:tcBorders>
              <w:top w:val="single" w:sz="8" w:color="auto"/>
              <w:bottom w:val="single" w:sz="8" w:color="auto"/>
            </w:tcBorders>
            <w:shd w:val="clear" w:color="auto" w:fill="EEEEEE"/>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060" w:type="dxa"/>
            <w:vAlign w:val="bottom"/>
            <w:tcBorders>
              <w:top w:val="single" w:sz="8" w:color="auto"/>
              <w:bottom w:val="single" w:sz="8" w:color="auto"/>
            </w:tcBorders>
            <w:shd w:val="clear" w:color="auto" w:fill="EEEEEE"/>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500" w:type="dxa"/>
            <w:vAlign w:val="bottom"/>
            <w:tcBorders>
              <w:top w:val="single" w:sz="8" w:color="auto"/>
              <w:bottom w:val="single" w:sz="8" w:color="auto"/>
            </w:tcBorders>
            <w:shd w:val="clear" w:color="auto" w:fill="EEEEEE"/>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6,322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supplemental cash flow information related to leases: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250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0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508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gridSpan w:val="2"/>
          </w:tcPr>
          <w:p>
            <w:pPr>
              <w:jc w:val="center"/>
              <w:ind w:right="350"/>
              <w:spacing w:after="0" w:line="174"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gridSpan w:val="2"/>
          </w:tcPr>
          <w:p>
            <w:pPr>
              <w:jc w:val="center"/>
              <w:ind w:left="490"/>
              <w:spacing w:after="0" w:line="174"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900" w:type="dxa"/>
            <w:vAlign w:val="bottom"/>
            <w:shd w:val="clear" w:color="auto" w:fill="EEEEEE"/>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1,921</w:t>
            </w:r>
          </w:p>
        </w:tc>
        <w:tc>
          <w:tcPr>
            <w:tcW w:w="1020" w:type="dxa"/>
            <w:vAlign w:val="bottom"/>
            <w:shd w:val="clear" w:color="auto" w:fill="EEEEEE"/>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1,840</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5,616</w:t>
            </w:r>
          </w:p>
        </w:tc>
        <w:tc>
          <w:tcPr>
            <w:tcW w:w="580" w:type="dxa"/>
            <w:vAlign w:val="bottom"/>
            <w:shd w:val="clear" w:color="auto" w:fill="EEEEEE"/>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5,662</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w:t>
            </w:r>
          </w:p>
        </w:tc>
        <w:tc>
          <w:tcPr>
            <w:tcW w:w="10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776</w:t>
            </w:r>
          </w:p>
        </w:tc>
        <w:tc>
          <w:tcPr>
            <w:tcW w:w="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900" w:type="dxa"/>
            <w:vAlign w:val="bottom"/>
            <w:shd w:val="clear" w:color="auto" w:fill="EEEEEE"/>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20" w:type="dxa"/>
            <w:vAlign w:val="bottom"/>
            <w:shd w:val="clear" w:color="auto" w:fill="EEEEEE"/>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580" w:type="dxa"/>
            <w:vAlign w:val="bottom"/>
            <w:shd w:val="clear" w:color="auto" w:fill="EEEEEE"/>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 compensation costs in the financial statements for all share-based payments based on the grant date fair value estimated in accordance with the provisions of ASC 718 “Stock Compensation”.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2022, we recorded stock-based compensation costs in the amount of $1.4 million and $3.0 million, respectively. These stock-based compensation costs were $530,000 and $1.3 million for the three and nine months ended September 30, 2021. As of September 30, 2022, unrecognized stock-based compensation costs to be recognized over future periods equaled $10.9 million. This amount will be recognized as expense over a weighted-average period of 2.6 years.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stock option activity for the nine months ended September 30,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574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7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29"/>
        </w:trPr>
        <w:tc>
          <w:tcPr>
            <w:tcW w:w="5740" w:type="dxa"/>
            <w:vAlign w:val="bottom"/>
          </w:tcPr>
          <w:p>
            <w:pPr>
              <w:spacing w:after="0"/>
              <w:rPr>
                <w:sz w:val="19"/>
                <w:szCs w:val="19"/>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19"/>
                <w:szCs w:val="19"/>
                <w:color w:val="auto"/>
              </w:rPr>
            </w:pPr>
          </w:p>
        </w:tc>
        <w:tc>
          <w:tcPr>
            <w:tcW w:w="17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38"/>
        </w:trPr>
        <w:tc>
          <w:tcPr>
            <w:tcW w:w="5740" w:type="dxa"/>
            <w:vAlign w:val="bottom"/>
          </w:tcPr>
          <w:p>
            <w:pPr>
              <w:spacing w:after="0"/>
              <w:rPr>
                <w:sz w:val="20"/>
                <w:szCs w:val="20"/>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60" w:type="dxa"/>
            <w:vAlign w:val="bottom"/>
          </w:tcPr>
          <w:p>
            <w:pPr>
              <w:spacing w:after="0"/>
              <w:rPr>
                <w:sz w:val="20"/>
                <w:szCs w:val="20"/>
                <w:color w:val="auto"/>
              </w:rPr>
            </w:pPr>
          </w:p>
        </w:tc>
        <w:tc>
          <w:tcPr>
            <w:tcW w:w="17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Contractual Term</w:t>
            </w:r>
          </w:p>
        </w:tc>
      </w:tr>
      <w:tr>
        <w:trPr>
          <w:trHeight w:val="210"/>
        </w:trPr>
        <w:tc>
          <w:tcPr>
            <w:tcW w:w="57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outstanding at the beginning of period</w:t>
            </w:r>
          </w:p>
        </w:tc>
        <w:tc>
          <w:tcPr>
            <w:tcW w:w="16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13,075</w:t>
            </w:r>
          </w:p>
        </w:tc>
        <w:tc>
          <w:tcPr>
            <w:tcW w:w="3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3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16"/>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1,710</w:t>
            </w:r>
          </w:p>
        </w:tc>
        <w:tc>
          <w:tcPr>
            <w:tcW w:w="16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10.28</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16"/>
        </w:trPr>
        <w:tc>
          <w:tcPr>
            <w:tcW w:w="5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94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(2,975)</w:t>
            </w:r>
          </w:p>
        </w:tc>
        <w:tc>
          <w:tcPr>
            <w:tcW w:w="16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4.94</w:t>
            </w:r>
          </w:p>
        </w:tc>
        <w:tc>
          <w:tcPr>
            <w:tcW w:w="16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29"/>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(520)</w:t>
            </w:r>
          </w:p>
        </w:tc>
        <w:tc>
          <w:tcPr>
            <w:tcW w:w="160" w:type="dxa"/>
            <w:vAlign w:val="bottom"/>
          </w:tcPr>
          <w:p>
            <w:pPr>
              <w:spacing w:after="0"/>
              <w:rPr>
                <w:sz w:val="19"/>
                <w:szCs w:val="19"/>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7.26</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23"/>
        </w:trPr>
        <w:tc>
          <w:tcPr>
            <w:tcW w:w="57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outstanding at the end of period</w:t>
            </w:r>
          </w:p>
        </w:tc>
        <w:tc>
          <w:tcPr>
            <w:tcW w:w="16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11,290</w:t>
            </w:r>
          </w:p>
        </w:tc>
        <w:tc>
          <w:tcPr>
            <w:tcW w:w="340" w:type="dxa"/>
            <w:vAlign w:val="bottom"/>
            <w:tcBorders>
              <w:top w:val="single" w:sz="8" w:color="EEEEEE"/>
            </w:tcBorders>
            <w:shd w:val="clear" w:color="auto" w:fill="EEEEEE"/>
          </w:tcPr>
          <w:p>
            <w:pPr>
              <w:spacing w:after="0"/>
              <w:rPr>
                <w:sz w:val="19"/>
                <w:szCs w:val="19"/>
                <w:color w:val="auto"/>
              </w:rPr>
            </w:pPr>
          </w:p>
        </w:tc>
        <w:tc>
          <w:tcPr>
            <w:tcW w:w="16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EEEEEE"/>
            </w:tcBorders>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5.18</w:t>
            </w:r>
          </w:p>
        </w:tc>
        <w:tc>
          <w:tcPr>
            <w:tcW w:w="1680" w:type="dxa"/>
            <w:vAlign w:val="bottom"/>
            <w:tcBorders>
              <w:top w:val="single" w:sz="8" w:color="EEEEEE"/>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3.29 years</w:t>
            </w:r>
          </w:p>
        </w:tc>
      </w:tr>
      <w:tr>
        <w:trPr>
          <w:trHeight w:val="20"/>
        </w:trPr>
        <w:tc>
          <w:tcPr>
            <w:tcW w:w="574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680" w:type="dxa"/>
            <w:vAlign w:val="bottom"/>
            <w:tcBorders>
              <w:top w:val="single" w:sz="8" w:color="EEEEEE"/>
            </w:tcBorders>
          </w:tcPr>
          <w:p>
            <w:pPr>
              <w:spacing w:after="0" w:line="20" w:lineRule="exact"/>
              <w:rPr>
                <w:sz w:val="1"/>
                <w:szCs w:val="1"/>
                <w:color w:val="auto"/>
              </w:rPr>
            </w:pPr>
          </w:p>
        </w:tc>
      </w:tr>
      <w:tr>
        <w:trPr>
          <w:trHeight w:val="197"/>
        </w:trPr>
        <w:tc>
          <w:tcPr>
            <w:tcW w:w="5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43"/>
        </w:trPr>
        <w:tc>
          <w:tcPr>
            <w:tcW w:w="5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exercisable at the end of period</w:t>
            </w:r>
          </w:p>
        </w:tc>
        <w:tc>
          <w:tcPr>
            <w:tcW w:w="19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7,708</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4.39</w:t>
            </w:r>
          </w:p>
        </w:tc>
        <w:tc>
          <w:tcPr>
            <w:tcW w:w="16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2.13 years</w:t>
            </w:r>
          </w:p>
        </w:tc>
      </w:tr>
      <w:tr>
        <w:trPr>
          <w:trHeight w:val="20"/>
        </w:trPr>
        <w:tc>
          <w:tcPr>
            <w:tcW w:w="574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680" w:type="dxa"/>
            <w:vAlign w:val="bottom"/>
            <w:tcBorders>
              <w:top w:val="single" w:sz="8" w:color="EEEEEE"/>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price distribution of stock options outstanding and exercisable as of September 30, 2022 and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84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Number of shares as of</w:t>
            </w:r>
          </w:p>
        </w:tc>
        <w:tc>
          <w:tcPr>
            <w:tcW w:w="35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 of shares as of</w:t>
            </w:r>
          </w:p>
        </w:tc>
        <w:tc>
          <w:tcPr>
            <w:tcW w:w="0" w:type="dxa"/>
            <w:vAlign w:val="bottom"/>
          </w:tcPr>
          <w:p>
            <w:pPr>
              <w:spacing w:after="0"/>
              <w:rPr>
                <w:sz w:val="1"/>
                <w:szCs w:val="1"/>
                <w:color w:val="auto"/>
              </w:rPr>
            </w:pPr>
          </w:p>
        </w:tc>
      </w:tr>
      <w:tr>
        <w:trPr>
          <w:trHeight w:val="238"/>
        </w:trPr>
        <w:tc>
          <w:tcPr>
            <w:tcW w:w="4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84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 2022</w:t>
            </w:r>
          </w:p>
        </w:tc>
        <w:tc>
          <w:tcPr>
            <w:tcW w:w="35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23"/>
        </w:trPr>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1940" w:type="dxa"/>
            <w:vAlign w:val="bottom"/>
            <w:tcBorders>
              <w:top w:val="single" w:sz="8" w:color="auto"/>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5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320" w:type="dxa"/>
            <w:vAlign w:val="bottom"/>
          </w:tcPr>
          <w:p>
            <w:pPr>
              <w:spacing w:after="0"/>
              <w:rPr>
                <w:sz w:val="19"/>
                <w:szCs w:val="19"/>
                <w:color w:val="auto"/>
              </w:rPr>
            </w:pPr>
          </w:p>
        </w:tc>
        <w:tc>
          <w:tcPr>
            <w:tcW w:w="1880" w:type="dxa"/>
            <w:vAlign w:val="bottom"/>
            <w:tcBorders>
              <w:top w:val="single" w:sz="8" w:color="auto"/>
              <w:bottom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5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840" w:type="dxa"/>
            <w:vAlign w:val="bottom"/>
            <w:gridSpan w:val="2"/>
            <w:vMerge w:val="continue"/>
          </w:tcPr>
          <w:p>
            <w:pPr>
              <w:spacing w:after="0"/>
              <w:rPr>
                <w:sz w:val="18"/>
                <w:szCs w:val="18"/>
                <w:color w:val="auto"/>
              </w:rPr>
            </w:pPr>
          </w:p>
        </w:tc>
        <w:tc>
          <w:tcPr>
            <w:tcW w:w="35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18"/>
                <w:szCs w:val="18"/>
                <w:color w:val="auto"/>
              </w:rPr>
            </w:pPr>
          </w:p>
        </w:tc>
        <w:tc>
          <w:tcPr>
            <w:tcW w:w="34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$0.95 - $1.99</w:t>
            </w:r>
          </w:p>
        </w:tc>
        <w:tc>
          <w:tcPr>
            <w:tcW w:w="19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577</w:t>
            </w:r>
          </w:p>
        </w:tc>
        <w:tc>
          <w:tcPr>
            <w:tcW w:w="16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$2.00 - $2.99</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1,445</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775</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1,517</w:t>
            </w: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$3.00 - $3.99</w:t>
            </w:r>
          </w:p>
        </w:tc>
        <w:tc>
          <w:tcPr>
            <w:tcW w:w="19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3,933</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3,638</w:t>
            </w:r>
          </w:p>
        </w:tc>
        <w:tc>
          <w:tcPr>
            <w:tcW w:w="1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4,285</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3,382</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$4.00 - $4.99</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2,738</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1,801</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2,870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$5.00</w:t>
            </w:r>
          </w:p>
        </w:tc>
        <w:tc>
          <w:tcPr>
            <w:tcW w:w="340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 $5.99</w:t>
            </w:r>
          </w:p>
        </w:tc>
        <w:tc>
          <w:tcPr>
            <w:tcW w:w="19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$6.00</w:t>
            </w: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$6.99</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746</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746</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2,651</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$7.00</w:t>
            </w:r>
          </w:p>
        </w:tc>
        <w:tc>
          <w:tcPr>
            <w:tcW w:w="340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 $7.99</w:t>
            </w:r>
          </w:p>
        </w:tc>
        <w:tc>
          <w:tcPr>
            <w:tcW w:w="19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748</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748</w:t>
            </w:r>
          </w:p>
        </w:tc>
        <w:tc>
          <w:tcPr>
            <w:tcW w:w="1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1,175</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1,175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$8.00</w:t>
            </w: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$11.00</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1,680</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40" w:type="dxa"/>
            <w:vAlign w:val="bottom"/>
            <w:tcBorders>
              <w:top w:val="single" w:sz="8" w:color="EEEEEE"/>
            </w:tcBorders>
            <w:shd w:val="clear" w:color="auto" w:fill="EEEEEE"/>
          </w:tcPr>
          <w:p>
            <w:pPr>
              <w:spacing w:after="0"/>
              <w:rPr>
                <w:sz w:val="18"/>
                <w:szCs w:val="18"/>
                <w:color w:val="auto"/>
              </w:rPr>
            </w:pPr>
          </w:p>
        </w:tc>
        <w:tc>
          <w:tcPr>
            <w:tcW w:w="340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56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shares</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11,290</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7,708</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13,075</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9,685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2022 the aggregate intrinsic value of options outstanding and exercisable was $29.2 million and $22.7 million, respectively. There were 2,974,223 million options exercised for the nine months ended September 30, 2022 compared to 1,054,541 for the comparable period in 2021. The total intrinsic value of options exercised was $23.1 million and $3.0 million for the nine-month periods ended September 30, 2022 and 2021. There were 2,691,000 shares available for future stock option grants under existing plans as of September 30, 2022.</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Company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describes the purchase of our common stock for the nine-month ended September 30,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4740" w:type="dxa"/>
            <w:vAlign w:val="bottom"/>
          </w:tcPr>
          <w:p>
            <w:pPr>
              <w:spacing w:after="0"/>
              <w:rPr>
                <w:sz w:val="20"/>
                <w:szCs w:val="20"/>
                <w:color w:val="auto"/>
              </w:rPr>
            </w:pPr>
          </w:p>
        </w:tc>
        <w:tc>
          <w:tcPr>
            <w:tcW w:w="3400" w:type="dxa"/>
            <w:vAlign w:val="bottom"/>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3100" w:type="dxa"/>
            <w:vAlign w:val="bottom"/>
            <w:gridSpan w:val="5"/>
          </w:tcPr>
          <w:p>
            <w:pPr>
              <w:ind w:left="740"/>
              <w:spacing w:after="0"/>
              <w:rPr>
                <w:sz w:val="20"/>
                <w:szCs w:val="20"/>
                <w:color w:val="auto"/>
              </w:rPr>
            </w:pPr>
            <w:r>
              <w:rPr>
                <w:rFonts w:ascii="Times New Roman" w:cs="Times New Roman" w:eastAsia="Times New Roman" w:hAnsi="Times New Roman"/>
                <w:sz w:val="18"/>
                <w:szCs w:val="18"/>
                <w:b w:val="1"/>
                <w:bCs w:val="1"/>
                <w:color w:val="auto"/>
              </w:rPr>
              <w:t>September 30, 2021</w:t>
            </w:r>
          </w:p>
        </w:tc>
      </w:tr>
      <w:tr>
        <w:trPr>
          <w:trHeight w:val="223"/>
        </w:trPr>
        <w:tc>
          <w:tcPr>
            <w:tcW w:w="4740" w:type="dxa"/>
            <w:vAlign w:val="bottom"/>
          </w:tcPr>
          <w:p>
            <w:pPr>
              <w:spacing w:after="0"/>
              <w:rPr>
                <w:sz w:val="19"/>
                <w:szCs w:val="19"/>
                <w:color w:val="auto"/>
              </w:rPr>
            </w:pPr>
          </w:p>
        </w:tc>
        <w:tc>
          <w:tcPr>
            <w:tcW w:w="1700" w:type="dxa"/>
            <w:vAlign w:val="bottom"/>
            <w:tcBorders>
              <w:top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Avg. Price</w:t>
            </w:r>
          </w:p>
        </w:tc>
        <w:tc>
          <w:tcPr>
            <w:tcW w:w="320" w:type="dxa"/>
            <w:vAlign w:val="bottom"/>
          </w:tcPr>
          <w:p>
            <w:pPr>
              <w:spacing w:after="0"/>
              <w:rPr>
                <w:sz w:val="19"/>
                <w:szCs w:val="19"/>
                <w:color w:val="auto"/>
              </w:rPr>
            </w:pPr>
          </w:p>
        </w:tc>
        <w:tc>
          <w:tcPr>
            <w:tcW w:w="1660" w:type="dxa"/>
            <w:vAlign w:val="bottom"/>
            <w:tcBorders>
              <w:top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Avg. Price</w:t>
            </w:r>
          </w:p>
        </w:tc>
        <w:tc>
          <w:tcPr>
            <w:tcW w:w="100" w:type="dxa"/>
            <w:vAlign w:val="bottom"/>
          </w:tcPr>
          <w:p>
            <w:pPr>
              <w:spacing w:after="0"/>
              <w:rPr>
                <w:sz w:val="19"/>
                <w:szCs w:val="19"/>
                <w:color w:val="auto"/>
              </w:rPr>
            </w:pPr>
          </w:p>
        </w:tc>
      </w:tr>
      <w:tr>
        <w:trPr>
          <w:trHeight w:val="209"/>
        </w:trPr>
        <w:tc>
          <w:tcPr>
            <w:tcW w:w="47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Open market purchases</w:t>
            </w:r>
          </w:p>
        </w:tc>
        <w:tc>
          <w:tcPr>
            <w:tcW w:w="13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2,617,548</w:t>
            </w:r>
          </w:p>
        </w:tc>
        <w:tc>
          <w:tcPr>
            <w:tcW w:w="34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3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734,700</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Shares redeemed upon net exercise of stock options</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893,153</w:t>
            </w:r>
          </w:p>
        </w:tc>
        <w:tc>
          <w:tcPr>
            <w:tcW w:w="20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13.56</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56,983</w:t>
            </w:r>
          </w:p>
        </w:tc>
        <w:tc>
          <w:tcPr>
            <w:tcW w:w="1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w:t>
            </w:r>
          </w:p>
        </w:tc>
      </w:tr>
      <w:tr>
        <w:trPr>
          <w:trHeight w:val="223"/>
        </w:trPr>
        <w:tc>
          <w:tcPr>
            <w:tcW w:w="47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stock purchases</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3,510,701</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791,683</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Some items in the prior year financial statements were reclassified to conform to the current presentation. Reclassifications had no effect on net income or shareholders’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Covenants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our securitization transactions, our warehouse credit facilities and our residual interest financing contain various financial covenants requiring minimum financial ratios and results. Such covenants include maintaining minimum levels of liquidity and net worth and not exceeding maximum leverage levels. As of September 30, 2022, we were in compliance with all such covenants.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Contingent Liabilities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72"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Finance Receivables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2018 the Company adopted the fair value method of accounting for finance receivables acquired after 2017. Finance receivables measured at fair value are recorded separately on the Company’s Balance Sheet and are excluded from all tables in this footnote.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included. In certain circumstances we will grant obligors one-month payment extensions to assist them with temporary cash flow problems.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rather than troubled debt restructurings. Automobile finance receivables, net of unearned interest was $116.7 million and $232.4 million as of September 30, 2022 and December 31, 2021, respectively. The following table summarizes the delinquency status of finance receivables as of September 30, 2022 and December 31, 2021:</w:t>
      </w:r>
    </w:p>
    <w:p>
      <w:pPr>
        <w:spacing w:after="0" w:line="184" w:lineRule="exact"/>
        <w:rPr>
          <w:sz w:val="20"/>
          <w:szCs w:val="20"/>
          <w:color w:val="auto"/>
        </w:rPr>
      </w:pPr>
    </w:p>
    <w:tbl>
      <w:tblPr>
        <w:tblLayout w:type="fixed"/>
        <w:tblInd w:w="11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40" w:type="dxa"/>
            <w:vAlign w:val="bottom"/>
            <w:gridSpan w:val="5"/>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Deliquency Status</w:t>
            </w:r>
          </w:p>
        </w:tc>
        <w:tc>
          <w:tcPr>
            <w:tcW w:w="19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89,041</w:t>
            </w:r>
          </w:p>
        </w:tc>
        <w:tc>
          <w:tcPr>
            <w:tcW w:w="320" w:type="dxa"/>
            <w:vAlign w:val="bottom"/>
          </w:tcPr>
          <w:p>
            <w:pPr>
              <w:spacing w:after="0"/>
              <w:rPr>
                <w:sz w:val="18"/>
                <w:szCs w:val="18"/>
                <w:color w:val="auto"/>
              </w:rPr>
            </w:pPr>
          </w:p>
        </w:tc>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186,625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w w:val="99"/>
              </w:rPr>
              <w:t>31</w:t>
            </w:r>
          </w:p>
        </w:tc>
        <w:tc>
          <w:tcPr>
            <w:tcW w:w="308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- 60 days</w:t>
            </w:r>
          </w:p>
        </w:tc>
        <w:tc>
          <w:tcPr>
            <w:tcW w:w="19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18,090</w:t>
            </w: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30,980</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61</w:t>
            </w:r>
          </w:p>
        </w:tc>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- 90 days</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12,070</w:t>
            </w:r>
          </w:p>
        </w:tc>
        <w:tc>
          <w:tcPr>
            <w:tcW w:w="1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w w:val="99"/>
              </w:rPr>
              <w:t>91</w:t>
            </w:r>
          </w:p>
        </w:tc>
        <w:tc>
          <w:tcPr>
            <w:tcW w:w="308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 days</w:t>
            </w:r>
          </w:p>
        </w:tc>
        <w:tc>
          <w:tcPr>
            <w:tcW w:w="198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14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32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14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100" w:type="dxa"/>
            <w:vAlign w:val="bottom"/>
            <w:shd w:val="clear" w:color="auto" w:fill="EEEEEE"/>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117,686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232,390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Finance receivables totaling $2.5 million and $2.7 million at September 30, 2022 and December 31, 2021, respectively, including all receivables greater than 90 days delinquent, have been placed on non-accrual status as a result of their delinquency status.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 – Finance Receivables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allowance for credit losses is a valuation account that is deducted from the amortized cost basis of finance receivables to present the net amount expected to be collected. Charge offs are deducted from the allowance when management believes that collectability is unlikely.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estimates the allowance using relevant available information, from internal and external sources, relating to past events, current conditions and, reasonable and supportable forecasts. We believe our historical credit loss experience provides the best basis for the estimation of expected credit losses. Consequently, we use historical loss experience for older receivables, aggregated into vintage pools based on their calendar quarter of origination, to forecast expected losses for less seasoned quarterly vintage pools.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measure the weighted average monthly incremental change in cumulative net losses for the vintage pools in the relevant historical period. For the pools in the relevant historical period, we consider each pool’s performance from its inception through the end of the current period. We then apply the results of the historical analysis to less seasoned vintage pools beginning with each vintage pool’s most recent actual cumulative net loss experience and extrapolating from that point based on the historical data. We believe the pattern and magnitude of losses on older vintages allows us to establish a reasonable and supportable forecast of less seasoned vintages.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contract purchase guidelines are designed to produce a homogenous portfolio. For key credit characteristics of individual contracts such as obligor credit history, job stability, residence stability and ability to pay, there is relatively little variation from the average for the portfolio. Similarly, for key structural characteristics such as loan-to-value, length of contract, monthly payment and amount financed, there is relatively little variation from the average for the portfolio. Consequently, we do not believe there are significant differences in risk characteristics between various segments of our portfolio.</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methodology incorporates historical pools that are sufficiently seasoned to capture the magnitude and trends of losses within those vintage pools. Furthermore, the historical period encompasses a substantial volume of receivables over periods that include fluctuations in the competitive landscape, the Company’s rates of growth, size of our managed portfolio and fluctuations in economic growth and unemployment.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consideration of the depth and breadth of the historical period, and the homogeneity of our portfolio, we generally do not adjust historical loss information for differences in risk characteristics such as credit or structural composition of segments of the portfolio or for changes in environmental conditions such as changes in unemployment rates, collateral values or other factors. However, we have considered how certain qualitative factors may affect future credit losses and have incorporated our judgement of the effect of such factors into our estimates.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amortized cost basis of our finance receivables by annual vintage as of September 30, 2022 and December 31, 2021.</w:t>
      </w:r>
    </w:p>
    <w:p>
      <w:pPr>
        <w:spacing w:after="0" w:line="221" w:lineRule="exact"/>
        <w:rPr>
          <w:sz w:val="20"/>
          <w:szCs w:val="20"/>
          <w:color w:val="auto"/>
        </w:rPr>
      </w:pPr>
    </w:p>
    <w:tbl>
      <w:tblPr>
        <w:tblLayout w:type="fixed"/>
        <w:tblInd w:w="118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20" w:type="dxa"/>
            <w:vAlign w:val="bottom"/>
            <w:gridSpan w:val="4"/>
            <w:vMerge w:val="restart"/>
          </w:tcPr>
          <w:p>
            <w:pPr>
              <w:jc w:val="right"/>
              <w:ind w:right="2076"/>
              <w:spacing w:after="0"/>
              <w:rPr>
                <w:sz w:val="20"/>
                <w:szCs w:val="20"/>
                <w:color w:val="auto"/>
              </w:rPr>
            </w:pPr>
            <w:r>
              <w:rPr>
                <w:rFonts w:ascii="Times New Roman" w:cs="Times New Roman" w:eastAsia="Times New Roman" w:hAnsi="Times New Roman"/>
                <w:sz w:val="18"/>
                <w:szCs w:val="18"/>
                <w:color w:val="auto"/>
              </w:rPr>
              <w:t>Annual Vintage Pool</w:t>
            </w:r>
          </w:p>
        </w:tc>
        <w:tc>
          <w:tcPr>
            <w:tcW w:w="334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020" w:type="dxa"/>
            <w:vAlign w:val="bottom"/>
            <w:gridSpan w:val="4"/>
            <w:vMerge w:val="continue"/>
          </w:tcPr>
          <w:p>
            <w:pPr>
              <w:spacing w:after="0"/>
              <w:rPr>
                <w:sz w:val="13"/>
                <w:szCs w:val="13"/>
                <w:color w:val="auto"/>
              </w:rPr>
            </w:pPr>
          </w:p>
        </w:tc>
        <w:tc>
          <w:tcPr>
            <w:tcW w:w="1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2012 and prior</w:t>
            </w:r>
          </w:p>
        </w:tc>
        <w:tc>
          <w:tcPr>
            <w:tcW w:w="402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500" w:type="dxa"/>
            <w:vAlign w:val="bottom"/>
            <w:gridSpan w:val="2"/>
            <w:shd w:val="clear" w:color="auto" w:fill="EEEEEE"/>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2013</w:t>
            </w:r>
          </w:p>
        </w:tc>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2014</w:t>
            </w:r>
          </w:p>
        </w:tc>
        <w:tc>
          <w:tcPr>
            <w:tcW w:w="36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20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6,881</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2016</w:t>
            </w:r>
          </w:p>
        </w:tc>
        <w:tc>
          <w:tcPr>
            <w:tcW w:w="36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20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37,268</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76,728</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0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2017</w:t>
            </w:r>
          </w:p>
        </w:tc>
        <w:tc>
          <w:tcPr>
            <w:tcW w:w="360" w:type="dxa"/>
            <w:vAlign w:val="bottom"/>
            <w:tcBorders>
              <w:bottom w:val="single" w:sz="8" w:color="EEEEEE"/>
            </w:tcBorders>
          </w:tcPr>
          <w:p>
            <w:pPr>
              <w:spacing w:after="0"/>
              <w:rPr>
                <w:sz w:val="19"/>
                <w:szCs w:val="19"/>
                <w:color w:val="auto"/>
              </w:rPr>
            </w:pPr>
          </w:p>
        </w:tc>
        <w:tc>
          <w:tcPr>
            <w:tcW w:w="1500" w:type="dxa"/>
            <w:vAlign w:val="bottom"/>
            <w:tcBorders>
              <w:bottom w:val="single" w:sz="8" w:color="EEEEEE"/>
            </w:tcBorders>
          </w:tcPr>
          <w:p>
            <w:pPr>
              <w:spacing w:after="0"/>
              <w:rPr>
                <w:sz w:val="19"/>
                <w:szCs w:val="19"/>
                <w:color w:val="auto"/>
              </w:rPr>
            </w:pPr>
          </w:p>
        </w:tc>
        <w:tc>
          <w:tcPr>
            <w:tcW w:w="200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65,708</w:t>
            </w:r>
          </w:p>
        </w:tc>
        <w:tc>
          <w:tcPr>
            <w:tcW w:w="320" w:type="dxa"/>
            <w:vAlign w:val="bottom"/>
            <w:tcBorders>
              <w:bottom w:val="single" w:sz="8" w:color="EEEEE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117,864</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0" w:type="dxa"/>
            <w:vAlign w:val="bottom"/>
            <w:tcBorders>
              <w:bottom w:val="single" w:sz="8" w:color="EEEEEE"/>
            </w:tcBorders>
            <w:shd w:val="clear" w:color="auto" w:fill="EEEEEE"/>
          </w:tcPr>
          <w:p>
            <w:pPr>
              <w:spacing w:after="0"/>
              <w:rPr>
                <w:sz w:val="19"/>
                <w:szCs w:val="19"/>
                <w:color w:val="auto"/>
              </w:rPr>
            </w:pPr>
          </w:p>
        </w:tc>
        <w:tc>
          <w:tcPr>
            <w:tcW w:w="360" w:type="dxa"/>
            <w:vAlign w:val="bottom"/>
            <w:tcBorders>
              <w:bottom w:val="single" w:sz="8" w:color="EEEEEE"/>
            </w:tcBorders>
            <w:shd w:val="clear" w:color="auto" w:fill="EEEEEE"/>
          </w:tcPr>
          <w:p>
            <w:pPr>
              <w:spacing w:after="0"/>
              <w:rPr>
                <w:sz w:val="19"/>
                <w:szCs w:val="19"/>
                <w:color w:val="auto"/>
              </w:rPr>
            </w:pPr>
          </w:p>
        </w:tc>
        <w:tc>
          <w:tcPr>
            <w:tcW w:w="1500" w:type="dxa"/>
            <w:vAlign w:val="bottom"/>
            <w:tcBorders>
              <w:bottom w:val="single" w:sz="8" w:color="EEEEEE"/>
            </w:tcBorders>
            <w:shd w:val="clear" w:color="auto" w:fill="EEEEEE"/>
          </w:tcPr>
          <w:p>
            <w:pPr>
              <w:spacing w:after="0"/>
              <w:rPr>
                <w:sz w:val="19"/>
                <w:szCs w:val="19"/>
                <w:color w:val="auto"/>
              </w:rPr>
            </w:pPr>
          </w:p>
        </w:tc>
        <w:tc>
          <w:tcPr>
            <w:tcW w:w="200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117,686</w:t>
            </w:r>
          </w:p>
        </w:tc>
        <w:tc>
          <w:tcPr>
            <w:tcW w:w="32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232,390</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activity for the allowance for finance credit losses for the three-month and nine-month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and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19"/>
                <w:szCs w:val="19"/>
                <w:color w:val="auto"/>
              </w:rPr>
            </w:pPr>
          </w:p>
        </w:tc>
        <w:tc>
          <w:tcPr>
            <w:tcW w:w="296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38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8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09"/>
        </w:trPr>
        <w:tc>
          <w:tcPr>
            <w:tcW w:w="3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20" w:type="dxa"/>
            <w:vAlign w:val="bottom"/>
            <w:gridSpan w:val="3"/>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40" w:type="dxa"/>
            <w:vAlign w:val="bottom"/>
            <w:shd w:val="clear" w:color="auto" w:fill="EEEEEE"/>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35,672</w:t>
            </w:r>
          </w:p>
        </w:tc>
        <w:tc>
          <w:tcPr>
            <w:tcW w:w="1020" w:type="dxa"/>
            <w:vAlign w:val="bottom"/>
            <w:shd w:val="clear" w:color="auto" w:fill="EEEEEE"/>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72,242</w:t>
            </w:r>
          </w:p>
        </w:tc>
        <w:tc>
          <w:tcPr>
            <w:tcW w:w="340" w:type="dxa"/>
            <w:vAlign w:val="bottom"/>
            <w:shd w:val="clear" w:color="auto" w:fill="EEEEEE"/>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56,206</w:t>
            </w:r>
          </w:p>
        </w:tc>
        <w:tc>
          <w:tcPr>
            <w:tcW w:w="500" w:type="dxa"/>
            <w:vAlign w:val="bottom"/>
            <w:shd w:val="clear" w:color="auto" w:fill="EEEEEE"/>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80,790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 on finance receivables</w:t>
            </w:r>
          </w:p>
        </w:tc>
        <w:tc>
          <w:tcPr>
            <w:tcW w:w="10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(6,000)</w:t>
            </w:r>
          </w:p>
        </w:tc>
        <w:tc>
          <w:tcPr>
            <w:tcW w:w="10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(1,590)</w:t>
            </w:r>
          </w:p>
        </w:tc>
        <w:tc>
          <w:tcPr>
            <w:tcW w:w="34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(23,400)</w:t>
            </w:r>
          </w:p>
        </w:tc>
        <w:tc>
          <w:tcPr>
            <w:tcW w:w="5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(1,590)</w:t>
            </w:r>
          </w:p>
        </w:tc>
      </w:tr>
      <w:tr>
        <w:trPr>
          <w:trHeight w:val="216"/>
        </w:trPr>
        <w:tc>
          <w:tcPr>
            <w:tcW w:w="3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Charge-offs</w:t>
            </w:r>
          </w:p>
        </w:tc>
        <w:tc>
          <w:tcPr>
            <w:tcW w:w="10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(4,375)</w:t>
            </w: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(6,336)</w:t>
            </w:r>
          </w:p>
        </w:tc>
        <w:tc>
          <w:tcPr>
            <w:tcW w:w="3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(14,181)</w:t>
            </w:r>
          </w:p>
        </w:tc>
        <w:tc>
          <w:tcPr>
            <w:tcW w:w="5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(25,157)</w:t>
            </w: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Recoveries</w:t>
            </w:r>
          </w:p>
        </w:tc>
        <w:tc>
          <w:tcPr>
            <w:tcW w:w="104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2,699</w:t>
            </w:r>
          </w:p>
        </w:tc>
        <w:tc>
          <w:tcPr>
            <w:tcW w:w="102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4,408</w:t>
            </w:r>
          </w:p>
        </w:tc>
        <w:tc>
          <w:tcPr>
            <w:tcW w:w="34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9,371</w:t>
            </w:r>
          </w:p>
        </w:tc>
        <w:tc>
          <w:tcPr>
            <w:tcW w:w="5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14,681</w:t>
            </w:r>
          </w:p>
        </w:tc>
      </w:tr>
      <w:tr>
        <w:trPr>
          <w:trHeight w:val="223"/>
        </w:trPr>
        <w:tc>
          <w:tcPr>
            <w:tcW w:w="38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40" w:type="dxa"/>
            <w:vAlign w:val="bottom"/>
            <w:tcBorders>
              <w:top w:val="single" w:sz="8" w:color="auto"/>
              <w:bottom w:val="single" w:sz="8" w:color="auto"/>
            </w:tcBorders>
            <w:shd w:val="clear" w:color="auto" w:fill="EEEEEE"/>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27,996</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020" w:type="dxa"/>
            <w:vAlign w:val="bottom"/>
            <w:tcBorders>
              <w:top w:val="single" w:sz="8" w:color="auto"/>
              <w:bottom w:val="single" w:sz="8" w:color="auto"/>
            </w:tcBorders>
            <w:shd w:val="clear" w:color="auto" w:fill="EEEEEE"/>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68,724</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27,996</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500" w:type="dxa"/>
            <w:vAlign w:val="bottom"/>
            <w:tcBorders>
              <w:top w:val="single" w:sz="8" w:color="auto"/>
              <w:bottom w:val="single" w:sz="8" w:color="auto"/>
            </w:tcBorders>
            <w:shd w:val="clear" w:color="auto" w:fill="EEEEEE"/>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68,724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in repossessed inventory that is not included in the allowance for finance credit losses: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9"/>
                <w:szCs w:val="19"/>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5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20" w:type="dxa"/>
            <w:vAlign w:val="bottom"/>
            <w:gridSpan w:val="4"/>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balance of repossessions in inventory</w:t>
            </w:r>
          </w:p>
        </w:tc>
        <w:tc>
          <w:tcPr>
            <w:tcW w:w="32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2,250</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4,341</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losses on repossessed inventory</w:t>
            </w:r>
          </w:p>
        </w:tc>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(1,474)</w:t>
            </w:r>
          </w:p>
        </w:tc>
        <w:tc>
          <w:tcPr>
            <w:tcW w:w="1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(1,871)</w:t>
            </w:r>
          </w:p>
        </w:tc>
        <w:tc>
          <w:tcPr>
            <w:tcW w:w="0" w:type="dxa"/>
            <w:vAlign w:val="bottom"/>
          </w:tcPr>
          <w:p>
            <w:pPr>
              <w:spacing w:after="0"/>
              <w:rPr>
                <w:sz w:val="1"/>
                <w:szCs w:val="1"/>
                <w:color w:val="auto"/>
              </w:rPr>
            </w:pPr>
          </w:p>
        </w:tc>
      </w:tr>
      <w:tr>
        <w:trPr>
          <w:trHeight w:val="223"/>
        </w:trPr>
        <w:tc>
          <w:tcPr>
            <w:tcW w:w="45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repossessed inventory included in other assets</w:t>
            </w:r>
          </w:p>
        </w:tc>
        <w:tc>
          <w:tcPr>
            <w:tcW w:w="308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080" w:type="dxa"/>
            <w:vAlign w:val="bottom"/>
            <w:vMerge w:val="restart"/>
          </w:tcPr>
          <w:p>
            <w:pPr>
              <w:jc w:val="right"/>
              <w:ind w:right="185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6"/>
        </w:trPr>
        <w:tc>
          <w:tcPr>
            <w:tcW w:w="45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Securitization Trust Debt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completed many securitization transactions that are structured as secured borrowings for financial accounting purposes. The debt issued in these transactions is shown on our Unaudited Condensed Consolidated Balance Sheets as “Securitization trust debt,” and the components of such debt are summarized in the following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Final</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18"/>
                <w:szCs w:val="18"/>
                <w:color w:val="auto"/>
              </w:rPr>
            </w:pPr>
          </w:p>
        </w:tc>
        <w:tc>
          <w:tcPr>
            <w:tcW w:w="14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Debt</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tcPr>
          <w:p>
            <w:pPr>
              <w:jc w:val="center"/>
              <w:ind w:right="156"/>
              <w:spacing w:after="0"/>
              <w:rPr>
                <w:sz w:val="20"/>
                <w:szCs w:val="20"/>
                <w:color w:val="auto"/>
              </w:rPr>
            </w:pPr>
            <w:r>
              <w:rPr>
                <w:rFonts w:ascii="Times New Roman" w:cs="Times New Roman" w:eastAsia="Times New Roman" w:hAnsi="Times New Roman"/>
                <w:sz w:val="18"/>
                <w:szCs w:val="18"/>
                <w:b w:val="1"/>
                <w:bCs w:val="1"/>
                <w:color w:val="auto"/>
                <w:w w:val="98"/>
              </w:rPr>
              <w:t>Scheduled</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Pledged at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Principal at</w:t>
            </w:r>
          </w:p>
        </w:tc>
        <w:tc>
          <w:tcPr>
            <w:tcW w:w="120" w:type="dxa"/>
            <w:vAlign w:val="bottom"/>
          </w:tcPr>
          <w:p>
            <w:pPr>
              <w:spacing w:after="0"/>
              <w:rPr>
                <w:sz w:val="18"/>
                <w:szCs w:val="18"/>
                <w:color w:val="auto"/>
              </w:rPr>
            </w:pPr>
          </w:p>
        </w:tc>
        <w:tc>
          <w:tcPr>
            <w:tcW w:w="14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Principal at</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Interest Rate at</w:t>
            </w:r>
          </w:p>
        </w:tc>
        <w:tc>
          <w:tcPr>
            <w:tcW w:w="0" w:type="dxa"/>
            <w:vAlign w:val="bottom"/>
          </w:tcPr>
          <w:p>
            <w:pPr>
              <w:spacing w:after="0"/>
              <w:rPr>
                <w:sz w:val="1"/>
                <w:szCs w:val="1"/>
                <w:color w:val="auto"/>
              </w:rPr>
            </w:pPr>
          </w:p>
        </w:tc>
      </w:tr>
      <w:tr>
        <w:trPr>
          <w:trHeight w:val="229"/>
        </w:trPr>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Initial</w:t>
            </w:r>
          </w:p>
        </w:tc>
        <w:tc>
          <w:tcPr>
            <w:tcW w:w="100" w:type="dxa"/>
            <w:vAlign w:val="bottom"/>
          </w:tcPr>
          <w:p>
            <w:pPr>
              <w:spacing w:after="0"/>
              <w:rPr>
                <w:sz w:val="19"/>
                <w:szCs w:val="19"/>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19"/>
                <w:szCs w:val="19"/>
                <w:color w:val="auto"/>
              </w:rPr>
            </w:pPr>
          </w:p>
        </w:tc>
        <w:tc>
          <w:tcPr>
            <w:tcW w:w="14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8"/>
        </w:trPr>
        <w:tc>
          <w:tcPr>
            <w:tcW w:w="194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Series</w:t>
            </w:r>
          </w:p>
        </w:tc>
        <w:tc>
          <w:tcPr>
            <w:tcW w:w="110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Date (1)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2022 (2)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0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2017-A</w:t>
            </w:r>
          </w:p>
        </w:tc>
        <w:tc>
          <w:tcPr>
            <w:tcW w:w="1700" w:type="dxa"/>
            <w:vAlign w:val="bottom"/>
            <w:gridSpan w:val="3"/>
            <w:shd w:val="clear" w:color="auto" w:fill="EEEEEE"/>
          </w:tcPr>
          <w:p>
            <w:pPr>
              <w:jc w:val="right"/>
              <w:ind w:right="136"/>
              <w:spacing w:after="0"/>
              <w:rPr>
                <w:sz w:val="20"/>
                <w:szCs w:val="20"/>
                <w:color w:val="auto"/>
              </w:rPr>
            </w:pPr>
            <w:r>
              <w:rPr>
                <w:rFonts w:ascii="Times New Roman" w:cs="Times New Roman" w:eastAsia="Times New Roman" w:hAnsi="Times New Roman"/>
                <w:sz w:val="18"/>
                <w:szCs w:val="18"/>
                <w:color w:val="auto"/>
              </w:rPr>
              <w:t>April 2024</w:t>
            </w:r>
          </w:p>
        </w:tc>
        <w:tc>
          <w:tcPr>
            <w:tcW w:w="12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206,320</w:t>
            </w: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17,644</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2017-B</w:t>
            </w:r>
          </w:p>
        </w:tc>
        <w:tc>
          <w:tcPr>
            <w:tcW w:w="1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December</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225,170</w:t>
            </w: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12,491</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2017-C</w:t>
            </w:r>
          </w:p>
        </w:tc>
        <w:tc>
          <w:tcPr>
            <w:tcW w:w="1700" w:type="dxa"/>
            <w:vAlign w:val="bottom"/>
            <w:gridSpan w:val="3"/>
            <w:shd w:val="clear" w:color="auto" w:fill="EEEEEE"/>
          </w:tcPr>
          <w:p>
            <w:pPr>
              <w:jc w:val="right"/>
              <w:ind w:right="136"/>
              <w:spacing w:after="0"/>
              <w:rPr>
                <w:sz w:val="20"/>
                <w:szCs w:val="20"/>
                <w:color w:val="auto"/>
              </w:rPr>
            </w:pPr>
            <w:r>
              <w:rPr>
                <w:rFonts w:ascii="Times New Roman" w:cs="Times New Roman" w:eastAsia="Times New Roman" w:hAnsi="Times New Roman"/>
                <w:sz w:val="18"/>
                <w:szCs w:val="18"/>
                <w:color w:val="auto"/>
              </w:rPr>
              <w:t>September 2024</w:t>
            </w:r>
          </w:p>
        </w:tc>
        <w:tc>
          <w:tcPr>
            <w:tcW w:w="12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224,825</w:t>
            </w: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25,846</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2017-D</w:t>
            </w:r>
          </w:p>
        </w:tc>
        <w:tc>
          <w:tcPr>
            <w:tcW w:w="170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June 2024</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17,526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196,300</w:t>
            </w: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13,892</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26,744</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2018-A</w:t>
            </w:r>
          </w:p>
        </w:tc>
        <w:tc>
          <w:tcPr>
            <w:tcW w:w="1700" w:type="dxa"/>
            <w:vAlign w:val="bottom"/>
            <w:gridSpan w:val="3"/>
            <w:shd w:val="clear" w:color="auto" w:fill="EEEEEE"/>
          </w:tcPr>
          <w:p>
            <w:pPr>
              <w:jc w:val="right"/>
              <w:ind w:right="136"/>
              <w:spacing w:after="0"/>
              <w:rPr>
                <w:sz w:val="20"/>
                <w:szCs w:val="20"/>
                <w:color w:val="auto"/>
              </w:rPr>
            </w:pPr>
            <w:r>
              <w:rPr>
                <w:rFonts w:ascii="Times New Roman" w:cs="Times New Roman" w:eastAsia="Times New Roman" w:hAnsi="Times New Roman"/>
                <w:sz w:val="18"/>
                <w:szCs w:val="18"/>
                <w:color w:val="auto"/>
              </w:rPr>
              <w:t>March 2025</w:t>
            </w:r>
          </w:p>
        </w:tc>
        <w:tc>
          <w:tcPr>
            <w:tcW w:w="12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20,221</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190,000</w:t>
            </w: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16,770</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29,518</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2018-B</w:t>
            </w:r>
          </w:p>
        </w:tc>
        <w:tc>
          <w:tcPr>
            <w:tcW w:w="1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December</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24,742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201,823</w:t>
            </w: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21,179</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36,092</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2018-C</w:t>
            </w:r>
          </w:p>
        </w:tc>
        <w:tc>
          <w:tcPr>
            <w:tcW w:w="1700" w:type="dxa"/>
            <w:vAlign w:val="bottom"/>
            <w:gridSpan w:val="3"/>
            <w:shd w:val="clear" w:color="auto" w:fill="EEEEEE"/>
          </w:tcPr>
          <w:p>
            <w:pPr>
              <w:jc w:val="right"/>
              <w:ind w:right="136"/>
              <w:spacing w:after="0"/>
              <w:rPr>
                <w:sz w:val="20"/>
                <w:szCs w:val="20"/>
                <w:color w:val="auto"/>
              </w:rPr>
            </w:pPr>
            <w:r>
              <w:rPr>
                <w:rFonts w:ascii="Times New Roman" w:cs="Times New Roman" w:eastAsia="Times New Roman" w:hAnsi="Times New Roman"/>
                <w:sz w:val="18"/>
                <w:szCs w:val="18"/>
                <w:color w:val="auto"/>
              </w:rPr>
              <w:t>September 2025</w:t>
            </w:r>
          </w:p>
        </w:tc>
        <w:tc>
          <w:tcPr>
            <w:tcW w:w="12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29,131</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230,275</w:t>
            </w: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24,879</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42,765</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2018-D</w:t>
            </w:r>
          </w:p>
        </w:tc>
        <w:tc>
          <w:tcPr>
            <w:tcW w:w="170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June 2025</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35,386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233,730</w:t>
            </w: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30,545</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49,634</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2019-A</w:t>
            </w:r>
          </w:p>
        </w:tc>
        <w:tc>
          <w:tcPr>
            <w:tcW w:w="1700" w:type="dxa"/>
            <w:vAlign w:val="bottom"/>
            <w:gridSpan w:val="3"/>
            <w:shd w:val="clear" w:color="auto" w:fill="EEEEEE"/>
          </w:tcPr>
          <w:p>
            <w:pPr>
              <w:jc w:val="right"/>
              <w:ind w:right="136"/>
              <w:spacing w:after="0"/>
              <w:rPr>
                <w:sz w:val="20"/>
                <w:szCs w:val="20"/>
                <w:color w:val="auto"/>
              </w:rPr>
            </w:pPr>
            <w:r>
              <w:rPr>
                <w:rFonts w:ascii="Times New Roman" w:cs="Times New Roman" w:eastAsia="Times New Roman" w:hAnsi="Times New Roman"/>
                <w:sz w:val="18"/>
                <w:szCs w:val="18"/>
                <w:color w:val="auto"/>
              </w:rPr>
              <w:t>March 2026</w:t>
            </w:r>
          </w:p>
        </w:tc>
        <w:tc>
          <w:tcPr>
            <w:tcW w:w="12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44,846</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254,400</w:t>
            </w: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38,693</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62,667</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2019-B</w:t>
            </w:r>
          </w:p>
        </w:tc>
        <w:tc>
          <w:tcPr>
            <w:tcW w:w="170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June 2026</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46,255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228,275</w:t>
            </w: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39,622</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61,730</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2019-C</w:t>
            </w:r>
          </w:p>
        </w:tc>
        <w:tc>
          <w:tcPr>
            <w:tcW w:w="1700" w:type="dxa"/>
            <w:vAlign w:val="bottom"/>
            <w:gridSpan w:val="3"/>
            <w:shd w:val="clear" w:color="auto" w:fill="EEEEEE"/>
          </w:tcPr>
          <w:p>
            <w:pPr>
              <w:jc w:val="right"/>
              <w:ind w:right="136"/>
              <w:spacing w:after="0"/>
              <w:rPr>
                <w:sz w:val="20"/>
                <w:szCs w:val="20"/>
                <w:color w:val="auto"/>
              </w:rPr>
            </w:pPr>
            <w:r>
              <w:rPr>
                <w:rFonts w:ascii="Times New Roman" w:cs="Times New Roman" w:eastAsia="Times New Roman" w:hAnsi="Times New Roman"/>
                <w:sz w:val="18"/>
                <w:szCs w:val="18"/>
                <w:color w:val="auto"/>
              </w:rPr>
              <w:t>September 2026</w:t>
            </w:r>
          </w:p>
        </w:tc>
        <w:tc>
          <w:tcPr>
            <w:tcW w:w="12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54,352</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243,513</w:t>
            </w: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48,110</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75,065</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2019-D</w:t>
            </w:r>
          </w:p>
        </w:tc>
        <w:tc>
          <w:tcPr>
            <w:tcW w:w="170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December 2026</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69,792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274,313</w:t>
            </w: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61,562</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98,625</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2020-A</w:t>
            </w:r>
          </w:p>
        </w:tc>
        <w:tc>
          <w:tcPr>
            <w:tcW w:w="1700" w:type="dxa"/>
            <w:vAlign w:val="bottom"/>
            <w:gridSpan w:val="3"/>
            <w:shd w:val="clear" w:color="auto" w:fill="EEEEEE"/>
          </w:tcPr>
          <w:p>
            <w:pPr>
              <w:jc w:val="right"/>
              <w:ind w:right="136"/>
              <w:spacing w:after="0"/>
              <w:rPr>
                <w:sz w:val="20"/>
                <w:szCs w:val="20"/>
                <w:color w:val="auto"/>
              </w:rPr>
            </w:pPr>
            <w:r>
              <w:rPr>
                <w:rFonts w:ascii="Times New Roman" w:cs="Times New Roman" w:eastAsia="Times New Roman" w:hAnsi="Times New Roman"/>
                <w:sz w:val="18"/>
                <w:szCs w:val="18"/>
                <w:color w:val="auto"/>
              </w:rPr>
              <w:t>March 2027</w:t>
            </w:r>
          </w:p>
        </w:tc>
        <w:tc>
          <w:tcPr>
            <w:tcW w:w="12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64,894</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260,000</w:t>
            </w: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60,828</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99,485</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2020-B</w:t>
            </w:r>
          </w:p>
        </w:tc>
        <w:tc>
          <w:tcPr>
            <w:tcW w:w="170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June 2027</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72,574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202,343</w:t>
            </w: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47,591</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87,048</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2020-C</w:t>
            </w:r>
          </w:p>
        </w:tc>
        <w:tc>
          <w:tcPr>
            <w:tcW w:w="1700" w:type="dxa"/>
            <w:vAlign w:val="bottom"/>
            <w:gridSpan w:val="3"/>
            <w:shd w:val="clear" w:color="auto" w:fill="EEEEEE"/>
          </w:tcPr>
          <w:p>
            <w:pPr>
              <w:jc w:val="right"/>
              <w:ind w:right="136"/>
              <w:spacing w:after="0"/>
              <w:rPr>
                <w:sz w:val="20"/>
                <w:szCs w:val="20"/>
                <w:color w:val="auto"/>
              </w:rPr>
            </w:pPr>
            <w:r>
              <w:rPr>
                <w:rFonts w:ascii="Times New Roman" w:cs="Times New Roman" w:eastAsia="Times New Roman" w:hAnsi="Times New Roman"/>
                <w:sz w:val="18"/>
                <w:szCs w:val="18"/>
                <w:color w:val="auto"/>
              </w:rPr>
              <w:t>November 2027</w:t>
            </w:r>
          </w:p>
        </w:tc>
        <w:tc>
          <w:tcPr>
            <w:tcW w:w="12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97,439</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252,200</w:t>
            </w: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84,204</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138,899</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2021-A</w:t>
            </w:r>
          </w:p>
        </w:tc>
        <w:tc>
          <w:tcPr>
            <w:tcW w:w="170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March 2028</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103,253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230,545</w:t>
            </w: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86,058</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147,516</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2021-B</w:t>
            </w:r>
          </w:p>
        </w:tc>
        <w:tc>
          <w:tcPr>
            <w:tcW w:w="1700" w:type="dxa"/>
            <w:vAlign w:val="bottom"/>
            <w:gridSpan w:val="3"/>
            <w:shd w:val="clear" w:color="auto" w:fill="EEEEEE"/>
          </w:tcPr>
          <w:p>
            <w:pPr>
              <w:jc w:val="right"/>
              <w:ind w:right="136"/>
              <w:spacing w:after="0"/>
              <w:rPr>
                <w:sz w:val="20"/>
                <w:szCs w:val="20"/>
                <w:color w:val="auto"/>
              </w:rPr>
            </w:pPr>
            <w:r>
              <w:rPr>
                <w:rFonts w:ascii="Times New Roman" w:cs="Times New Roman" w:eastAsia="Times New Roman" w:hAnsi="Times New Roman"/>
                <w:sz w:val="18"/>
                <w:szCs w:val="18"/>
                <w:color w:val="auto"/>
              </w:rPr>
              <w:t>June 2028</w:t>
            </w:r>
          </w:p>
        </w:tc>
        <w:tc>
          <w:tcPr>
            <w:tcW w:w="12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127,433</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240,000</w:t>
            </w: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116,429</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179,856</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2021-C</w:t>
            </w:r>
          </w:p>
        </w:tc>
        <w:tc>
          <w:tcPr>
            <w:tcW w:w="170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September 2028</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183,844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291,000</w:t>
            </w: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168,163</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250,003</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2021-D</w:t>
            </w:r>
          </w:p>
        </w:tc>
        <w:tc>
          <w:tcPr>
            <w:tcW w:w="1700" w:type="dxa"/>
            <w:vAlign w:val="bottom"/>
            <w:gridSpan w:val="3"/>
            <w:shd w:val="clear" w:color="auto" w:fill="EEEEEE"/>
          </w:tcPr>
          <w:p>
            <w:pPr>
              <w:jc w:val="right"/>
              <w:ind w:right="136"/>
              <w:spacing w:after="0"/>
              <w:rPr>
                <w:sz w:val="20"/>
                <w:szCs w:val="20"/>
                <w:color w:val="auto"/>
              </w:rPr>
            </w:pPr>
            <w:r>
              <w:rPr>
                <w:rFonts w:ascii="Times New Roman" w:cs="Times New Roman" w:eastAsia="Times New Roman" w:hAnsi="Times New Roman"/>
                <w:sz w:val="18"/>
                <w:szCs w:val="18"/>
                <w:color w:val="auto"/>
              </w:rPr>
              <w:t>December 2028</w:t>
            </w:r>
          </w:p>
        </w:tc>
        <w:tc>
          <w:tcPr>
            <w:tcW w:w="12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249,729</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349,202</w:t>
            </w: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236,820</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330,325</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2022-A</w:t>
            </w:r>
          </w:p>
        </w:tc>
        <w:tc>
          <w:tcPr>
            <w:tcW w:w="170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April 2029</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266,687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316,800</w:t>
            </w: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247,530</w:t>
            </w:r>
          </w:p>
        </w:tc>
        <w:tc>
          <w:tcPr>
            <w:tcW w:w="12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2022-B</w:t>
            </w:r>
          </w:p>
        </w:tc>
        <w:tc>
          <w:tcPr>
            <w:tcW w:w="1700" w:type="dxa"/>
            <w:vAlign w:val="bottom"/>
            <w:gridSpan w:val="3"/>
            <w:shd w:val="clear" w:color="auto" w:fill="EEEEEE"/>
          </w:tcPr>
          <w:p>
            <w:pPr>
              <w:jc w:val="right"/>
              <w:ind w:right="136"/>
              <w:spacing w:after="0"/>
              <w:rPr>
                <w:sz w:val="20"/>
                <w:szCs w:val="20"/>
                <w:color w:val="auto"/>
              </w:rPr>
            </w:pPr>
            <w:r>
              <w:rPr>
                <w:rFonts w:ascii="Times New Roman" w:cs="Times New Roman" w:eastAsia="Times New Roman" w:hAnsi="Times New Roman"/>
                <w:sz w:val="18"/>
                <w:szCs w:val="18"/>
                <w:color w:val="auto"/>
              </w:rPr>
              <w:t>October 2029</w:t>
            </w:r>
          </w:p>
        </w:tc>
        <w:tc>
          <w:tcPr>
            <w:tcW w:w="12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384,556</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395,600</w:t>
            </w: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356,044</w:t>
            </w:r>
          </w:p>
        </w:tc>
        <w:tc>
          <w:tcPr>
            <w:tcW w:w="12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30"/>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2022-C</w:t>
            </w:r>
          </w:p>
        </w:tc>
        <w:tc>
          <w:tcPr>
            <w:tcW w:w="170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April 2030</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420,885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391,600</w:t>
            </w:r>
          </w:p>
        </w:tc>
        <w:tc>
          <w:tcPr>
            <w:tcW w:w="10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372,262</w:t>
            </w:r>
          </w:p>
        </w:tc>
        <w:tc>
          <w:tcPr>
            <w:tcW w:w="120" w:type="dxa"/>
            <w:vAlign w:val="bottom"/>
          </w:tcPr>
          <w:p>
            <w:pPr>
              <w:spacing w:after="0"/>
              <w:rPr>
                <w:sz w:val="19"/>
                <w:szCs w:val="19"/>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23"/>
        </w:trPr>
        <w:tc>
          <w:tcPr>
            <w:tcW w:w="18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100" w:type="dxa"/>
            <w:vAlign w:val="bottom"/>
            <w:tcBorders>
              <w:top w:val="single" w:sz="8" w:color="EEEEEE"/>
              <w:bottom w:val="single" w:sz="8" w:color="EEEEEE"/>
            </w:tcBorders>
            <w:shd w:val="clear" w:color="auto" w:fill="EEEEEE"/>
          </w:tcPr>
          <w:p>
            <w:pPr>
              <w:spacing w:after="0"/>
              <w:rPr>
                <w:sz w:val="19"/>
                <w:szCs w:val="19"/>
                <w:color w:val="auto"/>
              </w:rPr>
            </w:pPr>
          </w:p>
        </w:tc>
        <w:tc>
          <w:tcPr>
            <w:tcW w:w="50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2,313,545</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5,638,234</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2,071,179</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1,771,953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3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12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40" w:hanging="332"/>
        <w:spacing w:after="0" w:line="253" w:lineRule="auto"/>
        <w:tabs>
          <w:tab w:leader="none" w:pos="3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$213.6 million in 2022, $967.3 million in 2023, $302.1 million in 2024, $283.2 million in 2025, $165.3 million in 2026, $101.6 million in 2027, and $23.9 million in 2028.</w:t>
      </w:r>
    </w:p>
    <w:p>
      <w:pPr>
        <w:spacing w:after="0" w:line="186"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repossessed assets that are included in Other assets on our Unaudited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Debt issuance costs of $14.1 million and $12.0 million as of September 30, 2022 and December 31, 2021, respectively, have been excluded from the table above. These debt issuance costs are presented as a direct deduction to the carrying amount of the Securitization trust debt on our Consolidated Balance Sheets.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the securitization trust debt was sold in private placement transactions to qualified institutional buyers. The debt was issued through our wholly-owned bankruptcy remote subsidiaries and is secured by the assets of such subsidiaries, but not by our other assets.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the securitization agreements related to the issuance of the securitization trust debt and the warehouse credit facilities require that we meet certain delinquency and credit loss criteria with respect to the pool of receivables, and certain of the agreements require that we maintain minimum levels of liquidity and not exceed maximum leverage levels. As of September 30, 2022, we were in compliance with all such covenants.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responsible for the administration and collection of the automobile contracts. The securitization agreements also require certain funds be held in restricted cash accounts to provide additional collateral for the borrowings, to be applied to make payments on the securitization trust debt or as pre-funding proceeds from a term securitization prior to the purchase of additional collateral. As of September 30, 2022, restricted cash under the various agreements totaled approximately $159.8 million. Interest expense on the securitization trust debt consists of the stated rate of interest plus amortization of additional costs of borrowing. Additional costs of borrowing include facility fees, amortization of deferred financing costs and discounts on notes sold. Deferred financing costs and discounts on notes sold related to the securitization trust debt are amortized using a level yield method. Accordingly, the effective cost of the securitization trust debt is greater than the contractual rate of interest disclosed above.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wholly-owned bankruptcy remote subsidiaries were formed to facilitate the above asset-backed financing transactions. Similar bankruptcy remote subsidiaries issue the debt outstanding under our credit facilities.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other creditors.</w:t>
      </w:r>
    </w:p>
    <w:p>
      <w:pPr>
        <w:spacing w:after="0" w:line="179"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and amounts of our other debt outstanding at September 30, 2022 and December 31, 2021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Amount Outstanding at</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500" w:type="dxa"/>
            <w:vAlign w:val="bottom"/>
            <w:gridSpan w:val="2"/>
            <w:vMerge w:val="restart"/>
          </w:tcPr>
          <w:p>
            <w:pPr>
              <w:ind w:left="780"/>
              <w:spacing w:after="0"/>
              <w:rPr>
                <w:sz w:val="20"/>
                <w:szCs w:val="20"/>
                <w:color w:val="auto"/>
              </w:rPr>
            </w:pPr>
            <w:r>
              <w:rPr>
                <w:rFonts w:ascii="Times New Roman" w:cs="Times New Roman" w:eastAsia="Times New Roman" w:hAnsi="Times New Roman"/>
                <w:sz w:val="18"/>
                <w:szCs w:val="18"/>
                <w:color w:val="auto"/>
              </w:rPr>
              <w:t>Description</w:t>
            </w:r>
          </w:p>
        </w:tc>
        <w:tc>
          <w:tcPr>
            <w:tcW w:w="2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Interest Rate</w:t>
            </w:r>
          </w:p>
        </w:tc>
        <w:tc>
          <w:tcPr>
            <w:tcW w:w="3240" w:type="dxa"/>
            <w:vAlign w:val="bottom"/>
            <w:gridSpan w:val="3"/>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8"/>
              </w:rPr>
              <w:t>Maturity</w:t>
            </w:r>
          </w:p>
        </w:tc>
        <w:tc>
          <w:tcPr>
            <w:tcW w:w="244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500" w:type="dxa"/>
            <w:vAlign w:val="bottom"/>
            <w:gridSpan w:val="2"/>
            <w:vMerge w:val="continue"/>
          </w:tcPr>
          <w:p>
            <w:pPr>
              <w:spacing w:after="0"/>
              <w:rPr>
                <w:sz w:val="18"/>
                <w:szCs w:val="18"/>
                <w:color w:val="auto"/>
              </w:rPr>
            </w:pPr>
          </w:p>
        </w:tc>
        <w:tc>
          <w:tcPr>
            <w:tcW w:w="2940" w:type="dxa"/>
            <w:vAlign w:val="bottom"/>
            <w:gridSpan w:val="2"/>
            <w:vMerge w:val="continue"/>
          </w:tcPr>
          <w:p>
            <w:pPr>
              <w:spacing w:after="0"/>
              <w:rPr>
                <w:sz w:val="18"/>
                <w:szCs w:val="18"/>
                <w:color w:val="auto"/>
              </w:rPr>
            </w:pPr>
          </w:p>
        </w:tc>
        <w:tc>
          <w:tcPr>
            <w:tcW w:w="3240" w:type="dxa"/>
            <w:vAlign w:val="bottom"/>
            <w:gridSpan w:val="3"/>
            <w:vMerge w:val="continue"/>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0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Warehouse lines of credit</w:t>
            </w:r>
          </w:p>
        </w:tc>
        <w:tc>
          <w:tcPr>
            <w:tcW w:w="2940" w:type="dxa"/>
            <w:vAlign w:val="bottom"/>
            <w:gridSpan w:val="2"/>
            <w:shd w:val="clear" w:color="auto" w:fill="EEEEEE"/>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3.00% over one month Libor</w:t>
            </w:r>
          </w:p>
        </w:tc>
        <w:tc>
          <w:tcPr>
            <w:tcW w:w="3240" w:type="dxa"/>
            <w:vAlign w:val="bottom"/>
            <w:gridSpan w:val="3"/>
            <w:shd w:val="clear" w:color="auto" w:fill="EEEEEE"/>
          </w:tcPr>
          <w:p>
            <w:pPr>
              <w:jc w:val="center"/>
              <w:ind w:right="290"/>
              <w:spacing w:after="0" w:line="198" w:lineRule="exact"/>
              <w:rPr>
                <w:sz w:val="20"/>
                <w:szCs w:val="20"/>
                <w:color w:val="auto"/>
              </w:rPr>
            </w:pPr>
            <w:r>
              <w:rPr>
                <w:rFonts w:ascii="Times New Roman" w:cs="Times New Roman" w:eastAsia="Times New Roman" w:hAnsi="Times New Roman"/>
                <w:sz w:val="18"/>
                <w:szCs w:val="18"/>
                <w:color w:val="auto"/>
                <w:w w:val="99"/>
              </w:rPr>
              <w:t>July 2024</w:t>
            </w:r>
          </w:p>
        </w:tc>
        <w:tc>
          <w:tcPr>
            <w:tcW w:w="9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94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rPr>
              <w:t>(Minimum 3.75%)</w:t>
            </w:r>
          </w:p>
        </w:tc>
        <w:tc>
          <w:tcPr>
            <w:tcW w:w="3240" w:type="dxa"/>
            <w:vAlign w:val="bottom"/>
            <w:gridSpan w:val="3"/>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138,596</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70,590</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940" w:type="dxa"/>
            <w:vAlign w:val="bottom"/>
            <w:gridSpan w:val="2"/>
            <w:shd w:val="clear" w:color="auto" w:fill="EEEEEE"/>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4.15% over a commercial paper rate</w:t>
            </w:r>
          </w:p>
        </w:tc>
        <w:tc>
          <w:tcPr>
            <w:tcW w:w="3240" w:type="dxa"/>
            <w:vAlign w:val="bottom"/>
            <w:gridSpan w:val="3"/>
            <w:shd w:val="clear" w:color="auto" w:fill="EEEEEE"/>
          </w:tcPr>
          <w:p>
            <w:pPr>
              <w:jc w:val="center"/>
              <w:ind w:right="270"/>
              <w:spacing w:after="0" w:line="198" w:lineRule="exact"/>
              <w:rPr>
                <w:sz w:val="20"/>
                <w:szCs w:val="20"/>
                <w:color w:val="auto"/>
              </w:rPr>
            </w:pPr>
            <w:r>
              <w:rPr>
                <w:rFonts w:ascii="Times New Roman" w:cs="Times New Roman" w:eastAsia="Times New Roman" w:hAnsi="Times New Roman"/>
                <w:sz w:val="18"/>
                <w:szCs w:val="18"/>
                <w:color w:val="auto"/>
                <w:w w:val="99"/>
              </w:rPr>
              <w:t>January 2024</w:t>
            </w:r>
          </w:p>
        </w:tc>
        <w:tc>
          <w:tcPr>
            <w:tcW w:w="9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94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rPr>
              <w:t>(Minimum 5.15%)</w:t>
            </w:r>
          </w:p>
        </w:tc>
        <w:tc>
          <w:tcPr>
            <w:tcW w:w="28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106,891</w:t>
            </w:r>
          </w:p>
        </w:tc>
        <w:tc>
          <w:tcPr>
            <w:tcW w:w="10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35,420</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28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8.60%</w:t>
            </w:r>
          </w:p>
        </w:tc>
        <w:tc>
          <w:tcPr>
            <w:tcW w:w="100" w:type="dxa"/>
            <w:vAlign w:val="bottom"/>
            <w:shd w:val="clear" w:color="auto" w:fill="EEEEEE"/>
          </w:tcPr>
          <w:p>
            <w:pPr>
              <w:spacing w:after="0"/>
              <w:rPr>
                <w:sz w:val="18"/>
                <w:szCs w:val="18"/>
                <w:color w:val="auto"/>
              </w:rPr>
            </w:pPr>
          </w:p>
        </w:tc>
        <w:tc>
          <w:tcPr>
            <w:tcW w:w="3240" w:type="dxa"/>
            <w:vAlign w:val="bottom"/>
            <w:gridSpan w:val="3"/>
            <w:shd w:val="clear" w:color="auto" w:fill="EEEEEE"/>
          </w:tcPr>
          <w:p>
            <w:pPr>
              <w:jc w:val="center"/>
              <w:ind w:right="270"/>
              <w:spacing w:after="0"/>
              <w:rPr>
                <w:sz w:val="20"/>
                <w:szCs w:val="20"/>
                <w:color w:val="auto"/>
              </w:rPr>
            </w:pPr>
            <w:r>
              <w:rPr>
                <w:rFonts w:ascii="Times New Roman" w:cs="Times New Roman" w:eastAsia="Times New Roman" w:hAnsi="Times New Roman"/>
                <w:sz w:val="18"/>
                <w:szCs w:val="18"/>
                <w:color w:val="auto"/>
                <w:w w:val="99"/>
              </w:rPr>
              <w:t>January 2026</w:t>
            </w:r>
          </w:p>
        </w:tc>
        <w:tc>
          <w:tcPr>
            <w:tcW w:w="11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4,311</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28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7.86%</w:t>
            </w:r>
          </w:p>
        </w:tc>
        <w:tc>
          <w:tcPr>
            <w:tcW w:w="100" w:type="dxa"/>
            <w:vAlign w:val="bottom"/>
            <w:shd w:val="clear" w:color="auto" w:fill="EEEEEE"/>
          </w:tcPr>
          <w:p>
            <w:pPr>
              <w:spacing w:after="0"/>
              <w:rPr>
                <w:sz w:val="18"/>
                <w:szCs w:val="18"/>
                <w:color w:val="auto"/>
              </w:rPr>
            </w:pPr>
          </w:p>
        </w:tc>
        <w:tc>
          <w:tcPr>
            <w:tcW w:w="3240" w:type="dxa"/>
            <w:vAlign w:val="bottom"/>
            <w:gridSpan w:val="3"/>
            <w:shd w:val="clear" w:color="auto" w:fill="EEEEEE"/>
          </w:tcPr>
          <w:p>
            <w:pPr>
              <w:jc w:val="center"/>
              <w:ind w:right="290"/>
              <w:spacing w:after="0"/>
              <w:rPr>
                <w:sz w:val="20"/>
                <w:szCs w:val="20"/>
                <w:color w:val="auto"/>
              </w:rPr>
            </w:pPr>
            <w:r>
              <w:rPr>
                <w:rFonts w:ascii="Times New Roman" w:cs="Times New Roman" w:eastAsia="Times New Roman" w:hAnsi="Times New Roman"/>
                <w:sz w:val="18"/>
                <w:szCs w:val="18"/>
                <w:color w:val="auto"/>
              </w:rPr>
              <w:t>June 2026</w:t>
            </w:r>
          </w:p>
        </w:tc>
        <w:tc>
          <w:tcPr>
            <w:tcW w:w="11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0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Subordinated renewable notes</w:t>
            </w:r>
          </w:p>
        </w:tc>
        <w:tc>
          <w:tcPr>
            <w:tcW w:w="2940" w:type="dxa"/>
            <w:vAlign w:val="bottom"/>
            <w:gridSpan w:val="2"/>
            <w:shd w:val="clear" w:color="auto" w:fill="EEEEEE"/>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Weighted average rate of 7.67% and</w:t>
            </w:r>
          </w:p>
        </w:tc>
        <w:tc>
          <w:tcPr>
            <w:tcW w:w="3240" w:type="dxa"/>
            <w:vAlign w:val="bottom"/>
            <w:gridSpan w:val="3"/>
            <w:shd w:val="clear" w:color="auto" w:fill="EEEEEE"/>
          </w:tcPr>
          <w:p>
            <w:pPr>
              <w:jc w:val="center"/>
              <w:ind w:right="270"/>
              <w:spacing w:after="0" w:line="198" w:lineRule="exact"/>
              <w:rPr>
                <w:sz w:val="20"/>
                <w:szCs w:val="20"/>
                <w:color w:val="auto"/>
              </w:rPr>
            </w:pPr>
            <w:r>
              <w:rPr>
                <w:rFonts w:ascii="Times New Roman" w:cs="Times New Roman" w:eastAsia="Times New Roman" w:hAnsi="Times New Roman"/>
                <w:sz w:val="18"/>
                <w:szCs w:val="18"/>
                <w:color w:val="auto"/>
                <w:w w:val="99"/>
              </w:rPr>
              <w:t>Weighted average maturity of July</w:t>
            </w:r>
          </w:p>
        </w:tc>
        <w:tc>
          <w:tcPr>
            <w:tcW w:w="9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94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rPr>
              <w:t>8.93% at September 30, 2022 and</w:t>
            </w:r>
          </w:p>
        </w:tc>
        <w:tc>
          <w:tcPr>
            <w:tcW w:w="3240" w:type="dxa"/>
            <w:vAlign w:val="bottom"/>
            <w:gridSpan w:val="3"/>
            <w:shd w:val="clear" w:color="auto" w:fill="EEEEEE"/>
          </w:tcPr>
          <w:p>
            <w:pPr>
              <w:jc w:val="center"/>
              <w:ind w:right="290"/>
              <w:spacing w:after="0"/>
              <w:rPr>
                <w:sz w:val="20"/>
                <w:szCs w:val="20"/>
                <w:color w:val="auto"/>
              </w:rPr>
            </w:pPr>
            <w:r>
              <w:rPr>
                <w:rFonts w:ascii="Times New Roman" w:cs="Times New Roman" w:eastAsia="Times New Roman" w:hAnsi="Times New Roman"/>
                <w:sz w:val="18"/>
                <w:szCs w:val="18"/>
                <w:color w:val="auto"/>
                <w:w w:val="99"/>
              </w:rPr>
              <w:t>2024 and January 2024 at September</w:t>
            </w:r>
          </w:p>
        </w:tc>
        <w:tc>
          <w:tcPr>
            <w:tcW w:w="9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94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3240" w:type="dxa"/>
            <w:vAlign w:val="bottom"/>
            <w:gridSpan w:val="3"/>
            <w:shd w:val="clear" w:color="auto" w:fill="EEEEEE"/>
          </w:tcPr>
          <w:p>
            <w:pPr>
              <w:jc w:val="center"/>
              <w:ind w:right="270"/>
              <w:spacing w:after="0"/>
              <w:rPr>
                <w:sz w:val="20"/>
                <w:szCs w:val="20"/>
                <w:color w:val="auto"/>
              </w:rPr>
            </w:pPr>
            <w:r>
              <w:rPr>
                <w:rFonts w:ascii="Times New Roman" w:cs="Times New Roman" w:eastAsia="Times New Roman" w:hAnsi="Times New Roman"/>
                <w:sz w:val="18"/>
                <w:szCs w:val="18"/>
                <w:color w:val="auto"/>
                <w:w w:val="99"/>
              </w:rPr>
              <w:t>30, 2022 and December 31, 2021,</w:t>
            </w:r>
          </w:p>
        </w:tc>
        <w:tc>
          <w:tcPr>
            <w:tcW w:w="9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38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284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3240" w:type="dxa"/>
            <w:vAlign w:val="bottom"/>
            <w:gridSpan w:val="3"/>
            <w:shd w:val="clear" w:color="auto" w:fill="EEEEEE"/>
          </w:tcPr>
          <w:p>
            <w:pPr>
              <w:jc w:val="center"/>
              <w:ind w:right="290"/>
              <w:spacing w:after="0"/>
              <w:rPr>
                <w:sz w:val="20"/>
                <w:szCs w:val="20"/>
                <w:color w:val="auto"/>
              </w:rPr>
            </w:pPr>
            <w:r>
              <w:rPr>
                <w:rFonts w:ascii="Times New Roman" w:cs="Times New Roman" w:eastAsia="Times New Roman" w:hAnsi="Times New Roman"/>
                <w:sz w:val="18"/>
                <w:szCs w:val="18"/>
                <w:color w:val="auto"/>
                <w:w w:val="98"/>
              </w:rPr>
              <w:t>respectively</w:t>
            </w:r>
          </w:p>
        </w:tc>
        <w:tc>
          <w:tcPr>
            <w:tcW w:w="11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27,249</w:t>
            </w:r>
          </w:p>
        </w:tc>
        <w:tc>
          <w:tcPr>
            <w:tcW w:w="100" w:type="dxa"/>
            <w:vAlign w:val="bottom"/>
            <w:shd w:val="clear" w:color="auto" w:fill="EEEEEE"/>
          </w:tcPr>
          <w:p>
            <w:pPr>
              <w:spacing w:after="0"/>
              <w:rPr>
                <w:sz w:val="21"/>
                <w:szCs w:val="21"/>
                <w:color w:val="auto"/>
              </w:rPr>
            </w:pPr>
          </w:p>
        </w:tc>
        <w:tc>
          <w:tcPr>
            <w:tcW w:w="12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26,459</w:t>
            </w: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38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284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3240" w:type="dxa"/>
            <w:vAlign w:val="bottom"/>
            <w:gridSpan w:val="3"/>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322,736</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186,780</w:t>
            </w:r>
          </w:p>
        </w:tc>
        <w:tc>
          <w:tcPr>
            <w:tcW w:w="0" w:type="dxa"/>
            <w:vAlign w:val="bottom"/>
          </w:tcPr>
          <w:p>
            <w:pPr>
              <w:spacing w:after="0"/>
              <w:rPr>
                <w:sz w:val="1"/>
                <w:szCs w:val="1"/>
                <w:color w:val="auto"/>
              </w:rPr>
            </w:pPr>
          </w:p>
        </w:tc>
      </w:tr>
      <w:tr>
        <w:trPr>
          <w:trHeight w:val="20"/>
        </w:trPr>
        <w:tc>
          <w:tcPr>
            <w:tcW w:w="238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28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8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 2022, we renewed our two-year revolving credit agreement with Ares Agent Services, L.P. There was $106.9 million outstanding under this facility at September 30, 2022. On June 28, 2022, we increased the capacity of its credit agreement with Ares Agent Services, L.P. from $100 million to $200 million. The revolving period for this facility was extended to January 2024 followed by an amortization period through January 2028 for any receivables pledged at the end of the revolving period.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15, 2022, we renewed our two-year revolving credit agreement with Citibank, N.A., and doubled the capacity from $100 million to $200 million. There was $138.6 million outstanding under this facility at September 30, 2022. The revolving period for this facility was extended to July 2024 followed by an amortization period through July 2025 for any receivables pledged at the end of the revolving period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Unamortized debt issuance costs of $440,000 and $629,000 as of September 30, 2022 and December 31, 2021, respectively, have been excluded from the amount reported above for residual interest financing. Similarly, unamortized debt issuance costs of $3.0 million and $400,000 as of September 30, 2022 and December 31, 2021, respectively, have been excluded from the Warehouse lines of credit amounts in the table above. These debt issuance costs are presented as a direct deduction to the carrying amount of the debt on our Unaudited Condensed Consolidated Balance Sheets.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b w:val="1"/>
                <w:bCs w:val="1"/>
                <w:i w:val="1"/>
                <w:iCs w:val="1"/>
                <w:color w:val="auto"/>
              </w:rPr>
              <w:t>Interest Income and Interest Expense</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income:</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080" w:type="dxa"/>
            <w:vAlign w:val="bottom"/>
          </w:tcPr>
          <w:p>
            <w:pPr>
              <w:spacing w:after="0"/>
              <w:rPr>
                <w:sz w:val="24"/>
                <w:szCs w:val="24"/>
                <w:color w:val="auto"/>
              </w:rPr>
            </w:pPr>
          </w:p>
        </w:tc>
        <w:tc>
          <w:tcPr>
            <w:tcW w:w="316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24"/>
                <w:szCs w:val="24"/>
                <w:color w:val="auto"/>
              </w:rPr>
            </w:pPr>
          </w:p>
        </w:tc>
        <w:tc>
          <w:tcPr>
            <w:tcW w:w="27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on finance receivables</w:t>
            </w:r>
          </w:p>
        </w:tc>
        <w:tc>
          <w:tcPr>
            <w:tcW w:w="860" w:type="dxa"/>
            <w:vAlign w:val="bottom"/>
            <w:shd w:val="clear" w:color="auto" w:fill="EEEEEE"/>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7,620</w:t>
            </w:r>
          </w:p>
        </w:tc>
        <w:tc>
          <w:tcPr>
            <w:tcW w:w="58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16,062</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28,766</w:t>
            </w:r>
          </w:p>
        </w:tc>
        <w:tc>
          <w:tcPr>
            <w:tcW w:w="460" w:type="dxa"/>
            <w:vAlign w:val="bottom"/>
            <w:shd w:val="clear" w:color="auto" w:fill="EEEEEE"/>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56,652</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Interest on finance receivables at fair value</w:t>
            </w:r>
          </w:p>
        </w:tc>
        <w:tc>
          <w:tcPr>
            <w:tcW w:w="8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71,734</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50,951</w:t>
            </w: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196,204</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interest income</w:t>
            </w:r>
          </w:p>
        </w:tc>
        <w:tc>
          <w:tcPr>
            <w:tcW w:w="860" w:type="dxa"/>
            <w:vAlign w:val="bottom"/>
            <w:shd w:val="clear" w:color="auto" w:fill="EEEEEE"/>
          </w:tcPr>
          <w:p>
            <w:pPr>
              <w:spacing w:after="0"/>
              <w:rPr>
                <w:sz w:val="19"/>
                <w:szCs w:val="19"/>
                <w:color w:val="auto"/>
              </w:rPr>
            </w:pPr>
          </w:p>
        </w:tc>
        <w:tc>
          <w:tcPr>
            <w:tcW w:w="6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463</w:t>
            </w:r>
          </w:p>
        </w:tc>
        <w:tc>
          <w:tcPr>
            <w:tcW w:w="14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577</w:t>
            </w:r>
          </w:p>
        </w:tc>
        <w:tc>
          <w:tcPr>
            <w:tcW w:w="460" w:type="dxa"/>
            <w:vAlign w:val="bottom"/>
            <w:shd w:val="clear" w:color="auto" w:fill="EEEEEE"/>
          </w:tcPr>
          <w:p>
            <w:pPr>
              <w:spacing w:after="0"/>
              <w:rPr>
                <w:sz w:val="19"/>
                <w:szCs w:val="19"/>
                <w:color w:val="auto"/>
              </w:rPr>
            </w:pPr>
          </w:p>
        </w:tc>
        <w:tc>
          <w:tcPr>
            <w:tcW w:w="8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FFFFFF"/>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60" w:type="dxa"/>
            <w:vAlign w:val="bottom"/>
            <w:shd w:val="clear" w:color="auto" w:fill="EEEEEE"/>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w w:val="96"/>
              </w:rPr>
              <w:t>79,817</w:t>
            </w:r>
          </w:p>
        </w:tc>
        <w:tc>
          <w:tcPr>
            <w:tcW w:w="58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67,018</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225,547</w:t>
            </w:r>
          </w:p>
        </w:tc>
        <w:tc>
          <w:tcPr>
            <w:tcW w:w="460" w:type="dxa"/>
            <w:vAlign w:val="bottom"/>
            <w:shd w:val="clear" w:color="auto" w:fill="EEEEEE"/>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198,551</w:t>
            </w:r>
          </w:p>
        </w:tc>
        <w:tc>
          <w:tcPr>
            <w:tcW w:w="10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EEEEEE"/>
              <w:bottom w:val="single" w:sz="8" w:color="EEEEEE"/>
            </w:tcBorders>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expense:</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080" w:type="dxa"/>
            <w:vAlign w:val="bottom"/>
          </w:tcPr>
          <w:p>
            <w:pPr>
              <w:spacing w:after="0"/>
              <w:rPr>
                <w:sz w:val="24"/>
                <w:szCs w:val="24"/>
                <w:color w:val="auto"/>
              </w:rPr>
            </w:pPr>
          </w:p>
        </w:tc>
        <w:tc>
          <w:tcPr>
            <w:tcW w:w="316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24"/>
                <w:szCs w:val="24"/>
                <w:color w:val="auto"/>
              </w:rPr>
            </w:pPr>
          </w:p>
        </w:tc>
        <w:tc>
          <w:tcPr>
            <w:tcW w:w="27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860" w:type="dxa"/>
            <w:vAlign w:val="bottom"/>
            <w:shd w:val="clear" w:color="auto" w:fill="EEEEEE"/>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w w:val="96"/>
              </w:rPr>
              <w:t>18,519</w:t>
            </w:r>
          </w:p>
        </w:tc>
        <w:tc>
          <w:tcPr>
            <w:tcW w:w="58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15,292</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47,792</w:t>
            </w:r>
          </w:p>
        </w:tc>
        <w:tc>
          <w:tcPr>
            <w:tcW w:w="460" w:type="dxa"/>
            <w:vAlign w:val="bottom"/>
            <w:shd w:val="clear" w:color="auto" w:fill="EEEEEE"/>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50,568</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8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3,342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929</w:t>
            </w: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5,887</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86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1,050</w:t>
            </w: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1,413</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3,193</w:t>
            </w: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86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572</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3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1,782</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80" w:type="dxa"/>
            <w:vAlign w:val="bottom"/>
            <w:tcBorders>
              <w:top w:val="single" w:sz="8" w:color="EEEEEE"/>
            </w:tcBorders>
            <w:shd w:val="clear" w:color="auto" w:fill="EEEEEE"/>
          </w:tcPr>
          <w:p>
            <w:pPr>
              <w:spacing w:after="0"/>
              <w:rPr>
                <w:sz w:val="18"/>
                <w:szCs w:val="18"/>
                <w:color w:val="auto"/>
              </w:rPr>
            </w:pPr>
          </w:p>
        </w:tc>
        <w:tc>
          <w:tcPr>
            <w:tcW w:w="860" w:type="dxa"/>
            <w:vAlign w:val="bottom"/>
            <w:tcBorders>
              <w:top w:val="single" w:sz="8" w:color="auto"/>
            </w:tcBorders>
            <w:shd w:val="clear" w:color="auto" w:fill="EEEEEE"/>
          </w:tcPr>
          <w:p>
            <w:pPr>
              <w:spacing w:after="0"/>
              <w:rPr>
                <w:sz w:val="18"/>
                <w:szCs w:val="18"/>
                <w:color w:val="auto"/>
              </w:rPr>
            </w:pPr>
          </w:p>
        </w:tc>
        <w:tc>
          <w:tcPr>
            <w:tcW w:w="5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FFFFFF"/>
              </w:rPr>
              <w:t>$</w:t>
            </w:r>
          </w:p>
        </w:tc>
        <w:tc>
          <w:tcPr>
            <w:tcW w:w="1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46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23,483</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18,334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58,654</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58,260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Earnings per share for the three-month and nine-month periods ended September 30, 2022 and 2021 were calculated using the weighted average number of shares outstanding for the related period. The following table reconciles the number of shares used in the computations of basic and diluted earnings per share for the three-month and nine-month periods ended September 30, 2022 and 2021:</w:t>
      </w:r>
    </w:p>
    <w:p>
      <w:pPr>
        <w:sectPr>
          <w:pgSz w:w="11900" w:h="16838" w:orient="portrait"/>
          <w:cols w:equalWidth="0" w:num="1">
            <w:col w:w="11240"/>
          </w:cols>
          <w:pgMar w:left="320" w:top="7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80" w:hanging="179"/>
        <w:spacing w:after="0" w:line="282" w:lineRule="auto"/>
        <w:rPr>
          <w:sz w:val="20"/>
          <w:szCs w:val="20"/>
          <w:color w:val="auto"/>
        </w:rPr>
      </w:pPr>
      <w:r>
        <w:rPr>
          <w:rFonts w:ascii="Times New Roman" w:cs="Times New Roman" w:eastAsia="Times New Roman" w:hAnsi="Times New Roman"/>
          <w:sz w:val="18"/>
          <w:szCs w:val="18"/>
          <w:color w:val="auto"/>
        </w:rPr>
        <w:t>Weighted average number of common shares outstanding during the period used to compute basic earnings per share</w:t>
      </w:r>
    </w:p>
    <w:p>
      <w:pPr>
        <w:spacing w:after="0" w:line="175" w:lineRule="exact"/>
        <w:rPr>
          <w:sz w:val="20"/>
          <w:szCs w:val="20"/>
          <w:color w:val="auto"/>
        </w:rPr>
      </w:pPr>
    </w:p>
    <w:p>
      <w:pPr>
        <w:ind w:left="180" w:right="120" w:hanging="179"/>
        <w:spacing w:after="0" w:line="282" w:lineRule="auto"/>
        <w:rPr>
          <w:sz w:val="20"/>
          <w:szCs w:val="20"/>
          <w:color w:val="auto"/>
        </w:rPr>
      </w:pPr>
      <w:r>
        <w:rPr>
          <w:rFonts w:ascii="Times New Roman" w:cs="Times New Roman" w:eastAsia="Times New Roman" w:hAnsi="Times New Roman"/>
          <w:sz w:val="18"/>
          <w:szCs w:val="18"/>
          <w:color w:val="auto"/>
        </w:rPr>
        <w:t>Incremental common shares attributable to exercise of outstanding options and warrants</w:t>
      </w:r>
    </w:p>
    <w:p>
      <w:pPr>
        <w:spacing w:after="0" w:line="189" w:lineRule="exact"/>
        <w:rPr>
          <w:sz w:val="20"/>
          <w:szCs w:val="20"/>
          <w:color w:val="auto"/>
        </w:rPr>
      </w:pPr>
    </w:p>
    <w:p>
      <w:pPr>
        <w:ind w:left="180" w:right="440" w:hanging="179"/>
        <w:spacing w:after="0" w:line="282" w:lineRule="auto"/>
        <w:rPr>
          <w:sz w:val="20"/>
          <w:szCs w:val="20"/>
          <w:color w:val="auto"/>
        </w:rPr>
      </w:pPr>
      <w:r>
        <w:rPr>
          <w:rFonts w:ascii="Times New Roman" w:cs="Times New Roman" w:eastAsia="Times New Roman" w:hAnsi="Times New Roman"/>
          <w:sz w:val="18"/>
          <w:szCs w:val="18"/>
          <w:color w:val="auto"/>
        </w:rPr>
        <w:t>Weighted average number of common shares used to compute diluted earnings per share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16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9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206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80" w:type="dxa"/>
            <w:vAlign w:val="bottom"/>
            <w:tcBorders>
              <w:bottom w:val="single" w:sz="8" w:color="auto"/>
            </w:tcBorders>
          </w:tcPr>
          <w:p>
            <w:pPr>
              <w:spacing w:after="0"/>
              <w:rPr>
                <w:sz w:val="20"/>
                <w:szCs w:val="20"/>
                <w:color w:val="auto"/>
              </w:rPr>
            </w:pPr>
          </w:p>
        </w:tc>
      </w:tr>
      <w:tr>
        <w:trPr>
          <w:trHeight w:val="223"/>
        </w:trPr>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32"/>
        </w:trPr>
        <w:tc>
          <w:tcPr>
            <w:tcW w:w="206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880" w:type="dxa"/>
            <w:vAlign w:val="bottom"/>
          </w:tcPr>
          <w:p>
            <w:pPr>
              <w:spacing w:after="0"/>
              <w:rPr>
                <w:sz w:val="20"/>
                <w:szCs w:val="20"/>
                <w:color w:val="auto"/>
              </w:rPr>
            </w:pPr>
          </w:p>
        </w:tc>
      </w:tr>
      <w:tr>
        <w:trPr>
          <w:trHeight w:val="423"/>
        </w:trPr>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20,911</w:t>
            </w:r>
          </w:p>
        </w:tc>
        <w:tc>
          <w:tcPr>
            <w:tcW w:w="4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23,011</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21,166</w:t>
            </w: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22,866</w:t>
            </w:r>
          </w:p>
        </w:tc>
      </w:tr>
      <w:tr>
        <w:trPr>
          <w:trHeight w:val="661"/>
        </w:trPr>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5,743</w:t>
            </w:r>
          </w:p>
        </w:tc>
        <w:tc>
          <w:tcPr>
            <w:tcW w:w="4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3,207</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6,346</w:t>
            </w: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w:t>
            </w:r>
          </w:p>
        </w:tc>
      </w:tr>
      <w:tr>
        <w:trPr>
          <w:trHeight w:val="20"/>
        </w:trPr>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668"/>
        </w:trPr>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26,654</w:t>
            </w:r>
          </w:p>
        </w:tc>
        <w:tc>
          <w:tcPr>
            <w:tcW w:w="4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26,218</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27,512</w:t>
            </w: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25,439</w:t>
            </w:r>
          </w:p>
        </w:tc>
      </w:tr>
      <w:tr>
        <w:trPr>
          <w:trHeight w:val="20"/>
        </w:trPr>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-1165225</wp:posOffset>
            </wp:positionV>
            <wp:extent cx="7132320" cy="282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-744855</wp:posOffset>
            </wp:positionV>
            <wp:extent cx="7132320" cy="2825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-316230</wp:posOffset>
            </wp:positionV>
            <wp:extent cx="7132320" cy="3003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920" w:space="160"/>
            <w:col w:w="6160"/>
          </w:cols>
          <w:pgMar w:left="320" w:top="792" w:right="339" w:bottom="1440" w:gutter="0" w:footer="0" w:header="0"/>
          <w:type w:val="continuous"/>
        </w:sect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anti-dilutive effects of common stock equivalents were considered, shares included in the diluted earnings per share calculation for the three-month and nine-month periods ended September 30, 2022 would have included an additional 1.7 million and 1.0 million shares, respectively, attributable to the exercise of outstanding options and warrants. For the three-month and nine-month periods ended September 30, 2021, an additional 5.6 million and 5.8 million shares, respectively, would be included in the diluted earnings per share calculation.</w:t>
      </w:r>
    </w:p>
    <w:p>
      <w:pPr>
        <w:spacing w:after="0" w:line="176"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file numerous consolidated and separate income tax returns with the United States and with many states. With few exceptions, we are no longer subject to U.S. federal, state, or local examinations by tax authorities for years before 2015.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2022, and December 31, 2021, we had no unrecognized tax benefits for uncertain tax positions. We do not anticipate that total unrecognized tax benefits will significantly change due to any settlements of audits or expirations of statutes of limitations over the next 12 months.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 Although realization is not assured, we believe that the realization of the recognized net deferred tax asset of $14.6 million as of September 30, 2022 is more likely than not based on forecasted future net earnings. Our net deferred tax asset of $14.6 million consists of approximately $8.3 million of net U.S. federal deferred tax assets and $6.3 million of net state deferred tax assets.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expense was $8.9 million and $26.0 million for the three months and nine months ended September 30, 2022, representing effective income tax rates of 26% and 27%, respectively, compared to income tax expense of $5.9 million and $12.8 million for the three months and nine months ended September 30, 2021, and represents an effective income tax rates of 30% and 31% respectively.</w:t>
      </w:r>
    </w:p>
    <w:p>
      <w:pPr>
        <w:spacing w:after="0" w:line="172"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Legal Proceedings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Consumer Litigation. </w:t>
      </w:r>
      <w:r>
        <w:rPr>
          <w:rFonts w:ascii="Times New Roman" w:cs="Times New Roman" w:eastAsia="Times New Roman" w:hAnsi="Times New Roman"/>
          <w:sz w:val="18"/>
          <w:szCs w:val="18"/>
          <w:color w:val="auto"/>
        </w:rPr>
        <w:t>We are routinely involved in various legal proceedings resulting from our consumer finance activities and practices, both continuing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discontinued. Consumers can and do initiate lawsuits against us alleging violations of law applicable to collection of receivables, and such lawsuits sometimes allege that resolution as a class action is appropriate.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most part, we have legal and factual defenses to consumer claims, which we routinely contest or settle (for immaterial amounts) depending on the particular circumstances of each case. There are as of the date of this report two civil actions that could possibly result in a material liability, if resolved adversely and on a class basis, as the respective plaintiffs allege would be appropriate.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our filing of a complaint for a deficiency judgment in the Superior Court at Waterbury, Connecticut, the defendant filed a cross-claim alleging that our deficiency notices were not compliant with Connecticut law, and seeking relief on behalf of a class of Connecticut obligors whose vehicles we had repossessed. The defendant’s contract provided for resolution of disputes exclusively by arbitration, and exclusively on an individual basis, not a class basis. Nevertheless, in August 2021, the court denied our motion to compel arbitration, without opinion. In April 2022, a motion for certification of a class was filed but has not been ruled upon. It is reasonable to expect that resolution of these claims will be on a class basis.</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Wage and Hour Claim. </w:t>
      </w:r>
      <w:r>
        <w:rPr>
          <w:rFonts w:ascii="Times New Roman" w:cs="Times New Roman" w:eastAsia="Times New Roman" w:hAnsi="Times New Roman"/>
          <w:sz w:val="18"/>
          <w:szCs w:val="18"/>
          <w:color w:val="auto"/>
        </w:rPr>
        <w:t>On September 24, 2018, a former employee filed a lawsuit against us in the Superior Court of Orange County, California, alleging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we incorrectly classified our sales representatives as outside salespersons exempt from overtime wages, mandatory break periods and certain other employee protective provisions of California and federal law. The complaint seeks injunctive relief, an award of unpaid wages, liquidated damages, and attorney fees and interest. The plaintiff purports to act on behalf of a class of similarly situated employees and ex-employees. As of the date of this report, no motion for class certification has been filed or granted. We believe that our compensation practices with respect to our sales representatives are compliant with applicable law. Accordingly, we have defended and intend to continue to defend this lawsuit.</w:t>
      </w:r>
    </w:p>
    <w:p>
      <w:pPr>
        <w:spacing w:after="0" w:line="182"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Massachusetts Civil Investigative Demand</w:t>
      </w:r>
      <w:r>
        <w:rPr>
          <w:rFonts w:ascii="Times New Roman" w:cs="Times New Roman" w:eastAsia="Times New Roman" w:hAnsi="Times New Roman"/>
          <w:sz w:val="18"/>
          <w:szCs w:val="18"/>
          <w:color w:val="auto"/>
        </w:rPr>
        <w:t>. In September 2021, we received a civil investigative demand from the Office of the Attorney General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Commonwealth of Massachusetts relating to the Company’s communications with and repossession notices sent to Massachusetts customers. We are cooperating with the inquiry. At this time, it is not possible to determine any amount of loss that is probable and measurable.</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 General. </w:t>
      </w:r>
      <w:r>
        <w:rPr>
          <w:rFonts w:ascii="Times New Roman" w:cs="Times New Roman" w:eastAsia="Times New Roman" w:hAnsi="Times New Roman"/>
          <w:sz w:val="18"/>
          <w:szCs w:val="18"/>
          <w:color w:val="auto"/>
        </w:rPr>
        <w:t>There can be no assurance as to the outcomes of the matters described or referenced above. We record at each measurement date, most recently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September 30, 2022, our best estimate of probable incurred losses for legal contingencies, including the matters identified above, and consumer claims. The amount of losses that may ultimately be incurred cannot be estimated with certainty. However, based on such information as is available to us, we believe that the total of probable incurred losses for legal contingencies as of September 30, 2022 is $3.4 million, and that the range of reasonably possible losses for the legal proceedings and contingencies we face, including those described or identified above, as of September 30, 2022 does not exceed $11.3 million.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Accordingly, we believe that the ultimate resolution of such legal proceedings and contingencies should not have a material adverse effect on our consolidated financial condition. We note, however, that in light of the uncertainties inherent in contested proceedings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January 2018 we have elected to use the fair value method to value our portfolio of finance receivables acquired in January 2018 and thereafter.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valuation policies and procedures have been developed by our Accounting department in conjunction with our Risk department and with consultation with outside valuation experts. Our policies and procedures have been approved by our Chief Executive and our Board of Directors and include methodologies for valuation, internal reporting, calibration and back testing. Our periodic review of valuations includes an analysis of changes in fair value measurements and documentation of the reasons for such changes. There is little available third-party information such as broker quotes or pricing services available to assist us in our valuation process.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level 3, unobservable inputs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of finance receivable. </w:t>
      </w:r>
      <w:r>
        <w:rPr>
          <w:rFonts w:ascii="Times New Roman" w:cs="Times New Roman" w:eastAsia="Times New Roman" w:hAnsi="Times New Roman"/>
          <w:sz w:val="18"/>
          <w:szCs w:val="18"/>
          <w:color w:val="323232"/>
        </w:rPr>
        <w:t>Significant changes in any of those inputs in isolation would have a significant effect on our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23232"/>
        </w:rPr>
        <w:t>measurement.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quarter ended September 30, 2022, the Company evaluated the appropriate fair value and future earnings rate of existing receivables compared to recently acquired receivables and our assessment of potential additional future net losses on the portfolio of finance receivables carried at fair value and did not record a mark down to that portfolio.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a reconciliation of the finance receivables measured at fair value on a recurring basis using significant unobservable inputs: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60" w:type="dxa"/>
            <w:vAlign w:val="bottom"/>
            <w:gridSpan w:val="6"/>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19"/>
                <w:szCs w:val="19"/>
                <w:color w:val="auto"/>
              </w:rPr>
            </w:pPr>
          </w:p>
        </w:tc>
        <w:tc>
          <w:tcPr>
            <w:tcW w:w="2700" w:type="dxa"/>
            <w:vAlign w:val="bottom"/>
            <w:gridSpan w:val="7"/>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2,174,133</w:t>
            </w:r>
          </w:p>
        </w:tc>
        <w:tc>
          <w:tcPr>
            <w:tcW w:w="540" w:type="dxa"/>
            <w:vAlign w:val="bottom"/>
            <w:gridSpan w:val="2"/>
            <w:shd w:val="clear" w:color="auto" w:fill="EEEEEE"/>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1,582,175</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1,749,098</w:t>
            </w:r>
          </w:p>
        </w:tc>
        <w:tc>
          <w:tcPr>
            <w:tcW w:w="460" w:type="dxa"/>
            <w:vAlign w:val="bottom"/>
            <w:gridSpan w:val="2"/>
            <w:shd w:val="clear" w:color="auto" w:fill="EEEEEE"/>
          </w:tcPr>
          <w:p>
            <w:pPr>
              <w:jc w:val="right"/>
              <w:ind w:right="32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1,523,726</w:t>
            </w: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Finance receivables at fair value acquired during period</w:t>
            </w: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407,260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310,340</w:t>
            </w: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1,311,735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795,457</w:t>
            </w:r>
          </w:p>
        </w:tc>
        <w:tc>
          <w:tcPr>
            <w:tcW w:w="8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Payments received on finance receivables at fair value</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(209,627)</w:t>
            </w:r>
          </w:p>
        </w:tc>
        <w:tc>
          <w:tcPr>
            <w:tcW w:w="1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(191,458)</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(635,401)</w:t>
            </w: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(546,897)</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 accretion on fair value receivables</w:t>
            </w: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(36,696)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(33,864)</w:t>
            </w: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(97,462)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(100,676)</w:t>
            </w:r>
          </w:p>
        </w:tc>
      </w:tr>
      <w:tr>
        <w:trPr>
          <w:trHeight w:val="230"/>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Mark to fair value</w:t>
            </w:r>
          </w:p>
        </w:tc>
        <w:tc>
          <w:tcPr>
            <w:tcW w:w="30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8,183</w:t>
            </w:r>
          </w:p>
        </w:tc>
        <w:tc>
          <w:tcPr>
            <w:tcW w:w="10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15,283</w:t>
            </w:r>
          </w:p>
        </w:tc>
        <w:tc>
          <w:tcPr>
            <w:tcW w:w="2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98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(4,417)</w:t>
            </w: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2,343,253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1,667,193</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2,343,253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3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1,667,193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compares the fair values of these finance receivables to their contractual balances for the periods shown: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40" w:type="dxa"/>
            <w:vAlign w:val="bottom"/>
          </w:tcPr>
          <w:p>
            <w:pPr>
              <w:spacing w:after="0"/>
              <w:rPr>
                <w:sz w:val="20"/>
                <w:szCs w:val="20"/>
                <w:color w:val="auto"/>
              </w:rPr>
            </w:pPr>
          </w:p>
        </w:tc>
        <w:tc>
          <w:tcPr>
            <w:tcW w:w="286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01"/>
        </w:trPr>
        <w:tc>
          <w:tcPr>
            <w:tcW w:w="50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170"/>
              <w:spacing w:after="0" w:line="201" w:lineRule="exact"/>
              <w:rPr>
                <w:sz w:val="20"/>
                <w:szCs w:val="20"/>
                <w:color w:val="auto"/>
              </w:rPr>
            </w:pPr>
            <w:r>
              <w:rPr>
                <w:rFonts w:ascii="Times New Roman" w:cs="Times New Roman" w:eastAsia="Times New Roman" w:hAnsi="Times New Roman"/>
                <w:sz w:val="18"/>
                <w:szCs w:val="18"/>
                <w:b w:val="1"/>
                <w:bCs w:val="1"/>
                <w:color w:val="auto"/>
              </w:rPr>
              <w:t>Contractual</w:t>
            </w:r>
          </w:p>
        </w:tc>
        <w:tc>
          <w:tcPr>
            <w:tcW w:w="4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center"/>
              <w:ind w:right="170"/>
              <w:spacing w:after="0" w:line="201"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center"/>
              <w:ind w:right="150"/>
              <w:spacing w:after="0" w:line="201" w:lineRule="exact"/>
              <w:rPr>
                <w:sz w:val="20"/>
                <w:szCs w:val="20"/>
                <w:color w:val="auto"/>
              </w:rPr>
            </w:pPr>
            <w:r>
              <w:rPr>
                <w:rFonts w:ascii="Times New Roman" w:cs="Times New Roman" w:eastAsia="Times New Roman" w:hAnsi="Times New Roman"/>
                <w:sz w:val="18"/>
                <w:szCs w:val="18"/>
                <w:b w:val="1"/>
                <w:bCs w:val="1"/>
                <w:color w:val="auto"/>
              </w:rPr>
              <w:t>Contractual</w:t>
            </w:r>
          </w:p>
        </w:tc>
        <w:tc>
          <w:tcPr>
            <w:tcW w:w="3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190"/>
              <w:spacing w:after="0" w:line="201"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7"/>
                <w:szCs w:val="17"/>
                <w:color w:val="auto"/>
              </w:rPr>
            </w:pPr>
          </w:p>
        </w:tc>
      </w:tr>
      <w:tr>
        <w:trPr>
          <w:trHeight w:val="238"/>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400" w:type="dxa"/>
            <w:vAlign w:val="bottom"/>
          </w:tcPr>
          <w:p>
            <w:pPr>
              <w:spacing w:after="0"/>
              <w:rPr>
                <w:sz w:val="20"/>
                <w:szCs w:val="20"/>
                <w:color w:val="auto"/>
              </w:rPr>
            </w:pPr>
          </w:p>
        </w:tc>
        <w:tc>
          <w:tcPr>
            <w:tcW w:w="12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40" w:type="dxa"/>
            <w:vAlign w:val="bottom"/>
          </w:tcPr>
          <w:p>
            <w:pPr>
              <w:spacing w:after="0"/>
              <w:rPr>
                <w:sz w:val="20"/>
                <w:szCs w:val="20"/>
                <w:color w:val="auto"/>
              </w:rPr>
            </w:pPr>
          </w:p>
        </w:tc>
        <w:tc>
          <w:tcPr>
            <w:tcW w:w="13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38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32"/>
        </w:trPr>
        <w:tc>
          <w:tcPr>
            <w:tcW w:w="50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720" w:type="dxa"/>
            <w:vAlign w:val="bottom"/>
            <w:tcBorders>
              <w:top w:val="single" w:sz="8" w:color="auto"/>
            </w:tcBorders>
            <w:gridSpan w:val="4"/>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4"/>
        </w:trPr>
        <w:tc>
          <w:tcPr>
            <w:tcW w:w="5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measured at fair value</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2,567,372</w:t>
            </w:r>
          </w:p>
        </w:tc>
        <w:tc>
          <w:tcPr>
            <w:tcW w:w="40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2,343,253</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1,972,699</w:t>
            </w:r>
          </w:p>
        </w:tc>
        <w:tc>
          <w:tcPr>
            <w:tcW w:w="38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1,749,098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certain qualitative information about our level 3 fair value measurements: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gridSpan w:val="4"/>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Fair Values as of</w:t>
            </w: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Inputs as of</w:t>
            </w:r>
          </w:p>
        </w:tc>
        <w:tc>
          <w:tcPr>
            <w:tcW w:w="0" w:type="dxa"/>
            <w:vAlign w:val="bottom"/>
          </w:tcPr>
          <w:p>
            <w:pPr>
              <w:spacing w:after="0"/>
              <w:rPr>
                <w:sz w:val="1"/>
                <w:szCs w:val="1"/>
                <w:color w:val="auto"/>
              </w:rPr>
            </w:pPr>
          </w:p>
        </w:tc>
      </w:tr>
      <w:tr>
        <w:trPr>
          <w:trHeight w:val="201"/>
        </w:trPr>
        <w:tc>
          <w:tcPr>
            <w:tcW w:w="3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top w:val="single" w:sz="8" w:color="auto"/>
            </w:tcBorders>
            <w:gridSpan w:val="2"/>
          </w:tcPr>
          <w:p>
            <w:pPr>
              <w:jc w:val="center"/>
              <w:ind w:right="30"/>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1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2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top w:val="single" w:sz="8" w:color="auto"/>
            </w:tcBorders>
            <w:gridSpan w:val="2"/>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tcBorders>
              <w:top w:val="single" w:sz="8" w:color="auto"/>
            </w:tcBorders>
          </w:tcPr>
          <w:p>
            <w:pPr>
              <w:ind w:left="8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2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Unobservable Inputs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32"/>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440" w:type="dxa"/>
            <w:vAlign w:val="bottom"/>
            <w:tcBorders>
              <w:top w:val="single" w:sz="8" w:color="auto"/>
            </w:tcBorders>
            <w:gridSpan w:val="3"/>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20"/>
                <w:szCs w:val="20"/>
                <w:color w:val="auto"/>
              </w:rPr>
            </w:pPr>
          </w:p>
        </w:tc>
        <w:tc>
          <w:tcPr>
            <w:tcW w:w="2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measured at fair value</w:t>
            </w:r>
          </w:p>
        </w:tc>
        <w:tc>
          <w:tcPr>
            <w:tcW w:w="400" w:type="dxa"/>
            <w:vAlign w:val="bottom"/>
            <w:gridSpan w:val="2"/>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2,343,253</w:t>
            </w:r>
          </w:p>
        </w:tc>
        <w:tc>
          <w:tcPr>
            <w:tcW w:w="2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1,749,098</w:t>
            </w:r>
          </w:p>
        </w:tc>
        <w:tc>
          <w:tcPr>
            <w:tcW w:w="22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2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8.9% - 11.3%</w:t>
            </w: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8.9% - 11.3%</w:t>
            </w: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Cumulative net losses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 - 18.4%</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 - 18.4%</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delinquency status of these finance receivables measured at fair value as of September 30, 2022 and December 31,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9"/>
                <w:szCs w:val="19"/>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2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20" w:type="dxa"/>
            <w:vAlign w:val="bottom"/>
            <w:gridSpan w:val="4"/>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45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Delinquency Status</w:t>
            </w:r>
          </w:p>
        </w:tc>
        <w:tc>
          <w:tcPr>
            <w:tcW w:w="3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2,306,615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1,787,641</w:t>
            </w:r>
          </w:p>
        </w:tc>
      </w:tr>
      <w:tr>
        <w:trPr>
          <w:trHeight w:val="216"/>
        </w:trPr>
        <w:tc>
          <w:tcPr>
            <w:tcW w:w="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31</w:t>
            </w:r>
          </w:p>
        </w:tc>
        <w:tc>
          <w:tcPr>
            <w:tcW w:w="432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- 60 days</w:t>
            </w:r>
          </w:p>
        </w:tc>
        <w:tc>
          <w:tcPr>
            <w:tcW w:w="3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152,622</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115,924</w:t>
            </w:r>
          </w:p>
        </w:tc>
      </w:t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61</w:t>
            </w: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- 90 day</w:t>
            </w:r>
          </w:p>
        </w:tc>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57,888</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38,999</w:t>
            </w:r>
          </w:p>
        </w:tc>
      </w:tr>
      <w:tr>
        <w:trPr>
          <w:trHeight w:val="216"/>
        </w:trPr>
        <w:tc>
          <w:tcPr>
            <w:tcW w:w="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91</w:t>
            </w:r>
          </w:p>
        </w:tc>
        <w:tc>
          <w:tcPr>
            <w:tcW w:w="432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 days</w:t>
            </w:r>
          </w:p>
        </w:tc>
        <w:tc>
          <w:tcPr>
            <w:tcW w:w="3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22,018</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11,564</w:t>
            </w:r>
          </w:p>
        </w:tc>
      </w:tr>
      <w:tr>
        <w:trPr>
          <w:trHeight w:val="230"/>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w:t>
            </w:r>
          </w:p>
        </w:tc>
        <w:tc>
          <w:tcPr>
            <w:tcW w:w="3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28,229</w:t>
            </w: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18,571</w:t>
            </w:r>
          </w:p>
        </w:tc>
      </w:tr>
      <w:tr>
        <w:trPr>
          <w:trHeight w:val="223"/>
        </w:trPr>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4320" w:type="dxa"/>
            <w:vAlign w:val="bottom"/>
            <w:tcBorders>
              <w:top w:val="single" w:sz="8" w:color="EEEEEE"/>
              <w:bottom w:val="single" w:sz="8" w:color="EEEEEE"/>
            </w:tcBorders>
            <w:shd w:val="clear" w:color="auto" w:fill="EEEEEE"/>
          </w:tcPr>
          <w:p>
            <w:pPr>
              <w:spacing w:after="0"/>
              <w:rPr>
                <w:sz w:val="19"/>
                <w:szCs w:val="19"/>
                <w:color w:val="auto"/>
              </w:rPr>
            </w:pPr>
          </w:p>
        </w:tc>
        <w:tc>
          <w:tcPr>
            <w:tcW w:w="31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2,567,372</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1,972,699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Repossessed vehicle inventory, which is included in Other assets on our unaudited condensed consolidated balance sheet, is measured at fair value using level 2 assumptions based on our actual loss experience on sale of repossessed vehicles. At September 30, 2022 the finance receivables related to the repossessed vehicles in inventory totaled $2.3 million. We have applied a valuation adjustment, or loss allowance, of $1.5 million, which is based on a recovery rate of approximately 34%, resulting in an estimated fair value and carrying amount of $776,000. The fair value and carrying amount of the repossessed inventory at December 31, 2021 was $2.4 million after applying a valuation adjustment of $1.9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in or out of level 1, level 2 or level 3 assets and liabilities for the three months ended September 30, 2022 and 2021.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values of financial assets and liabilities at September 30, 2022 and December 31, 2021,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7"/>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As of September 30, 2022</w:t>
            </w: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88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40" w:type="dxa"/>
            <w:vAlign w:val="bottom"/>
            <w:tcBorders>
              <w:top w:val="single" w:sz="8" w:color="auto"/>
            </w:tcBorders>
          </w:tcPr>
          <w:p>
            <w:pPr>
              <w:spacing w:after="0"/>
              <w:rPr>
                <w:sz w:val="21"/>
                <w:szCs w:val="21"/>
                <w:color w:val="auto"/>
              </w:rPr>
            </w:pPr>
          </w:p>
        </w:tc>
        <w:tc>
          <w:tcPr>
            <w:tcW w:w="1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7"/>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Fair Value Measurements Using:</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40" w:type="dxa"/>
            <w:vAlign w:val="bottom"/>
          </w:tcPr>
          <w:p>
            <w:pPr>
              <w:spacing w:after="0"/>
              <w:rPr>
                <w:sz w:val="19"/>
                <w:szCs w:val="19"/>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9"/>
                <w:szCs w:val="19"/>
                <w:color w:val="auto"/>
              </w:rPr>
            </w:pP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880" w:type="dxa"/>
            <w:vAlign w:val="bottom"/>
            <w:tcBorders>
              <w:top w:val="single" w:sz="8" w:color="EEEEEE"/>
            </w:tcBorders>
            <w:gridSpan w:val="2"/>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spacing w:after="0"/>
              <w:rPr>
                <w:sz w:val="18"/>
                <w:szCs w:val="18"/>
                <w:color w:val="auto"/>
              </w:rPr>
            </w:pPr>
          </w:p>
        </w:tc>
        <w:tc>
          <w:tcPr>
            <w:tcW w:w="26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12,944</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12,944</w:t>
            </w:r>
          </w:p>
        </w:tc>
        <w:tc>
          <w:tcPr>
            <w:tcW w:w="132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12,944</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159,762</w:t>
            </w: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159,762</w:t>
            </w: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159,762</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receivables, net</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89,690</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79,700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79,700</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776</w:t>
            </w: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8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242,449</w:t>
            </w:r>
          </w:p>
        </w:tc>
        <w:tc>
          <w:tcPr>
            <w:tcW w:w="240" w:type="dxa"/>
            <w:vAlign w:val="bottom"/>
            <w:shd w:val="clear" w:color="auto" w:fill="EEEEEE"/>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EEEEEE"/>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242,449</w:t>
            </w:r>
          </w:p>
        </w:tc>
        <w:tc>
          <w:tcPr>
            <w:tcW w:w="4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242,449</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49,560</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49,560</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5,063</w:t>
            </w: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5,063</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5,063</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2,057,100</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1,969,599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1,969,599</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27,249</w:t>
            </w: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27,249</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27,249</w:t>
            </w:r>
          </w:p>
        </w:tc>
        <w:tc>
          <w:tcPr>
            <w:tcW w:w="0" w:type="dxa"/>
            <w:vAlign w:val="bottom"/>
          </w:tcPr>
          <w:p>
            <w:pPr>
              <w:spacing w:after="0"/>
              <w:rPr>
                <w:sz w:val="1"/>
                <w:szCs w:val="1"/>
                <w:color w:val="auto"/>
              </w:rPr>
            </w:pPr>
          </w:p>
        </w:tc>
      </w:tr>
      <w:tr>
        <w:trPr>
          <w:trHeight w:val="688"/>
        </w:trPr>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7"/>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As of December 31, 2021</w:t>
            </w: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8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40" w:type="dxa"/>
            <w:vAlign w:val="bottom"/>
            <w:tcBorders>
              <w:top w:val="single" w:sz="8" w:color="auto"/>
            </w:tcBorders>
          </w:tcPr>
          <w:p>
            <w:pPr>
              <w:spacing w:after="0"/>
              <w:rPr>
                <w:sz w:val="21"/>
                <w:szCs w:val="21"/>
                <w:color w:val="auto"/>
              </w:rPr>
            </w:pPr>
          </w:p>
        </w:tc>
        <w:tc>
          <w:tcPr>
            <w:tcW w:w="1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7"/>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Fair Value Measurements Using:</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40" w:type="dxa"/>
            <w:vAlign w:val="bottom"/>
          </w:tcPr>
          <w:p>
            <w:pPr>
              <w:spacing w:after="0"/>
              <w:rPr>
                <w:sz w:val="19"/>
                <w:szCs w:val="19"/>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9"/>
                <w:szCs w:val="19"/>
                <w:color w:val="auto"/>
              </w:rPr>
            </w:pP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880" w:type="dxa"/>
            <w:vAlign w:val="bottom"/>
            <w:tcBorders>
              <w:top w:val="single" w:sz="8" w:color="EEEEEE"/>
            </w:tcBorders>
            <w:gridSpan w:val="2"/>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spacing w:after="0"/>
              <w:rPr>
                <w:sz w:val="18"/>
                <w:szCs w:val="18"/>
                <w:color w:val="auto"/>
              </w:rPr>
            </w:pPr>
          </w:p>
        </w:tc>
        <w:tc>
          <w:tcPr>
            <w:tcW w:w="26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29,928</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29,928</w:t>
            </w:r>
          </w:p>
        </w:tc>
        <w:tc>
          <w:tcPr>
            <w:tcW w:w="132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29,928</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146,620</w:t>
            </w: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146,620</w:t>
            </w: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146,620</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receivables, net</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176,184</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178,795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178,795</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2,269</w:t>
            </w: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2,269</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2,269</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8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105,610</w:t>
            </w:r>
          </w:p>
        </w:tc>
        <w:tc>
          <w:tcPr>
            <w:tcW w:w="240" w:type="dxa"/>
            <w:vAlign w:val="bottom"/>
            <w:shd w:val="clear" w:color="auto" w:fill="EEEEEE"/>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EEEEEE"/>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105,610</w:t>
            </w:r>
          </w:p>
        </w:tc>
        <w:tc>
          <w:tcPr>
            <w:tcW w:w="4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105,610</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53,682</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53,682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53,682</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3,568</w:t>
            </w: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3,568</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3,568</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1,759,972</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1,740,901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1,740,901</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26,459</w:t>
            </w: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gridSpan w:val="2"/>
            <w:shd w:val="clear" w:color="auto" w:fill="EEEEE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26,459</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26,459</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Subsequent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3, 2022 we executed our third securitization of 2022. In the transaction, qualified institutional buyers purchased $391.6 million of asset-backed notes secured by $440.0 million in automobile receivables originated by CPS. The sold notes, issued by CPS Auto Receivables Trust 2022-C, consist of five classes. Ratings of the notes were provided by Standard &amp; Poor’s and DBRS Morningstar, and were based on the structure of the transaction, the historical performance of similar receivables and CPS’s experience as a servicer. The weighted average yield on the notes is approximately 6.02%.</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2022-C transaction has initial credit enhancement consisting of a cash deposit equal to 1.00% of the original receivable pool balance and overcollateralization of 11.00%. The transaction agreements require accelerated payment of principal on the notes to reach overcollateralization of the lesser of 13.00% of the original receivable pool balance, or 31.50% of the then outstanding pool balance. The transaction utilizes a pre-funding structure, in which CPS sold approximately $368.0 million of receivables at inception and plans to sell approximately $72.0 million of additional receivables in August 2022. The transaction was a private offering of securities, not registered under the Securities Act of 1933, or any state securities law.</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w:t>
      </w:r>
      <w:r>
        <w:rPr>
          <w:rFonts w:ascii="Times New Roman" w:cs="Times New Roman" w:eastAsia="Times New Roman" w:hAnsi="Times New Roman"/>
          <w:sz w:val="18"/>
          <w:szCs w:val="18"/>
          <w:b w:val="1"/>
          <w:bCs w:val="1"/>
          <w:i w:val="1"/>
          <w:iCs w:val="1"/>
          <w:color w:val="auto"/>
        </w:rPr>
        <w:t>.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also originate vehicle purchase money loans by lending directly to consumers and have (i) acquired installment purchase contracts in four merger and acquisition transactions, and (ii) purchased immaterial amounts of vehicle purchase money loans from non-affiliated lenders. In this report, we refer to all of such contracts and loans as "automobile contracts."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incorporated and began our operations in March 1991. From inception through September 30, 2022, we have originated a total of approximately $19.6 billion of automobile contracts, primarily by purchasing retail installment sales contracts from dealers, and to a lesser degree, by originating loans secured by automobiles directly with consumers. In addition, we acquired a total of approximately $822.3 million of automobile contracts in mergers and acquisitions in 2002, 2003, 2004 and 2011. Recent contract purchase volumes and managed portfolio levels are shown in the table below:</w:t>
      </w:r>
    </w:p>
    <w:p>
      <w:pPr>
        <w:spacing w:after="0" w:line="176" w:lineRule="exact"/>
        <w:rPr>
          <w:sz w:val="20"/>
          <w:szCs w:val="20"/>
          <w:color w:val="auto"/>
        </w:rPr>
      </w:pPr>
    </w:p>
    <w:tbl>
      <w:tblPr>
        <w:tblLayout w:type="fixed"/>
        <w:tblInd w:w="1540" w:type="dxa"/>
        <w:tblCellMar>
          <w:top w:w="0" w:type="dxa"/>
          <w:left w:w="0" w:type="dxa"/>
          <w:bottom w:w="0" w:type="dxa"/>
          <w:right w:w="0" w:type="dxa"/>
        </w:tblCellMar>
      </w:tblPr>
      <w:tr>
        <w:trPr>
          <w:trHeight w:val="229"/>
        </w:trPr>
        <w:tc>
          <w:tcPr>
            <w:tcW w:w="6720" w:type="dxa"/>
            <w:vAlign w:val="bottom"/>
            <w:gridSpan w:val="4"/>
          </w:tcPr>
          <w:p>
            <w:pPr>
              <w:ind w:left="1920"/>
              <w:spacing w:after="0"/>
              <w:rPr>
                <w:sz w:val="20"/>
                <w:szCs w:val="20"/>
                <w:color w:val="auto"/>
              </w:rPr>
            </w:pPr>
            <w:r>
              <w:rPr>
                <w:rFonts w:ascii="Times New Roman" w:cs="Times New Roman" w:eastAsia="Times New Roman" w:hAnsi="Times New Roman"/>
                <w:sz w:val="18"/>
                <w:szCs w:val="18"/>
                <w:b w:val="1"/>
                <w:bCs w:val="1"/>
                <w:color w:val="auto"/>
              </w:rPr>
              <w:t>Contract Purchases and Outstanding Managed Portfolio</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8"/>
        </w:trPr>
        <w:tc>
          <w:tcPr>
            <w:tcW w:w="5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gridSpan w:val="4"/>
          </w:tcPr>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 in thousands</w:t>
            </w:r>
          </w:p>
        </w:tc>
      </w:tr>
      <w:tr>
        <w:trPr>
          <w:trHeight w:val="187"/>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top w:val="single" w:sz="8" w:color="auto"/>
            </w:tcBorders>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Contracts</w:t>
            </w:r>
          </w:p>
        </w:tc>
        <w:tc>
          <w:tcPr>
            <w:tcW w:w="13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Managed</w:t>
            </w:r>
          </w:p>
        </w:tc>
        <w:tc>
          <w:tcPr>
            <w:tcW w:w="120" w:type="dxa"/>
            <w:vAlign w:val="bottom"/>
          </w:tcPr>
          <w:p>
            <w:pPr>
              <w:spacing w:after="0"/>
              <w:rPr>
                <w:sz w:val="16"/>
                <w:szCs w:val="16"/>
                <w:color w:val="auto"/>
              </w:rPr>
            </w:pPr>
          </w:p>
        </w:tc>
      </w:tr>
      <w:tr>
        <w:trPr>
          <w:trHeight w:val="216"/>
        </w:trPr>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Purchased in</w:t>
            </w: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Portfolio at</w:t>
            </w:r>
          </w:p>
        </w:tc>
      </w:tr>
      <w:tr>
        <w:trPr>
          <w:trHeight w:val="238"/>
        </w:trPr>
        <w:tc>
          <w:tcPr>
            <w:tcW w:w="5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Period End</w:t>
            </w:r>
          </w:p>
        </w:tc>
      </w:tr>
      <w:tr>
        <w:trPr>
          <w:trHeight w:val="210"/>
        </w:trPr>
        <w:tc>
          <w:tcPr>
            <w:tcW w:w="506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2016</w:t>
            </w:r>
          </w:p>
        </w:tc>
        <w:tc>
          <w:tcPr>
            <w:tcW w:w="10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1,088,785</w:t>
            </w:r>
          </w:p>
        </w:tc>
        <w:tc>
          <w:tcPr>
            <w:tcW w:w="2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2,308,070</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2017</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859,069</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2,333,530</w:t>
            </w:r>
          </w:p>
        </w:tc>
        <w:tc>
          <w:tcPr>
            <w:tcW w:w="120" w:type="dxa"/>
            <w:vAlign w:val="bottom"/>
          </w:tcPr>
          <w:p>
            <w:pPr>
              <w:spacing w:after="0"/>
              <w:rPr>
                <w:sz w:val="18"/>
                <w:szCs w:val="18"/>
                <w:color w:val="auto"/>
              </w:rPr>
            </w:pPr>
          </w:p>
        </w:tc>
      </w:tr>
      <w:tr>
        <w:trPr>
          <w:trHeight w:val="216"/>
        </w:trPr>
        <w:tc>
          <w:tcPr>
            <w:tcW w:w="50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2018</w:t>
            </w:r>
          </w:p>
        </w:tc>
        <w:tc>
          <w:tcPr>
            <w:tcW w:w="10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902,416</w:t>
            </w:r>
          </w:p>
        </w:tc>
        <w:tc>
          <w:tcPr>
            <w:tcW w:w="22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2,380,847</w:t>
            </w:r>
          </w:p>
        </w:tc>
        <w:tc>
          <w:tcPr>
            <w:tcW w:w="120" w:type="dxa"/>
            <w:vAlign w:val="bottom"/>
            <w:shd w:val="clear" w:color="auto" w:fill="EEEEEE"/>
          </w:tcPr>
          <w:p>
            <w:pPr>
              <w:spacing w:after="0"/>
              <w:rPr>
                <w:sz w:val="18"/>
                <w:szCs w:val="18"/>
                <w:color w:val="auto"/>
              </w:rPr>
            </w:pPr>
          </w:p>
        </w:tc>
      </w:tr>
      <w:tr>
        <w:trPr>
          <w:trHeight w:val="216"/>
        </w:trPr>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2019</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1,002,782</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2,416,042</w:t>
            </w:r>
          </w:p>
        </w:tc>
        <w:tc>
          <w:tcPr>
            <w:tcW w:w="120" w:type="dxa"/>
            <w:vAlign w:val="bottom"/>
          </w:tcPr>
          <w:p>
            <w:pPr>
              <w:spacing w:after="0"/>
              <w:rPr>
                <w:sz w:val="18"/>
                <w:szCs w:val="18"/>
                <w:color w:val="auto"/>
              </w:rPr>
            </w:pPr>
          </w:p>
        </w:tc>
      </w:tr>
      <w:tr>
        <w:trPr>
          <w:trHeight w:val="216"/>
        </w:trPr>
        <w:tc>
          <w:tcPr>
            <w:tcW w:w="50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2020</w:t>
            </w:r>
          </w:p>
        </w:tc>
        <w:tc>
          <w:tcPr>
            <w:tcW w:w="10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742,584</w:t>
            </w:r>
          </w:p>
        </w:tc>
        <w:tc>
          <w:tcPr>
            <w:tcW w:w="22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2,174,972</w:t>
            </w:r>
          </w:p>
        </w:tc>
        <w:tc>
          <w:tcPr>
            <w:tcW w:w="120" w:type="dxa"/>
            <w:vAlign w:val="bottom"/>
            <w:shd w:val="clear" w:color="auto" w:fill="EEEEEE"/>
          </w:tcPr>
          <w:p>
            <w:pPr>
              <w:spacing w:after="0"/>
              <w:rPr>
                <w:sz w:val="18"/>
                <w:szCs w:val="18"/>
                <w:color w:val="auto"/>
              </w:rPr>
            </w:pPr>
          </w:p>
        </w:tc>
      </w:tr>
      <w:tr>
        <w:trPr>
          <w:trHeight w:val="216"/>
        </w:trPr>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2021</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1,146,321</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2,249,069</w:t>
            </w:r>
          </w:p>
        </w:tc>
        <w:tc>
          <w:tcPr>
            <w:tcW w:w="120" w:type="dxa"/>
            <w:vAlign w:val="bottom"/>
          </w:tcPr>
          <w:p>
            <w:pPr>
              <w:spacing w:after="0"/>
              <w:rPr>
                <w:sz w:val="18"/>
                <w:szCs w:val="18"/>
                <w:color w:val="auto"/>
              </w:rPr>
            </w:pPr>
          </w:p>
        </w:tc>
      </w:tr>
      <w:tr>
        <w:trPr>
          <w:trHeight w:val="216"/>
        </w:trPr>
        <w:tc>
          <w:tcPr>
            <w:tcW w:w="5160" w:type="dxa"/>
            <w:vAlign w:val="bottom"/>
            <w:gridSpan w:val="2"/>
            <w:shd w:val="clear" w:color="auto" w:fill="EEEEEE"/>
          </w:tcPr>
          <w:p>
            <w:pPr>
              <w:jc w:val="center"/>
              <w:ind w:right="120"/>
              <w:spacing w:after="0"/>
              <w:rPr>
                <w:sz w:val="20"/>
                <w:szCs w:val="20"/>
                <w:color w:val="auto"/>
              </w:rPr>
            </w:pPr>
            <w:r>
              <w:rPr>
                <w:rFonts w:ascii="Times New Roman" w:cs="Times New Roman" w:eastAsia="Times New Roman" w:hAnsi="Times New Roman"/>
                <w:sz w:val="18"/>
                <w:szCs w:val="18"/>
                <w:color w:val="auto"/>
                <w:w w:val="99"/>
              </w:rPr>
              <w:t>Nine months ended September 30, 2022</w:t>
            </w:r>
          </w:p>
        </w:tc>
        <w:tc>
          <w:tcPr>
            <w:tcW w:w="1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1,426,302</w:t>
            </w:r>
          </w:p>
        </w:tc>
        <w:tc>
          <w:tcPr>
            <w:tcW w:w="22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2,838,858</w:t>
            </w:r>
          </w:p>
        </w:tc>
        <w:tc>
          <w:tcPr>
            <w:tcW w:w="120" w:type="dxa"/>
            <w:vAlign w:val="bottom"/>
            <w:shd w:val="clear" w:color="auto" w:fill="EEEEEE"/>
          </w:tcPr>
          <w:p>
            <w:pPr>
              <w:spacing w:after="0"/>
              <w:rPr>
                <w:sz w:val="18"/>
                <w:szCs w:val="18"/>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2021 we began purchasing some contracts for immediate sale to a third-party to whom we refer applications that don’t meet our lending criteria. We service all such contracts on behalf of the third-party. We earn fees for originating the receivable and also servicing fees on active accounts in the third-party portfolio. For the nine months ended September 30, 2022, we originated $126.8 million under this third-party program. As of September 30, 2022, our managed portfolio includes $151.5 million of such third-party receivables.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in Las Vegas, Nevada. Most of our operational and administrative functions take place in Irvine, California. Credit and underwriting functions are performed primarily in that California branch with certain of these functions also performed in our Florida and Nevada branches. We service our automobile contracts from our California, Nevada, Virginia, Florida and Illinois branches.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programs we offer to dealers and consumers are intended to serve a wide range of sub-prime customers, primarily through franchised new car dealers. We originate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Securitization and Warehouse Credit Facilities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 All of our active securitizations are structured as secured financings.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and (ii) recognize interest expense on the securities issued in the transaction. For automobile contracts acquired after 2017 we take account of estimated credit losses in our computation of a level yield used to determine recognition of interest on the contracts. For contracts acquired before 2018, we adopted CECL on January 1, 2020 and we may, as circumstances warrant, record as expense provisions for credit losses.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Since 1994 we have conducted 94 term securitizations of automobile contracts that we originated. As of September 30, 2022, 19 of those securitizations are active and all are structured as secured financings. Since September 2010 we have utilized senior subordinated structures without any financial guarantees. We have generally conducted our securitizations on a quarterly basis, near the end of each calendar quarter, resulting in four securitizations per calendar year. However, in 2020, we closed only three term securitization transactions in that calendar year rather than four. Our recent history of term securitizations is summarized in the table below:</w:t>
      </w:r>
    </w:p>
    <w:p>
      <w:pPr>
        <w:spacing w:after="0" w:line="179" w:lineRule="exact"/>
        <w:rPr>
          <w:sz w:val="20"/>
          <w:szCs w:val="20"/>
          <w:color w:val="auto"/>
        </w:rPr>
      </w:pPr>
    </w:p>
    <w:tbl>
      <w:tblPr>
        <w:tblLayout w:type="fixed"/>
        <w:tblInd w:w="1540" w:type="dxa"/>
        <w:tblCellMar>
          <w:top w:w="0" w:type="dxa"/>
          <w:left w:w="0" w:type="dxa"/>
          <w:bottom w:w="0" w:type="dxa"/>
          <w:right w:w="0" w:type="dxa"/>
        </w:tblCellMar>
      </w:tblPr>
      <w:tr>
        <w:trPr>
          <w:trHeight w:val="232"/>
        </w:trPr>
        <w:tc>
          <w:tcPr>
            <w:tcW w:w="6620" w:type="dxa"/>
            <w:vAlign w:val="bottom"/>
            <w:gridSpan w:val="4"/>
          </w:tcPr>
          <w:p>
            <w:pPr>
              <w:ind w:left="2460"/>
              <w:spacing w:after="0"/>
              <w:rPr>
                <w:sz w:val="20"/>
                <w:szCs w:val="20"/>
                <w:color w:val="auto"/>
              </w:rPr>
            </w:pPr>
            <w:r>
              <w:rPr>
                <w:rFonts w:ascii="Times New Roman" w:cs="Times New Roman" w:eastAsia="Times New Roman" w:hAnsi="Times New Roman"/>
                <w:sz w:val="18"/>
                <w:szCs w:val="18"/>
                <w:b w:val="1"/>
                <w:bCs w:val="1"/>
                <w:color w:val="auto"/>
              </w:rPr>
              <w:t>Recent Asset-Backed Term Securitizations</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4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40" w:type="dxa"/>
            <w:vAlign w:val="bottom"/>
            <w:gridSpan w:val="4"/>
          </w:tcPr>
          <w:p>
            <w:pPr>
              <w:ind w:left="1040"/>
              <w:spacing w:after="0"/>
              <w:rPr>
                <w:sz w:val="20"/>
                <w:szCs w:val="20"/>
                <w:color w:val="auto"/>
              </w:rPr>
            </w:pPr>
            <w:r>
              <w:rPr>
                <w:rFonts w:ascii="Times New Roman" w:cs="Times New Roman" w:eastAsia="Times New Roman" w:hAnsi="Times New Roman"/>
                <w:sz w:val="18"/>
                <w:szCs w:val="18"/>
                <w:i w:val="1"/>
                <w:iCs w:val="1"/>
                <w:color w:val="auto"/>
              </w:rPr>
              <w:t>$ in thousands</w:t>
            </w:r>
          </w:p>
        </w:tc>
      </w:tr>
      <w:tr>
        <w:trPr>
          <w:trHeight w:val="187"/>
        </w:trPr>
        <w:tc>
          <w:tcPr>
            <w:tcW w:w="4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Receivables</w:t>
            </w:r>
          </w:p>
        </w:tc>
        <w:tc>
          <w:tcPr>
            <w:tcW w:w="100" w:type="dxa"/>
            <w:vAlign w:val="bottom"/>
          </w:tcPr>
          <w:p>
            <w:pPr>
              <w:spacing w:after="0"/>
              <w:rPr>
                <w:sz w:val="16"/>
                <w:szCs w:val="16"/>
                <w:color w:val="auto"/>
              </w:rPr>
            </w:pPr>
          </w:p>
        </w:tc>
      </w:tr>
      <w:tr>
        <w:trPr>
          <w:trHeight w:val="216"/>
        </w:trPr>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 of Term</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Pledged in Term</w:t>
            </w:r>
          </w:p>
        </w:tc>
      </w:tr>
      <w:tr>
        <w:trPr>
          <w:trHeight w:val="238"/>
        </w:trPr>
        <w:tc>
          <w:tcPr>
            <w:tcW w:w="4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Securitizations</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Securitizations</w:t>
            </w:r>
          </w:p>
        </w:tc>
      </w:tr>
      <w:tr>
        <w:trPr>
          <w:trHeight w:val="209"/>
        </w:trPr>
        <w:tc>
          <w:tcPr>
            <w:tcW w:w="486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2016</w:t>
            </w:r>
          </w:p>
        </w:tc>
        <w:tc>
          <w:tcPr>
            <w:tcW w:w="80" w:type="dxa"/>
            <w:vAlign w:val="bottom"/>
            <w:tcBorders>
              <w:top w:val="single" w:sz="8" w:color="EEEEEE"/>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jc w:val="right"/>
              <w:ind w:right="53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top w:val="single" w:sz="8" w:color="EEEEEE"/>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1,214,997</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2017</w:t>
            </w:r>
          </w:p>
        </w:tc>
        <w:tc>
          <w:tcPr>
            <w:tcW w:w="80" w:type="dxa"/>
            <w:vAlign w:val="bottom"/>
          </w:tcPr>
          <w:p>
            <w:pPr>
              <w:spacing w:after="0"/>
              <w:rPr>
                <w:sz w:val="18"/>
                <w:szCs w:val="18"/>
                <w:color w:val="auto"/>
              </w:rPr>
            </w:pPr>
          </w:p>
        </w:tc>
        <w:tc>
          <w:tcPr>
            <w:tcW w:w="14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870,000</w:t>
            </w:r>
          </w:p>
        </w:tc>
        <w:tc>
          <w:tcPr>
            <w:tcW w:w="100" w:type="dxa"/>
            <w:vAlign w:val="bottom"/>
          </w:tcPr>
          <w:p>
            <w:pPr>
              <w:spacing w:after="0"/>
              <w:rPr>
                <w:sz w:val="18"/>
                <w:szCs w:val="18"/>
                <w:color w:val="auto"/>
              </w:rPr>
            </w:pPr>
          </w:p>
        </w:tc>
      </w:tr>
      <w:tr>
        <w:trPr>
          <w:trHeight w:val="216"/>
        </w:trPr>
        <w:tc>
          <w:tcPr>
            <w:tcW w:w="48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2018</w:t>
            </w:r>
          </w:p>
        </w:tc>
        <w:tc>
          <w:tcPr>
            <w:tcW w:w="8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53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883,452</w:t>
            </w:r>
          </w:p>
        </w:tc>
        <w:tc>
          <w:tcPr>
            <w:tcW w:w="100" w:type="dxa"/>
            <w:vAlign w:val="bottom"/>
            <w:shd w:val="clear" w:color="auto" w:fill="EEEEEE"/>
          </w:tcPr>
          <w:p>
            <w:pPr>
              <w:spacing w:after="0"/>
              <w:rPr>
                <w:sz w:val="18"/>
                <w:szCs w:val="18"/>
                <w:color w:val="auto"/>
              </w:rPr>
            </w:pPr>
          </w:p>
        </w:tc>
      </w:tr>
      <w:tr>
        <w:trPr>
          <w:trHeight w:val="216"/>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2019</w:t>
            </w:r>
          </w:p>
        </w:tc>
        <w:tc>
          <w:tcPr>
            <w:tcW w:w="80" w:type="dxa"/>
            <w:vAlign w:val="bottom"/>
          </w:tcPr>
          <w:p>
            <w:pPr>
              <w:spacing w:after="0"/>
              <w:rPr>
                <w:sz w:val="18"/>
                <w:szCs w:val="18"/>
                <w:color w:val="auto"/>
              </w:rPr>
            </w:pPr>
          </w:p>
        </w:tc>
        <w:tc>
          <w:tcPr>
            <w:tcW w:w="14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1,014,124</w:t>
            </w:r>
          </w:p>
        </w:tc>
        <w:tc>
          <w:tcPr>
            <w:tcW w:w="100" w:type="dxa"/>
            <w:vAlign w:val="bottom"/>
          </w:tcPr>
          <w:p>
            <w:pPr>
              <w:spacing w:after="0"/>
              <w:rPr>
                <w:sz w:val="18"/>
                <w:szCs w:val="18"/>
                <w:color w:val="auto"/>
              </w:rPr>
            </w:pPr>
          </w:p>
        </w:tc>
      </w:tr>
      <w:tr>
        <w:trPr>
          <w:trHeight w:val="216"/>
        </w:trPr>
        <w:tc>
          <w:tcPr>
            <w:tcW w:w="48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333333"/>
                <w:w w:val="99"/>
              </w:rPr>
              <w:t>2020</w:t>
            </w:r>
          </w:p>
        </w:tc>
        <w:tc>
          <w:tcPr>
            <w:tcW w:w="8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53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741,867</w:t>
            </w:r>
          </w:p>
        </w:tc>
        <w:tc>
          <w:tcPr>
            <w:tcW w:w="100" w:type="dxa"/>
            <w:vAlign w:val="bottom"/>
            <w:shd w:val="clear" w:color="auto" w:fill="EEEEEE"/>
          </w:tcPr>
          <w:p>
            <w:pPr>
              <w:spacing w:after="0"/>
              <w:rPr>
                <w:sz w:val="18"/>
                <w:szCs w:val="18"/>
                <w:color w:val="auto"/>
              </w:rPr>
            </w:pPr>
          </w:p>
        </w:tc>
      </w:tr>
      <w:tr>
        <w:trPr>
          <w:trHeight w:val="216"/>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333333"/>
                <w:w w:val="99"/>
              </w:rPr>
              <w:t>2021</w:t>
            </w:r>
          </w:p>
        </w:tc>
        <w:tc>
          <w:tcPr>
            <w:tcW w:w="80" w:type="dxa"/>
            <w:vAlign w:val="bottom"/>
          </w:tcPr>
          <w:p>
            <w:pPr>
              <w:spacing w:after="0"/>
              <w:rPr>
                <w:sz w:val="18"/>
                <w:szCs w:val="18"/>
                <w:color w:val="auto"/>
              </w:rPr>
            </w:pPr>
          </w:p>
        </w:tc>
        <w:tc>
          <w:tcPr>
            <w:tcW w:w="14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1,145,002</w:t>
            </w:r>
          </w:p>
        </w:tc>
        <w:tc>
          <w:tcPr>
            <w:tcW w:w="100" w:type="dxa"/>
            <w:vAlign w:val="bottom"/>
          </w:tcPr>
          <w:p>
            <w:pPr>
              <w:spacing w:after="0"/>
              <w:rPr>
                <w:sz w:val="18"/>
                <w:szCs w:val="18"/>
                <w:color w:val="auto"/>
              </w:rPr>
            </w:pPr>
          </w:p>
        </w:tc>
      </w:tr>
      <w:tr>
        <w:trPr>
          <w:trHeight w:val="216"/>
        </w:trPr>
        <w:tc>
          <w:tcPr>
            <w:tcW w:w="494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w w:val="99"/>
              </w:rPr>
              <w:t>Nine months ended September 30, 2022</w:t>
            </w:r>
          </w:p>
        </w:tc>
        <w:tc>
          <w:tcPr>
            <w:tcW w:w="1460" w:type="dxa"/>
            <w:vAlign w:val="bottom"/>
            <w:shd w:val="clear" w:color="auto" w:fill="EEEEEE"/>
          </w:tcPr>
          <w:p>
            <w:pPr>
              <w:jc w:val="right"/>
              <w:ind w:right="53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100" w:type="dxa"/>
            <w:vAlign w:val="bottom"/>
            <w:shd w:val="clear" w:color="auto" w:fill="EEEEEE"/>
          </w:tcPr>
          <w:p>
            <w:pPr>
              <w:spacing w:after="0"/>
              <w:rPr>
                <w:sz w:val="18"/>
                <w:szCs w:val="18"/>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Generally, prior to a securitization transaction we fund our automobile contract purchases primarily with proceeds from warehouse credit facilities. We previously had short-term funding capacity of $200 million, comprising three credit facilities. The first credit facility was established in May 2012. This facility was most recently renewed in July 2022, extending the revolving period to July 2024, with an optional amortization period through July 2025. In addition, the capacity was doubled from $100 million to $200 million at the July 2022 renewal.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2015, we entered into another $100 million facility. This facility was most recently renewed in January 2022, extending the revolving period to January 2024, followed by an amortization period to January 2026. In June 2022, we doubled the capacity for this facility from $100 million to $200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2015, we entered into a $100 million facility that was renewed in April 2017 and again in February 2019. We repaid the outstanding balance for this facility at its maturity date in February 2021 and elected not to renew it. We currently have short-term funding capacity of $400 million over two credit facilities.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will be obligated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18"/>
          <w:szCs w:val="18"/>
          <w:color w:val="auto"/>
        </w:rPr>
        <w:t>In a securitization,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we originate and service for third-parties are not pledged to our warehouse facilities or included in our securitizations.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Covenants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September 30, 2022, we were in compliance with all such covenants.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Operating Results for the three months ended September 30, 2022 with the three months ended September 30, 2021</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During the three months ended September 30, 2022, our revenues were $90.3 million, an increase of $21.7 million, or 31.7%, from the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revenue of $68.6 million. The primary reason for the increase in revenues is the increase in interest income resulting from the increase in the average outstanding balance of finance receivables measured at fair value. In addition, mark ups to the finance receivables measured at fair value also contributed to the increase in revenues during the quarter. Revenues for the three months ended September 30, 2022 include an $8.2 million mark up to the recorded value of the finance receivables measured at fair value. The marks are estimates based on our evaluation of the appropriate fair value and future earnings rate of existing receivables compared to recently acquired receivables and increases or decreases in our estimates of future net losses. During the three months ended September 30, 2022, we reduced our estimate for expected future losses in finance receivables measured at fair value as we have observed that our previous estimates for increased losses due to the pandemic had not materialized. The change in estimated losses resulted in the $8.2 million mark up for the three months ended September 30, 2022. There was no mark up or mark down to the fair value portfolio in the prior year period.</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income for the three months ended September 30, 2022 increased $12.8 million, or 19.1%, to $79.8 million from $67.0 million in the prior year. The primary reason for the increase in interest income is the 37.0% increase in the average balance of finance receivables measured at fair value over the prior year period. The table below shows the average balances and interest yields of the two components of our loan portfolio for the three months ended September 30, 2022 and 2021:</w:t>
      </w:r>
    </w:p>
    <w:p>
      <w:pPr>
        <w:sectPr>
          <w:pgSz w:w="11900" w:h="16838" w:orient="portrait"/>
          <w:cols w:equalWidth="0" w:num="1">
            <w:col w:w="11240"/>
          </w:cols>
          <w:pgMar w:left="320" w:top="7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00" w:firstLine="1102"/>
        <w:spacing w:after="0" w:line="279" w:lineRule="auto"/>
        <w:rPr>
          <w:sz w:val="20"/>
          <w:szCs w:val="20"/>
          <w:color w:val="auto"/>
        </w:rPr>
      </w:pPr>
      <w:r>
        <w:rPr>
          <w:rFonts w:ascii="Times New Roman" w:cs="Times New Roman" w:eastAsia="Times New Roman" w:hAnsi="Times New Roman"/>
          <w:sz w:val="16"/>
          <w:szCs w:val="16"/>
          <w:b w:val="1"/>
          <w:bCs w:val="1"/>
          <w:color w:val="auto"/>
        </w:rPr>
        <w:t xml:space="preserve">Interest Earning Assets </w:t>
      </w:r>
      <w:r>
        <w:rPr>
          <w:rFonts w:ascii="Times New Roman" w:cs="Times New Roman" w:eastAsia="Times New Roman" w:hAnsi="Times New Roman"/>
          <w:sz w:val="16"/>
          <w:szCs w:val="16"/>
          <w:color w:val="auto"/>
        </w:rPr>
        <w:t>Finance receivables</w:t>
      </w:r>
    </w:p>
    <w:p>
      <w:pPr>
        <w:spacing w:after="0" w:line="1" w:lineRule="exact"/>
        <w:rPr>
          <w:sz w:val="20"/>
          <w:szCs w:val="20"/>
          <w:color w:val="auto"/>
        </w:rPr>
      </w:pPr>
    </w:p>
    <w:p>
      <w:pPr>
        <w:ind w:right="460"/>
        <w:spacing w:after="0" w:line="305" w:lineRule="auto"/>
        <w:rPr>
          <w:sz w:val="20"/>
          <w:szCs w:val="20"/>
          <w:color w:val="auto"/>
        </w:rPr>
      </w:pPr>
      <w:r>
        <w:rPr>
          <w:rFonts w:ascii="Times New Roman" w:cs="Times New Roman" w:eastAsia="Times New Roman" w:hAnsi="Times New Roman"/>
          <w:sz w:val="16"/>
          <w:szCs w:val="16"/>
          <w:color w:val="auto"/>
        </w:rPr>
        <w:t>Finance receivables measured at fair value Total</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82"/>
        </w:trPr>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40" w:type="dxa"/>
            <w:vAlign w:val="bottom"/>
            <w:gridSpan w:val="5"/>
          </w:tcPr>
          <w:p>
            <w:pPr>
              <w:ind w:left="300"/>
              <w:spacing w:after="0" w:line="182" w:lineRule="exact"/>
              <w:rPr>
                <w:sz w:val="20"/>
                <w:szCs w:val="20"/>
                <w:color w:val="auto"/>
              </w:rPr>
            </w:pPr>
            <w:r>
              <w:rPr>
                <w:rFonts w:ascii="Times New Roman" w:cs="Times New Roman" w:eastAsia="Times New Roman" w:hAnsi="Times New Roman"/>
                <w:sz w:val="16"/>
                <w:szCs w:val="16"/>
                <w:b w:val="1"/>
                <w:bCs w:val="1"/>
                <w:color w:val="auto"/>
              </w:rPr>
              <w:t>(Dollars in thousands)</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2"/>
        </w:trPr>
        <w:tc>
          <w:tcPr>
            <w:tcW w:w="16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6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Interest</w:t>
            </w:r>
          </w:p>
        </w:tc>
      </w:tr>
      <w:tr>
        <w:trPr>
          <w:trHeight w:val="219"/>
        </w:trPr>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4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Yield</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Yield</w:t>
            </w:r>
          </w:p>
        </w:tc>
        <w:tc>
          <w:tcPr>
            <w:tcW w:w="20" w:type="dxa"/>
            <w:vAlign w:val="bottom"/>
          </w:tcPr>
          <w:p>
            <w:pPr>
              <w:spacing w:after="0"/>
              <w:rPr>
                <w:sz w:val="19"/>
                <w:szCs w:val="19"/>
                <w:color w:val="auto"/>
              </w:rPr>
            </w:pPr>
          </w:p>
        </w:tc>
      </w:tr>
      <w:tr>
        <w:trPr>
          <w:trHeight w:val="409"/>
        </w:trPr>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130,546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8,083</w:t>
            </w:r>
          </w:p>
        </w:tc>
        <w:tc>
          <w:tcPr>
            <w:tcW w:w="12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24.8%</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305,820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16,067</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21.0%</w:t>
            </w:r>
          </w:p>
        </w:tc>
      </w:tr>
      <w:tr>
        <w:trPr>
          <w:trHeight w:val="219"/>
        </w:trPr>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2,517,663</w:t>
            </w: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71,734</w:t>
            </w:r>
          </w:p>
        </w:tc>
        <w:tc>
          <w:tcPr>
            <w:tcW w:w="12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11.4%</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1,837,138</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50,951</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20" w:type="dxa"/>
            <w:vAlign w:val="bottom"/>
          </w:tcPr>
          <w:p>
            <w:pPr>
              <w:spacing w:after="0"/>
              <w:rPr>
                <w:sz w:val="19"/>
                <w:szCs w:val="19"/>
                <w:color w:val="auto"/>
              </w:rPr>
            </w:pPr>
          </w:p>
        </w:tc>
      </w:tr>
      <w:tr>
        <w:trPr>
          <w:trHeight w:val="210"/>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2,648,209</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79,817</w:t>
            </w:r>
          </w:p>
        </w:tc>
        <w:tc>
          <w:tcPr>
            <w:tcW w:w="240" w:type="dxa"/>
            <w:vAlign w:val="bottom"/>
          </w:tcPr>
          <w:p>
            <w:pPr>
              <w:spacing w:after="0"/>
              <w:rPr>
                <w:sz w:val="18"/>
                <w:szCs w:val="18"/>
                <w:color w:val="auto"/>
              </w:rPr>
            </w:pPr>
          </w:p>
        </w:tc>
        <w:tc>
          <w:tcPr>
            <w:tcW w:w="100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w w:val="96"/>
              </w:rPr>
              <w:t>12.1%</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2,142,958</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67,018</w:t>
            </w: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20" w:type="dxa"/>
            <w:vAlign w:val="bottom"/>
            <w:tcBorders>
              <w:bottom w:val="single" w:sz="8" w:color="auto"/>
            </w:tcBorders>
          </w:tcPr>
          <w:p>
            <w:pPr>
              <w:spacing w:after="0"/>
              <w:rPr>
                <w:sz w:val="18"/>
                <w:szCs w:val="18"/>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-170815</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-445135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20" w:space="720"/>
            <w:col w:w="7300"/>
          </w:cols>
          <w:pgMar w:left="320" w:top="796" w:right="3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26" w:name="page27"/>
    <w:bookmarkEnd w:id="26"/>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Other income was $2.3 million for </w:t>
      </w:r>
      <w:r>
        <w:rPr>
          <w:rFonts w:ascii="Times New Roman" w:cs="Times New Roman" w:eastAsia="Times New Roman" w:hAnsi="Times New Roman"/>
          <w:sz w:val="17"/>
          <w:szCs w:val="17"/>
          <w:color w:val="auto"/>
        </w:rPr>
        <w:t>the three months ended September 30, 2022 compared to $1.5 million for the comparable period in 2021. This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49.0% increase was primarily driven by the origination and servicing fees we earned from third party receivables that began in May 2021. These fees were $2.0 million for the quarter ended September 30, 2022.</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Our operating expenses consist largely of interest expense, provision for credit losses, employee costs, sales and general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Provision for credit losses is affected by the balance and credit performance of our portfolio of finance receivables (other than our portfolio of finance receivables measured at fair value, as to which expected credit losses have the effect of reducing the internal rate of return or the recorded value applicable to such receivables).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purchased and serviced.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operating expenses were $56.0 million for the three months ended September 30, 2022, compared to $49.0 million for the prior period, an increase of $7.0 million, or 14.2%. The increase is primarily due to increases in interest expense, employee costs and general and administrative expenses.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Employee costs were $20.7 million during the three months ended September 30, 2022 compared to $18.2 million for the same quarter in the prior year. The table below summarizes our employees by category as well as contract purchases and units in our managed portfolio as of, and for the three-month periods ended, September 30, 2022 and 2021: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580" w:type="dxa"/>
            <w:vAlign w:val="bottom"/>
            <w:gridSpan w:val="7"/>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223"/>
        </w:trPr>
        <w:tc>
          <w:tcPr>
            <w:tcW w:w="52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25"/>
        </w:trPr>
        <w:tc>
          <w:tcPr>
            <w:tcW w:w="5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(Dollars in millions)</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purchased (dollars)</w:t>
            </w:r>
          </w:p>
        </w:tc>
        <w:tc>
          <w:tcPr>
            <w:tcW w:w="336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468.2</w:t>
            </w:r>
          </w:p>
        </w:tc>
        <w:tc>
          <w:tcPr>
            <w:tcW w:w="600" w:type="dxa"/>
            <w:vAlign w:val="bottom"/>
            <w:shd w:val="clear" w:color="auto" w:fill="EEEEEE"/>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326.8</w:t>
            </w: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Contracts purchased (units)</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20,888</w:t>
            </w:r>
          </w:p>
        </w:tc>
        <w:tc>
          <w:tcPr>
            <w:tcW w:w="6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14,741</w:t>
            </w:r>
          </w:p>
        </w:tc>
        <w:tc>
          <w:tcPr>
            <w:tcW w:w="8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Managed portfolio outstanding (dollars)</w:t>
            </w:r>
          </w:p>
        </w:tc>
        <w:tc>
          <w:tcPr>
            <w:tcW w:w="336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2,838.9</w:t>
            </w:r>
          </w:p>
        </w:tc>
        <w:tc>
          <w:tcPr>
            <w:tcW w:w="600" w:type="dxa"/>
            <w:vAlign w:val="bottom"/>
            <w:shd w:val="clear" w:color="auto" w:fill="EEEEEE"/>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2,184.1</w:t>
            </w: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Managed portfolio outstanding (units)</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173,774</w:t>
            </w:r>
          </w:p>
        </w:tc>
        <w:tc>
          <w:tcPr>
            <w:tcW w:w="6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156,456</w:t>
            </w:r>
          </w:p>
        </w:tc>
        <w:tc>
          <w:tcPr>
            <w:tcW w:w="8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18"/>
                <w:szCs w:val="18"/>
                <w:color w:val="auto"/>
              </w:rPr>
            </w:pPr>
          </w:p>
        </w:tc>
        <w:tc>
          <w:tcPr>
            <w:tcW w:w="23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Number of Originations staff</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187</w:t>
            </w:r>
          </w:p>
        </w:tc>
        <w:tc>
          <w:tcPr>
            <w:tcW w:w="6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Sales staff</w:t>
            </w:r>
          </w:p>
        </w:tc>
        <w:tc>
          <w:tcPr>
            <w:tcW w:w="23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134</w:t>
            </w:r>
          </w:p>
        </w:tc>
        <w:tc>
          <w:tcPr>
            <w:tcW w:w="6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Number of Servicing staff</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404</w:t>
            </w:r>
          </w:p>
        </w:tc>
        <w:tc>
          <w:tcPr>
            <w:tcW w:w="6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w:t>
            </w:r>
          </w:p>
        </w:tc>
        <w:tc>
          <w:tcPr>
            <w:tcW w:w="80" w:type="dxa"/>
            <w:vAlign w:val="bottom"/>
          </w:tcPr>
          <w:p>
            <w:pPr>
              <w:spacing w:after="0"/>
              <w:rPr>
                <w:sz w:val="18"/>
                <w:szCs w:val="18"/>
                <w:color w:val="auto"/>
              </w:rPr>
            </w:pPr>
          </w:p>
        </w:tc>
      </w:tr>
      <w:tr>
        <w:trPr>
          <w:trHeight w:val="230"/>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other staff</w:t>
            </w:r>
          </w:p>
        </w:tc>
        <w:tc>
          <w:tcPr>
            <w:tcW w:w="238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67</w:t>
            </w:r>
          </w:p>
        </w:tc>
        <w:tc>
          <w:tcPr>
            <w:tcW w:w="60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EEEEEE"/>
          </w:tcPr>
          <w:p>
            <w:pPr>
              <w:spacing w:after="0"/>
              <w:rPr>
                <w:sz w:val="19"/>
                <w:szCs w:val="19"/>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employees</w:t>
            </w:r>
          </w:p>
        </w:tc>
        <w:tc>
          <w:tcPr>
            <w:tcW w:w="2380" w:type="dxa"/>
            <w:vAlign w:val="bottom"/>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27" w:name="page28"/>
    <w:bookmarkEnd w:id="27"/>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was $9.4 million, an increase from $7.5 million in the previous year and represented 16.8% of total operating expenses.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for the three months ended September 30, 2022 were $23.5 million and represented 42.0% of total operating expenses, compared to $18.3 million in the previous year, when it was 37.4% of total operating expenses.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Interest on securitization trust debt increased by $3.2 million for the three months ended September 30, 2022 compared to the prior period. The average balance of securitization trust debt increased to $2,032.5 million for the three months ended September 30, 2022 compared to $1,819.8 million for the three months ended September 30, 2021. The annualized average rate on our securitization trust debt was 3.6% for the three months ended September 30, 2022 compared to 3.4% in the prior year period. The blended interest rates on new term securitizations have been increasing in 2022. For each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Blended Cost of Funds on Recent Asset-Backed Term Securitizations</w:t>
      </w:r>
    </w:p>
    <w:p>
      <w:pPr>
        <w:spacing w:after="0" w:line="225" w:lineRule="exact"/>
        <w:rPr>
          <w:sz w:val="20"/>
          <w:szCs w:val="20"/>
          <w:color w:val="auto"/>
        </w:rPr>
      </w:pPr>
    </w:p>
    <w:tbl>
      <w:tblPr>
        <w:tblLayout w:type="fixed"/>
        <w:tblInd w:w="2700" w:type="dxa"/>
        <w:tblCellMar>
          <w:top w:w="0" w:type="dxa"/>
          <w:left w:w="0" w:type="dxa"/>
          <w:bottom w:w="0" w:type="dxa"/>
          <w:right w:w="0" w:type="dxa"/>
        </w:tblCellMar>
      </w:tblPr>
      <w:tr>
        <w:trPr>
          <w:trHeight w:val="238"/>
        </w:trPr>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Blended Cost of Funds</w:t>
            </w:r>
          </w:p>
        </w:tc>
      </w:tr>
      <w:tr>
        <w:trPr>
          <w:trHeight w:val="210"/>
        </w:trPr>
        <w:tc>
          <w:tcPr>
            <w:tcW w:w="282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January 2018</w:t>
            </w:r>
          </w:p>
        </w:tc>
        <w:tc>
          <w:tcPr>
            <w:tcW w:w="220" w:type="dxa"/>
            <w:vAlign w:val="bottom"/>
            <w:tcBorders>
              <w:top w:val="single" w:sz="8" w:color="EEEEEE"/>
            </w:tcBorders>
            <w:shd w:val="clear" w:color="auto" w:fill="EEEEEE"/>
          </w:tcPr>
          <w:p>
            <w:pPr>
              <w:spacing w:after="0"/>
              <w:rPr>
                <w:sz w:val="18"/>
                <w:szCs w:val="18"/>
                <w:color w:val="auto"/>
              </w:rPr>
            </w:pPr>
          </w:p>
        </w:tc>
        <w:tc>
          <w:tcPr>
            <w:tcW w:w="280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3.46%</w:t>
            </w:r>
          </w:p>
        </w:tc>
      </w:tr>
      <w:tr>
        <w:trPr>
          <w:trHeight w:val="216"/>
        </w:trPr>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April 2018</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3.98%</w:t>
            </w:r>
          </w:p>
        </w:tc>
      </w:tr>
      <w:tr>
        <w:trPr>
          <w:trHeight w:val="216"/>
        </w:trPr>
        <w:tc>
          <w:tcPr>
            <w:tcW w:w="304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July 2018</w:t>
            </w:r>
          </w:p>
        </w:tc>
        <w:tc>
          <w:tcPr>
            <w:tcW w:w="28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4.18%</w:t>
            </w:r>
          </w:p>
        </w:tc>
      </w:tr>
      <w:tr>
        <w:trPr>
          <w:trHeight w:val="216"/>
        </w:trPr>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2018</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4.25%</w:t>
            </w:r>
          </w:p>
        </w:tc>
      </w:tr>
      <w:tr>
        <w:trPr>
          <w:trHeight w:val="216"/>
        </w:trPr>
        <w:tc>
          <w:tcPr>
            <w:tcW w:w="304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rPr>
              <w:t>January 2019</w:t>
            </w:r>
          </w:p>
        </w:tc>
        <w:tc>
          <w:tcPr>
            <w:tcW w:w="28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4.22%</w:t>
            </w:r>
          </w:p>
        </w:tc>
      </w:tr>
      <w:tr>
        <w:trPr>
          <w:trHeight w:val="216"/>
        </w:trPr>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April 2019</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3.95%</w:t>
            </w:r>
          </w:p>
        </w:tc>
      </w:tr>
      <w:tr>
        <w:trPr>
          <w:trHeight w:val="216"/>
        </w:trPr>
        <w:tc>
          <w:tcPr>
            <w:tcW w:w="304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July 2019</w:t>
            </w:r>
          </w:p>
        </w:tc>
        <w:tc>
          <w:tcPr>
            <w:tcW w:w="28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3.36%</w:t>
            </w:r>
          </w:p>
        </w:tc>
      </w:tr>
      <w:tr>
        <w:trPr>
          <w:trHeight w:val="216"/>
        </w:trPr>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2019</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2.95%</w:t>
            </w:r>
          </w:p>
        </w:tc>
      </w:tr>
      <w:tr>
        <w:trPr>
          <w:trHeight w:val="216"/>
        </w:trPr>
        <w:tc>
          <w:tcPr>
            <w:tcW w:w="304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rPr>
              <w:t>January 2020</w:t>
            </w:r>
          </w:p>
        </w:tc>
        <w:tc>
          <w:tcPr>
            <w:tcW w:w="28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3.08%</w:t>
            </w:r>
          </w:p>
        </w:tc>
      </w:tr>
      <w:tr>
        <w:trPr>
          <w:trHeight w:val="216"/>
        </w:trPr>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June 2020</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4.09%</w:t>
            </w:r>
          </w:p>
        </w:tc>
      </w:tr>
      <w:tr>
        <w:trPr>
          <w:trHeight w:val="216"/>
        </w:trPr>
        <w:tc>
          <w:tcPr>
            <w:tcW w:w="304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rPr>
              <w:t>September 2020</w:t>
            </w:r>
          </w:p>
        </w:tc>
        <w:tc>
          <w:tcPr>
            <w:tcW w:w="28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2.39%</w:t>
            </w:r>
          </w:p>
        </w:tc>
      </w:tr>
      <w:tr>
        <w:trPr>
          <w:trHeight w:val="216"/>
        </w:trPr>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January 2021</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1.11%</w:t>
            </w:r>
          </w:p>
        </w:tc>
      </w:tr>
      <w:tr>
        <w:trPr>
          <w:trHeight w:val="216"/>
        </w:trPr>
        <w:tc>
          <w:tcPr>
            <w:tcW w:w="304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w w:val="99"/>
              </w:rPr>
              <w:t>April 2021</w:t>
            </w:r>
          </w:p>
        </w:tc>
        <w:tc>
          <w:tcPr>
            <w:tcW w:w="28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1.65%</w:t>
            </w:r>
          </w:p>
        </w:tc>
      </w:tr>
      <w:tr>
        <w:trPr>
          <w:trHeight w:val="216"/>
        </w:trPr>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July 2021</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1.55%</w:t>
            </w:r>
          </w:p>
        </w:tc>
      </w:tr>
      <w:tr>
        <w:trPr>
          <w:trHeight w:val="216"/>
        </w:trPr>
        <w:tc>
          <w:tcPr>
            <w:tcW w:w="304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2021</w:t>
            </w:r>
          </w:p>
        </w:tc>
        <w:tc>
          <w:tcPr>
            <w:tcW w:w="28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2.09%</w:t>
            </w:r>
          </w:p>
        </w:tc>
      </w:tr>
      <w:tr>
        <w:trPr>
          <w:trHeight w:val="216"/>
        </w:trPr>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January 2022</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2.54%</w:t>
            </w:r>
          </w:p>
        </w:tc>
      </w:tr>
      <w:tr>
        <w:trPr>
          <w:trHeight w:val="216"/>
        </w:trPr>
        <w:tc>
          <w:tcPr>
            <w:tcW w:w="304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w w:val="99"/>
              </w:rPr>
              <w:t>April 2022</w:t>
            </w:r>
          </w:p>
        </w:tc>
        <w:tc>
          <w:tcPr>
            <w:tcW w:w="28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4.83%</w:t>
            </w:r>
          </w:p>
        </w:tc>
      </w:tr>
      <w:tr>
        <w:trPr>
          <w:trHeight w:val="234"/>
        </w:trPr>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July 2022</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6.02%</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on warehouse credit line debt increased by $2.4 million to $3.3 million for the three months ended September 30, 2022 compared to $929,000 in the prior year period. The increase was due to the higher utilization of our credit lines during the quarter compared to last year. The average balance of our warehouse debt was $172.9 million during the three months ended September 30, 2022 compared to $39.4 million for the same period in 2021.</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8" w:name="page29"/>
    <w:bookmarkEnd w:id="28"/>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on subordinated renewable notes was $572,000 for the three months ended September 30, 2022. The average balance of the outstanding subordinated debt increased 2.4% to $27.5 million for the three months ended September 30, 2022 compared to $26.9 million for the prior year. The average yield of subordinated notes decreased to 8.3% compared to 10.4% in the prior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2018 and June 2021, we completed two residual interest financings of our residual interests from previously issued securitizations in the amounts of $40.0 million and $50.0 million, respectively. Interest expense on these residual interest financings was $1.1 million for the three months ended September 30, 2022 compared to $1.4 million in the prior year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income and interest expense and a net interest yield analysis for the three-month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and 2021: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40" w:type="dxa"/>
            <w:vAlign w:val="bottom"/>
            <w:gridSpan w:val="5"/>
          </w:tcPr>
          <w:p>
            <w:pPr>
              <w:jc w:val="right"/>
              <w:ind w:right="620"/>
              <w:spacing w:after="0" w:line="182" w:lineRule="exact"/>
              <w:rPr>
                <w:sz w:val="20"/>
                <w:szCs w:val="20"/>
                <w:color w:val="auto"/>
              </w:rPr>
            </w:pPr>
            <w:r>
              <w:rPr>
                <w:rFonts w:ascii="Times New Roman" w:cs="Times New Roman" w:eastAsia="Times New Roman" w:hAnsi="Times New Roman"/>
                <w:sz w:val="16"/>
                <w:szCs w:val="16"/>
                <w:b w:val="1"/>
                <w:bCs w:val="1"/>
                <w:color w:val="auto"/>
              </w:rPr>
              <w:t>(Dollars in thousands)</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Annualized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Annualized</w:t>
            </w:r>
          </w:p>
        </w:tc>
        <w:tc>
          <w:tcPr>
            <w:tcW w:w="0" w:type="dxa"/>
            <w:vAlign w:val="bottom"/>
          </w:tcPr>
          <w:p>
            <w:pPr>
              <w:spacing w:after="0"/>
              <w:rPr>
                <w:sz w:val="1"/>
                <w:szCs w:val="1"/>
                <w:color w:val="auto"/>
              </w:rPr>
            </w:pPr>
          </w:p>
        </w:tc>
      </w:tr>
      <w:tr>
        <w:trPr>
          <w:trHeight w:val="212"/>
        </w:trPr>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219"/>
        </w:trPr>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Balance (1)</w:t>
            </w:r>
          </w:p>
        </w:tc>
        <w:tc>
          <w:tcPr>
            <w:tcW w:w="160" w:type="dxa"/>
            <w:vAlign w:val="bottom"/>
          </w:tcPr>
          <w:p>
            <w:pPr>
              <w:spacing w:after="0"/>
              <w:rPr>
                <w:sz w:val="19"/>
                <w:szCs w:val="19"/>
                <w:color w:val="auto"/>
              </w:rPr>
            </w:pPr>
          </w:p>
        </w:tc>
        <w:tc>
          <w:tcPr>
            <w:tcW w:w="8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2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Yield/Rate</w:t>
            </w:r>
          </w:p>
        </w:tc>
        <w:tc>
          <w:tcPr>
            <w:tcW w:w="1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Balance (1)</w:t>
            </w:r>
          </w:p>
        </w:tc>
        <w:tc>
          <w:tcPr>
            <w:tcW w:w="160" w:type="dxa"/>
            <w:vAlign w:val="bottom"/>
          </w:tcPr>
          <w:p>
            <w:pPr>
              <w:spacing w:after="0"/>
              <w:rPr>
                <w:sz w:val="19"/>
                <w:szCs w:val="19"/>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Yield/Rate</w:t>
            </w:r>
          </w:p>
        </w:tc>
        <w:tc>
          <w:tcPr>
            <w:tcW w:w="0" w:type="dxa"/>
            <w:vAlign w:val="bottom"/>
          </w:tcPr>
          <w:p>
            <w:pPr>
              <w:spacing w:after="0"/>
              <w:rPr>
                <w:sz w:val="1"/>
                <w:szCs w:val="1"/>
                <w:color w:val="auto"/>
              </w:rPr>
            </w:pPr>
          </w:p>
        </w:tc>
      </w:tr>
      <w:tr>
        <w:trPr>
          <w:trHeight w:val="158"/>
        </w:trPr>
        <w:tc>
          <w:tcPr>
            <w:tcW w:w="980" w:type="dxa"/>
            <w:vAlign w:val="bottom"/>
            <w:tcBorders>
              <w:top w:val="single" w:sz="8" w:color="EEEEEE"/>
            </w:tcBorders>
            <w:shd w:val="clear" w:color="auto" w:fill="EEEEEE"/>
          </w:tcPr>
          <w:p>
            <w:pPr>
              <w:spacing w:after="0"/>
              <w:rPr>
                <w:sz w:val="13"/>
                <w:szCs w:val="13"/>
                <w:color w:val="auto"/>
              </w:rPr>
            </w:pPr>
          </w:p>
        </w:tc>
        <w:tc>
          <w:tcPr>
            <w:tcW w:w="120" w:type="dxa"/>
            <w:vAlign w:val="bottom"/>
            <w:tcBorders>
              <w:top w:val="single" w:sz="8" w:color="EEEEEE"/>
            </w:tcBorders>
            <w:shd w:val="clear" w:color="auto" w:fill="EEEEEE"/>
          </w:tcPr>
          <w:p>
            <w:pPr>
              <w:spacing w:after="0"/>
              <w:rPr>
                <w:sz w:val="13"/>
                <w:szCs w:val="13"/>
                <w:color w:val="auto"/>
              </w:rPr>
            </w:pPr>
          </w:p>
        </w:tc>
        <w:tc>
          <w:tcPr>
            <w:tcW w:w="2840" w:type="dxa"/>
            <w:vAlign w:val="bottom"/>
            <w:tcBorders>
              <w:top w:val="single" w:sz="8" w:color="EEEEEE"/>
            </w:tcBorders>
            <w:gridSpan w:val="3"/>
            <w:shd w:val="clear" w:color="auto" w:fill="EEEEEE"/>
          </w:tcPr>
          <w:p>
            <w:pPr>
              <w:jc w:val="center"/>
              <w:ind w:right="1220"/>
              <w:spacing w:after="0" w:line="158" w:lineRule="exact"/>
              <w:rPr>
                <w:sz w:val="20"/>
                <w:szCs w:val="20"/>
                <w:color w:val="auto"/>
              </w:rPr>
            </w:pPr>
            <w:r>
              <w:rPr>
                <w:rFonts w:ascii="Times New Roman" w:cs="Times New Roman" w:eastAsia="Times New Roman" w:hAnsi="Times New Roman"/>
                <w:sz w:val="16"/>
                <w:szCs w:val="16"/>
                <w:b w:val="1"/>
                <w:bCs w:val="1"/>
                <w:color w:val="auto"/>
              </w:rPr>
              <w:t>Interest Earning Assets</w:t>
            </w:r>
          </w:p>
        </w:tc>
        <w:tc>
          <w:tcPr>
            <w:tcW w:w="120" w:type="dxa"/>
            <w:vAlign w:val="bottom"/>
            <w:tcBorders>
              <w:top w:val="single" w:sz="8" w:color="auto"/>
            </w:tcBorders>
            <w:shd w:val="clear" w:color="auto" w:fill="EEEEEE"/>
          </w:tcPr>
          <w:p>
            <w:pPr>
              <w:spacing w:after="0"/>
              <w:rPr>
                <w:sz w:val="13"/>
                <w:szCs w:val="13"/>
                <w:color w:val="auto"/>
              </w:rPr>
            </w:pPr>
          </w:p>
        </w:tc>
        <w:tc>
          <w:tcPr>
            <w:tcW w:w="920" w:type="dxa"/>
            <w:vAlign w:val="bottom"/>
            <w:tcBorders>
              <w:top w:val="single" w:sz="8" w:color="auto"/>
            </w:tcBorders>
            <w:shd w:val="clear" w:color="auto" w:fill="EEEEEE"/>
          </w:tcPr>
          <w:p>
            <w:pPr>
              <w:spacing w:after="0"/>
              <w:rPr>
                <w:sz w:val="13"/>
                <w:szCs w:val="13"/>
                <w:color w:val="auto"/>
              </w:rPr>
            </w:pPr>
          </w:p>
        </w:tc>
        <w:tc>
          <w:tcPr>
            <w:tcW w:w="240" w:type="dxa"/>
            <w:vAlign w:val="bottom"/>
            <w:tcBorders>
              <w:top w:val="single" w:sz="8" w:color="EEEEEE"/>
            </w:tcBorders>
            <w:shd w:val="clear" w:color="auto" w:fill="EEEEEE"/>
          </w:tcPr>
          <w:p>
            <w:pPr>
              <w:spacing w:after="0"/>
              <w:rPr>
                <w:sz w:val="13"/>
                <w:szCs w:val="13"/>
                <w:color w:val="auto"/>
              </w:rPr>
            </w:pPr>
          </w:p>
        </w:tc>
        <w:tc>
          <w:tcPr>
            <w:tcW w:w="160" w:type="dxa"/>
            <w:vAlign w:val="bottom"/>
            <w:tcBorders>
              <w:top w:val="single" w:sz="8" w:color="auto"/>
            </w:tcBorders>
            <w:shd w:val="clear" w:color="auto" w:fill="EEEEEE"/>
          </w:tcPr>
          <w:p>
            <w:pPr>
              <w:spacing w:after="0"/>
              <w:rPr>
                <w:sz w:val="13"/>
                <w:szCs w:val="13"/>
                <w:color w:val="auto"/>
              </w:rPr>
            </w:pPr>
          </w:p>
        </w:tc>
        <w:tc>
          <w:tcPr>
            <w:tcW w:w="880" w:type="dxa"/>
            <w:vAlign w:val="bottom"/>
            <w:tcBorders>
              <w:top w:val="single" w:sz="8" w:color="auto"/>
              <w:right w:val="single" w:sz="8" w:color="EEEEEE"/>
            </w:tcBorders>
            <w:shd w:val="clear" w:color="auto" w:fill="EEEEEE"/>
          </w:tcPr>
          <w:p>
            <w:pPr>
              <w:spacing w:after="0"/>
              <w:rPr>
                <w:sz w:val="13"/>
                <w:szCs w:val="13"/>
                <w:color w:val="auto"/>
              </w:rPr>
            </w:pPr>
          </w:p>
        </w:tc>
        <w:tc>
          <w:tcPr>
            <w:tcW w:w="220" w:type="dxa"/>
            <w:vAlign w:val="bottom"/>
            <w:tcBorders>
              <w:top w:val="single" w:sz="8" w:color="EEEEEE"/>
            </w:tcBorders>
            <w:shd w:val="clear" w:color="auto" w:fill="EEEEEE"/>
          </w:tcPr>
          <w:p>
            <w:pPr>
              <w:spacing w:after="0"/>
              <w:rPr>
                <w:sz w:val="13"/>
                <w:szCs w:val="13"/>
                <w:color w:val="auto"/>
              </w:rPr>
            </w:pPr>
          </w:p>
        </w:tc>
        <w:tc>
          <w:tcPr>
            <w:tcW w:w="1000" w:type="dxa"/>
            <w:vAlign w:val="bottom"/>
            <w:tcBorders>
              <w:top w:val="single" w:sz="8" w:color="auto"/>
            </w:tcBorders>
            <w:shd w:val="clear" w:color="auto" w:fill="EEEEEE"/>
          </w:tcPr>
          <w:p>
            <w:pPr>
              <w:spacing w:after="0"/>
              <w:rPr>
                <w:sz w:val="13"/>
                <w:szCs w:val="13"/>
                <w:color w:val="auto"/>
              </w:rPr>
            </w:pPr>
          </w:p>
        </w:tc>
        <w:tc>
          <w:tcPr>
            <w:tcW w:w="220" w:type="dxa"/>
            <w:vAlign w:val="bottom"/>
            <w:tcBorders>
              <w:top w:val="single" w:sz="8" w:color="EEEEEE"/>
            </w:tcBorders>
            <w:shd w:val="clear" w:color="auto" w:fill="EEEEEE"/>
          </w:tcPr>
          <w:p>
            <w:pPr>
              <w:spacing w:after="0"/>
              <w:rPr>
                <w:sz w:val="13"/>
                <w:szCs w:val="13"/>
                <w:color w:val="auto"/>
              </w:rPr>
            </w:pPr>
          </w:p>
        </w:tc>
        <w:tc>
          <w:tcPr>
            <w:tcW w:w="100" w:type="dxa"/>
            <w:vAlign w:val="bottom"/>
            <w:tcBorders>
              <w:top w:val="single" w:sz="8" w:color="auto"/>
            </w:tcBorders>
            <w:shd w:val="clear" w:color="auto" w:fill="EEEEEE"/>
          </w:tcPr>
          <w:p>
            <w:pPr>
              <w:spacing w:after="0"/>
              <w:rPr>
                <w:sz w:val="13"/>
                <w:szCs w:val="13"/>
                <w:color w:val="auto"/>
              </w:rPr>
            </w:pPr>
          </w:p>
        </w:tc>
        <w:tc>
          <w:tcPr>
            <w:tcW w:w="900" w:type="dxa"/>
            <w:vAlign w:val="bottom"/>
            <w:tcBorders>
              <w:top w:val="single" w:sz="8" w:color="auto"/>
            </w:tcBorders>
            <w:shd w:val="clear" w:color="auto" w:fill="EEEEEE"/>
          </w:tcPr>
          <w:p>
            <w:pPr>
              <w:spacing w:after="0"/>
              <w:rPr>
                <w:sz w:val="13"/>
                <w:szCs w:val="13"/>
                <w:color w:val="auto"/>
              </w:rPr>
            </w:pPr>
          </w:p>
        </w:tc>
        <w:tc>
          <w:tcPr>
            <w:tcW w:w="220" w:type="dxa"/>
            <w:vAlign w:val="bottom"/>
            <w:tcBorders>
              <w:top w:val="single" w:sz="8" w:color="EEEEEE"/>
            </w:tcBorders>
            <w:shd w:val="clear" w:color="auto" w:fill="EEEEEE"/>
          </w:tcPr>
          <w:p>
            <w:pPr>
              <w:spacing w:after="0"/>
              <w:rPr>
                <w:sz w:val="13"/>
                <w:szCs w:val="13"/>
                <w:color w:val="auto"/>
              </w:rPr>
            </w:pPr>
          </w:p>
        </w:tc>
        <w:tc>
          <w:tcPr>
            <w:tcW w:w="160" w:type="dxa"/>
            <w:vAlign w:val="bottom"/>
            <w:tcBorders>
              <w:top w:val="single" w:sz="8" w:color="auto"/>
            </w:tcBorders>
            <w:shd w:val="clear" w:color="auto" w:fill="EEEEEE"/>
          </w:tcPr>
          <w:p>
            <w:pPr>
              <w:spacing w:after="0"/>
              <w:rPr>
                <w:sz w:val="13"/>
                <w:szCs w:val="13"/>
                <w:color w:val="auto"/>
              </w:rPr>
            </w:pPr>
          </w:p>
        </w:tc>
        <w:tc>
          <w:tcPr>
            <w:tcW w:w="840" w:type="dxa"/>
            <w:vAlign w:val="bottom"/>
            <w:tcBorders>
              <w:top w:val="single" w:sz="8" w:color="auto"/>
            </w:tcBorders>
            <w:shd w:val="clear" w:color="auto" w:fill="EEEEEE"/>
          </w:tcPr>
          <w:p>
            <w:pPr>
              <w:spacing w:after="0"/>
              <w:rPr>
                <w:sz w:val="13"/>
                <w:szCs w:val="13"/>
                <w:color w:val="auto"/>
              </w:rPr>
            </w:pPr>
          </w:p>
        </w:tc>
        <w:tc>
          <w:tcPr>
            <w:tcW w:w="220" w:type="dxa"/>
            <w:vAlign w:val="bottom"/>
            <w:tcBorders>
              <w:top w:val="single" w:sz="8" w:color="EEEEEE"/>
            </w:tcBorders>
            <w:shd w:val="clear" w:color="auto" w:fill="EEEEEE"/>
          </w:tcPr>
          <w:p>
            <w:pPr>
              <w:spacing w:after="0"/>
              <w:rPr>
                <w:sz w:val="13"/>
                <w:szCs w:val="13"/>
                <w:color w:val="auto"/>
              </w:rPr>
            </w:pPr>
          </w:p>
        </w:tc>
        <w:tc>
          <w:tcPr>
            <w:tcW w:w="1000" w:type="dxa"/>
            <w:vAlign w:val="bottom"/>
            <w:tcBorders>
              <w:top w:val="single" w:sz="8" w:color="auto"/>
            </w:tcBorders>
            <w:shd w:val="clear" w:color="auto" w:fill="EEEEEE"/>
          </w:tcPr>
          <w:p>
            <w:pPr>
              <w:spacing w:after="0"/>
              <w:rPr>
                <w:sz w:val="13"/>
                <w:szCs w:val="13"/>
                <w:color w:val="auto"/>
              </w:rPr>
            </w:pPr>
          </w:p>
        </w:tc>
        <w:tc>
          <w:tcPr>
            <w:tcW w:w="100" w:type="dxa"/>
            <w:vAlign w:val="bottom"/>
            <w:tcBorders>
              <w:top w:val="single" w:sz="8" w:color="EEEEEE"/>
            </w:tcBorders>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620" w:type="dxa"/>
            <w:vAlign w:val="bottom"/>
            <w:tcBorders>
              <w:top w:val="single" w:sz="8" w:color="auto"/>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10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92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880" w:type="dxa"/>
            <w:vAlign w:val="bottom"/>
            <w:tcBorders>
              <w:top w:val="single" w:sz="8" w:color="EEEEEE"/>
              <w:right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00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90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0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Finance receivables gross (2)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130,546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8,083</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305,820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16,067</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16"/>
        </w:trPr>
        <w:tc>
          <w:tcPr>
            <w:tcW w:w="394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6"/>
                <w:szCs w:val="16"/>
                <w:color w:val="auto"/>
              </w:rPr>
              <w:t>Finance receivables at fair value</w:t>
            </w:r>
          </w:p>
        </w:tc>
        <w:tc>
          <w:tcPr>
            <w:tcW w:w="1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2,517,663</w:t>
            </w:r>
          </w:p>
        </w:tc>
        <w:tc>
          <w:tcPr>
            <w:tcW w:w="160" w:type="dxa"/>
            <w:vAlign w:val="bottom"/>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71,734</w:t>
            </w:r>
          </w:p>
        </w:tc>
        <w:tc>
          <w:tcPr>
            <w:tcW w:w="144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1,837,138</w:t>
            </w:r>
          </w:p>
        </w:tc>
        <w:tc>
          <w:tcPr>
            <w:tcW w:w="16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50,951</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2,648,209</w:t>
            </w: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79,817</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2,142,958</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67,018</w:t>
            </w:r>
          </w:p>
        </w:tc>
        <w:tc>
          <w:tcPr>
            <w:tcW w:w="2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03"/>
        </w:trPr>
        <w:tc>
          <w:tcPr>
            <w:tcW w:w="9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1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FFFFFF"/>
              </w:rPr>
              <w:t>$</w:t>
            </w:r>
          </w:p>
        </w:tc>
        <w:tc>
          <w:tcPr>
            <w:tcW w:w="160" w:type="dxa"/>
            <w:vAlign w:val="bottom"/>
            <w:shd w:val="clear" w:color="auto" w:fill="EEEEEE"/>
          </w:tcPr>
          <w:p>
            <w:pPr>
              <w:spacing w:after="0"/>
              <w:rPr>
                <w:sz w:val="17"/>
                <w:szCs w:val="17"/>
                <w:color w:val="auto"/>
              </w:rPr>
            </w:pPr>
          </w:p>
        </w:tc>
        <w:tc>
          <w:tcPr>
            <w:tcW w:w="880" w:type="dxa"/>
            <w:vAlign w:val="bottom"/>
            <w:tcBorders>
              <w:right w:val="single" w:sz="8" w:color="EEEEEE"/>
            </w:tcBorders>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940" w:type="dxa"/>
            <w:vAlign w:val="bottom"/>
            <w:gridSpan w:val="5"/>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Interest Bearing Liabilities</w:t>
            </w:r>
          </w:p>
        </w:tc>
        <w:tc>
          <w:tcPr>
            <w:tcW w:w="120" w:type="dxa"/>
            <w:vAlign w:val="bottom"/>
          </w:tcPr>
          <w:p>
            <w:pPr>
              <w:spacing w:after="0"/>
              <w:rPr>
                <w:sz w:val="14"/>
                <w:szCs w:val="14"/>
                <w:color w:val="auto"/>
              </w:rPr>
            </w:pPr>
          </w:p>
        </w:tc>
        <w:tc>
          <w:tcPr>
            <w:tcW w:w="116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6"/>
                <w:szCs w:val="16"/>
                <w:color w:val="FFFFFF"/>
              </w:rPr>
              <w:t>$</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4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6"/>
                <w:szCs w:val="16"/>
                <w:color w:val="auto"/>
              </w:rPr>
              <w:t>Warehouse lines of credit</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172,895</w:t>
            </w:r>
          </w:p>
        </w:tc>
        <w:tc>
          <w:tcPr>
            <w:tcW w:w="160" w:type="dxa"/>
            <w:vAlign w:val="bottom"/>
            <w:shd w:val="clear" w:color="auto" w:fill="EEEEEE"/>
          </w:tcPr>
          <w:p>
            <w:pPr>
              <w:spacing w:after="0"/>
              <w:rPr>
                <w:sz w:val="17"/>
                <w:szCs w:val="17"/>
                <w:color w:val="auto"/>
              </w:rPr>
            </w:pPr>
          </w:p>
        </w:tc>
        <w:tc>
          <w:tcPr>
            <w:tcW w:w="88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3,342</w:t>
            </w:r>
          </w:p>
        </w:tc>
        <w:tc>
          <w:tcPr>
            <w:tcW w:w="144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39,447</w:t>
            </w:r>
          </w:p>
        </w:tc>
        <w:tc>
          <w:tcPr>
            <w:tcW w:w="160" w:type="dxa"/>
            <w:vAlign w:val="bottom"/>
            <w:shd w:val="clear" w:color="auto" w:fill="EEEEEE"/>
          </w:tcPr>
          <w:p>
            <w:pPr>
              <w:spacing w:after="0"/>
              <w:rPr>
                <w:sz w:val="17"/>
                <w:szCs w:val="17"/>
                <w:color w:val="auto"/>
              </w:rPr>
            </w:pPr>
          </w:p>
        </w:tc>
        <w:tc>
          <w:tcPr>
            <w:tcW w:w="10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929</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03"/>
        </w:trPr>
        <w:tc>
          <w:tcPr>
            <w:tcW w:w="39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Residual interest financing</w:t>
            </w:r>
          </w:p>
        </w:tc>
        <w:tc>
          <w:tcPr>
            <w:tcW w:w="12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50,000</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66,824</w:t>
            </w:r>
          </w:p>
        </w:tc>
        <w:tc>
          <w:tcPr>
            <w:tcW w:w="16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1,413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03"/>
        </w:trPr>
        <w:tc>
          <w:tcPr>
            <w:tcW w:w="394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6"/>
                <w:szCs w:val="16"/>
                <w:color w:val="auto"/>
              </w:rPr>
              <w:t>Securitization trust debt</w:t>
            </w:r>
          </w:p>
        </w:tc>
        <w:tc>
          <w:tcPr>
            <w:tcW w:w="120" w:type="dxa"/>
            <w:vAlign w:val="bottom"/>
            <w:shd w:val="clear" w:color="auto" w:fill="EEEEEE"/>
          </w:tcPr>
          <w:p>
            <w:pPr>
              <w:spacing w:after="0"/>
              <w:rPr>
                <w:sz w:val="17"/>
                <w:szCs w:val="17"/>
                <w:color w:val="auto"/>
              </w:rPr>
            </w:pPr>
          </w:p>
        </w:tc>
        <w:tc>
          <w:tcPr>
            <w:tcW w:w="11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2,032,527</w:t>
            </w:r>
          </w:p>
        </w:tc>
        <w:tc>
          <w:tcPr>
            <w:tcW w:w="160" w:type="dxa"/>
            <w:vAlign w:val="bottom"/>
            <w:shd w:val="clear" w:color="auto" w:fill="EEEEEE"/>
          </w:tcPr>
          <w:p>
            <w:pPr>
              <w:spacing w:after="0"/>
              <w:rPr>
                <w:sz w:val="17"/>
                <w:szCs w:val="17"/>
                <w:color w:val="auto"/>
              </w:rPr>
            </w:pPr>
          </w:p>
        </w:tc>
        <w:tc>
          <w:tcPr>
            <w:tcW w:w="88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18,519</w:t>
            </w:r>
          </w:p>
        </w:tc>
        <w:tc>
          <w:tcPr>
            <w:tcW w:w="144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EEEEEE"/>
          </w:tcPr>
          <w:p>
            <w:pPr>
              <w:spacing w:after="0"/>
              <w:rPr>
                <w:sz w:val="17"/>
                <w:szCs w:val="17"/>
                <w:color w:val="auto"/>
              </w:rPr>
            </w:pP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1,819,789</w:t>
            </w:r>
          </w:p>
        </w:tc>
        <w:tc>
          <w:tcPr>
            <w:tcW w:w="160" w:type="dxa"/>
            <w:vAlign w:val="bottom"/>
            <w:shd w:val="clear" w:color="auto" w:fill="EEEEEE"/>
          </w:tcPr>
          <w:p>
            <w:pPr>
              <w:spacing w:after="0"/>
              <w:rPr>
                <w:sz w:val="17"/>
                <w:szCs w:val="17"/>
                <w:color w:val="auto"/>
              </w:rPr>
            </w:pPr>
          </w:p>
        </w:tc>
        <w:tc>
          <w:tcPr>
            <w:tcW w:w="10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15,292</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3"/>
        </w:trPr>
        <w:tc>
          <w:tcPr>
            <w:tcW w:w="39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Subordinated renewable notes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26,868</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0"/>
        </w:trPr>
        <w:tc>
          <w:tcPr>
            <w:tcW w:w="98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62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100" w:type="dxa"/>
            <w:vAlign w:val="bottom"/>
            <w:shd w:val="clear" w:color="auto" w:fill="EEEEEE"/>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tcBorders>
              <w:right w:val="single" w:sz="8" w:color="EEEEEE"/>
            </w:tcBorders>
            <w:shd w:val="clear" w:color="auto" w:fill="000000"/>
          </w:tcPr>
          <w:p>
            <w:pPr>
              <w:spacing w:after="0" w:line="20" w:lineRule="exact"/>
              <w:rPr>
                <w:sz w:val="1"/>
                <w:szCs w:val="1"/>
                <w:color w:val="auto"/>
              </w:rPr>
            </w:pPr>
          </w:p>
        </w:tc>
        <w:tc>
          <w:tcPr>
            <w:tcW w:w="1440" w:type="dxa"/>
            <w:vAlign w:val="bottom"/>
            <w:gridSpan w:val="3"/>
            <w:vMerge w:val="restart"/>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EEEEE"/>
          </w:tcPr>
          <w:p>
            <w:pPr>
              <w:spacing w:after="0" w:line="20" w:lineRule="exact"/>
              <w:rPr>
                <w:sz w:val="1"/>
                <w:szCs w:val="1"/>
                <w:color w:val="auto"/>
              </w:rPr>
            </w:pPr>
          </w:p>
        </w:tc>
        <w:tc>
          <w:tcPr>
            <w:tcW w:w="1100" w:type="dxa"/>
            <w:vAlign w:val="bottom"/>
            <w:gridSpan w:val="2"/>
            <w:vMerge w:val="restart"/>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line="20" w:lineRule="exact"/>
              <w:rPr>
                <w:sz w:val="1"/>
                <w:szCs w:val="1"/>
                <w:color w:val="auto"/>
              </w:rPr>
            </w:pPr>
          </w:p>
        </w:tc>
      </w:tr>
      <w:tr>
        <w:trPr>
          <w:trHeight w:val="223"/>
        </w:trPr>
        <w:tc>
          <w:tcPr>
            <w:tcW w:w="9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6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100" w:type="dxa"/>
            <w:vAlign w:val="bottom"/>
            <w:shd w:val="clear" w:color="auto" w:fill="EEEEEE"/>
          </w:tcPr>
          <w:p>
            <w:pPr>
              <w:spacing w:after="0"/>
              <w:rPr>
                <w:sz w:val="19"/>
                <w:szCs w:val="19"/>
                <w:color w:val="auto"/>
              </w:rPr>
            </w:pP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2,282,928</w:t>
            </w:r>
          </w:p>
        </w:tc>
        <w:tc>
          <w:tcPr>
            <w:tcW w:w="2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88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23,483</w:t>
            </w:r>
          </w:p>
        </w:tc>
        <w:tc>
          <w:tcPr>
            <w:tcW w:w="1440" w:type="dxa"/>
            <w:vAlign w:val="bottom"/>
            <w:gridSpan w:val="3"/>
            <w:vMerge w:val="continue"/>
            <w:shd w:val="clear" w:color="auto" w:fill="EEEEEE"/>
          </w:tcPr>
          <w:p>
            <w:pPr>
              <w:spacing w:after="0"/>
              <w:rPr>
                <w:sz w:val="19"/>
                <w:szCs w:val="19"/>
                <w:color w:val="auto"/>
              </w:rPr>
            </w:pP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1,952,928</w:t>
            </w:r>
          </w:p>
        </w:tc>
        <w:tc>
          <w:tcPr>
            <w:tcW w:w="160" w:type="dxa"/>
            <w:vAlign w:val="bottom"/>
            <w:shd w:val="clear" w:color="auto" w:fill="EEEEEE"/>
          </w:tcPr>
          <w:p>
            <w:pPr>
              <w:spacing w:after="0"/>
              <w:rPr>
                <w:sz w:val="19"/>
                <w:szCs w:val="19"/>
                <w:color w:val="auto"/>
              </w:rPr>
            </w:pPr>
          </w:p>
        </w:tc>
        <w:tc>
          <w:tcPr>
            <w:tcW w:w="8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18,334</w:t>
            </w:r>
          </w:p>
        </w:tc>
        <w:tc>
          <w:tcPr>
            <w:tcW w:w="220" w:type="dxa"/>
            <w:vAlign w:val="bottom"/>
            <w:vMerge w:val="continue"/>
            <w:shd w:val="clear" w:color="auto" w:fill="EEEEEE"/>
          </w:tcPr>
          <w:p>
            <w:pPr>
              <w:spacing w:after="0"/>
              <w:rPr>
                <w:sz w:val="19"/>
                <w:szCs w:val="19"/>
                <w:color w:val="auto"/>
              </w:rPr>
            </w:pPr>
          </w:p>
        </w:tc>
        <w:tc>
          <w:tcPr>
            <w:tcW w:w="1100" w:type="dxa"/>
            <w:vAlign w:val="bottom"/>
            <w:gridSpan w:val="2"/>
            <w:vMerge w:val="continue"/>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6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bottom w:val="single" w:sz="8" w:color="EEEEEE"/>
            </w:tcBorders>
            <w:vMerge w:val="restart"/>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8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6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10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92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6"/>
                <w:szCs w:val="16"/>
                <w:color w:val="FFFFFF"/>
              </w:rPr>
              <w:t>$</w:t>
            </w:r>
          </w:p>
        </w:tc>
        <w:tc>
          <w:tcPr>
            <w:tcW w:w="240" w:type="dxa"/>
            <w:vAlign w:val="bottom"/>
            <w:tcBorders>
              <w:bottom w:val="single" w:sz="8" w:color="EEEEEE"/>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00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90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00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40" w:type="dxa"/>
            <w:vAlign w:val="bottom"/>
            <w:tcBorders>
              <w:bottom w:val="single" w:sz="8" w:color="EEEEEE"/>
            </w:tcBorders>
            <w:gridSpan w:val="5"/>
            <w:shd w:val="clear" w:color="auto" w:fill="EEEEEE"/>
          </w:tcPr>
          <w:p>
            <w:pPr>
              <w:spacing w:after="0"/>
              <w:rPr>
                <w:sz w:val="20"/>
                <w:szCs w:val="20"/>
                <w:color w:val="auto"/>
              </w:rPr>
            </w:pPr>
            <w:r>
              <w:rPr>
                <w:rFonts w:ascii="Times New Roman" w:cs="Times New Roman" w:eastAsia="Times New Roman" w:hAnsi="Times New Roman"/>
                <w:sz w:val="16"/>
                <w:szCs w:val="16"/>
                <w:color w:val="auto"/>
              </w:rPr>
              <w:t>Net interest income/spread</w:t>
            </w:r>
          </w:p>
        </w:tc>
        <w:tc>
          <w:tcPr>
            <w:tcW w:w="120" w:type="dxa"/>
            <w:vAlign w:val="bottom"/>
            <w:tcBorders>
              <w:bottom w:val="single" w:sz="8" w:color="EEEEEE"/>
            </w:tcBorders>
            <w:shd w:val="clear" w:color="auto" w:fill="EEEEEE"/>
          </w:tcPr>
          <w:p>
            <w:pPr>
              <w:spacing w:after="0"/>
              <w:rPr>
                <w:sz w:val="18"/>
                <w:szCs w:val="18"/>
                <w:color w:val="auto"/>
              </w:rPr>
            </w:pPr>
          </w:p>
        </w:tc>
        <w:tc>
          <w:tcPr>
            <w:tcW w:w="1160" w:type="dxa"/>
            <w:vAlign w:val="bottom"/>
            <w:tcBorders>
              <w:bottom w:val="single" w:sz="8" w:color="EEEEEE"/>
            </w:tcBorders>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FFFFFF"/>
              </w:rPr>
              <w:t>$</w:t>
            </w:r>
          </w:p>
        </w:tc>
        <w:tc>
          <w:tcPr>
            <w:tcW w:w="1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56,334</w:t>
            </w:r>
          </w:p>
        </w:tc>
        <w:tc>
          <w:tcPr>
            <w:tcW w:w="220" w:type="dxa"/>
            <w:vAlign w:val="bottom"/>
            <w:tcBorders>
              <w:bottom w:val="single" w:sz="8" w:color="EEEEEE"/>
            </w:tcBorders>
            <w:shd w:val="clear" w:color="auto" w:fill="EEEEEE"/>
          </w:tcPr>
          <w:p>
            <w:pPr>
              <w:spacing w:after="0"/>
              <w:rPr>
                <w:sz w:val="18"/>
                <w:szCs w:val="18"/>
                <w:color w:val="auto"/>
              </w:rPr>
            </w:pPr>
          </w:p>
        </w:tc>
        <w:tc>
          <w:tcPr>
            <w:tcW w:w="1000" w:type="dxa"/>
            <w:vAlign w:val="bottom"/>
            <w:tcBorders>
              <w:bottom w:val="single" w:sz="8" w:color="EEEEEE"/>
            </w:tcBorders>
            <w:shd w:val="clear" w:color="auto" w:fill="EEEEEE"/>
          </w:tcPr>
          <w:p>
            <w:pPr>
              <w:spacing w:after="0"/>
              <w:rPr>
                <w:sz w:val="18"/>
                <w:szCs w:val="18"/>
                <w:color w:val="auto"/>
              </w:rPr>
            </w:pPr>
          </w:p>
        </w:tc>
        <w:tc>
          <w:tcPr>
            <w:tcW w:w="220" w:type="dxa"/>
            <w:vAlign w:val="bottom"/>
            <w:tcBorders>
              <w:bottom w:val="single" w:sz="8" w:color="EEEEEE"/>
            </w:tcBorders>
            <w:shd w:val="clear" w:color="auto" w:fill="EEEEEE"/>
          </w:tcPr>
          <w:p>
            <w:pPr>
              <w:spacing w:after="0"/>
              <w:rPr>
                <w:sz w:val="18"/>
                <w:szCs w:val="18"/>
                <w:color w:val="auto"/>
              </w:rPr>
            </w:pPr>
          </w:p>
        </w:tc>
        <w:tc>
          <w:tcPr>
            <w:tcW w:w="100" w:type="dxa"/>
            <w:vAlign w:val="bottom"/>
            <w:tcBorders>
              <w:bottom w:val="single" w:sz="8" w:color="EEEEEE"/>
            </w:tcBorders>
            <w:shd w:val="clear" w:color="auto" w:fill="EEEEEE"/>
          </w:tcPr>
          <w:p>
            <w:pPr>
              <w:spacing w:after="0"/>
              <w:rPr>
                <w:sz w:val="18"/>
                <w:szCs w:val="18"/>
                <w:color w:val="auto"/>
              </w:rPr>
            </w:pPr>
          </w:p>
        </w:tc>
        <w:tc>
          <w:tcPr>
            <w:tcW w:w="900" w:type="dxa"/>
            <w:vAlign w:val="bottom"/>
            <w:tcBorders>
              <w:bottom w:val="single" w:sz="8" w:color="EEEEEE"/>
            </w:tcBorders>
            <w:shd w:val="clear" w:color="auto" w:fill="EEEEEE"/>
          </w:tcPr>
          <w:p>
            <w:pPr>
              <w:spacing w:after="0"/>
              <w:rPr>
                <w:sz w:val="18"/>
                <w:szCs w:val="18"/>
                <w:color w:val="auto"/>
              </w:rPr>
            </w:pPr>
          </w:p>
        </w:tc>
        <w:tc>
          <w:tcPr>
            <w:tcW w:w="220" w:type="dxa"/>
            <w:vAlign w:val="bottom"/>
            <w:tcBorders>
              <w:bottom w:val="single" w:sz="8" w:color="EEEEEE"/>
            </w:tcBorders>
            <w:shd w:val="clear" w:color="auto" w:fill="EEEEEE"/>
          </w:tcPr>
          <w:p>
            <w:pPr>
              <w:spacing w:after="0"/>
              <w:rPr>
                <w:sz w:val="18"/>
                <w:szCs w:val="18"/>
                <w:color w:val="auto"/>
              </w:rPr>
            </w:pPr>
          </w:p>
        </w:tc>
        <w:tc>
          <w:tcPr>
            <w:tcW w:w="1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48,684</w:t>
            </w:r>
          </w:p>
        </w:tc>
        <w:tc>
          <w:tcPr>
            <w:tcW w:w="220" w:type="dxa"/>
            <w:vAlign w:val="bottom"/>
            <w:tcBorders>
              <w:bottom w:val="single" w:sz="8" w:color="EEEEEE"/>
            </w:tcBorders>
            <w:shd w:val="clear" w:color="auto" w:fill="EEEEEE"/>
          </w:tcPr>
          <w:p>
            <w:pPr>
              <w:spacing w:after="0"/>
              <w:rPr>
                <w:sz w:val="18"/>
                <w:szCs w:val="18"/>
                <w:color w:val="auto"/>
              </w:rPr>
            </w:pPr>
          </w:p>
        </w:tc>
        <w:tc>
          <w:tcPr>
            <w:tcW w:w="1000" w:type="dxa"/>
            <w:vAlign w:val="bottom"/>
            <w:tcBorders>
              <w:bottom w:val="single" w:sz="8" w:color="EEEEEE"/>
            </w:tcBorders>
            <w:shd w:val="clear" w:color="auto" w:fill="EEEEEE"/>
          </w:tcPr>
          <w:p>
            <w:pPr>
              <w:spacing w:after="0"/>
              <w:rPr>
                <w:sz w:val="18"/>
                <w:szCs w:val="18"/>
                <w:color w:val="auto"/>
              </w:rPr>
            </w:pPr>
          </w:p>
        </w:tc>
        <w:tc>
          <w:tcPr>
            <w:tcW w:w="100" w:type="dxa"/>
            <w:vAlign w:val="bottom"/>
            <w:tcBorders>
              <w:bottom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auto"/>
              </w:rPr>
              <w:t>Net interest yield (3)</w:t>
            </w:r>
          </w:p>
        </w:tc>
        <w:tc>
          <w:tcPr>
            <w:tcW w:w="120" w:type="dxa"/>
            <w:vAlign w:val="bottom"/>
          </w:tcPr>
          <w:p>
            <w:pPr>
              <w:spacing w:after="0" w:line="20" w:lineRule="exact"/>
              <w:rPr>
                <w:sz w:val="1"/>
                <w:szCs w:val="1"/>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FFFFFF"/>
              </w:rPr>
              <w:t>$</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line="20" w:lineRule="exact"/>
              <w:rPr>
                <w:sz w:val="1"/>
                <w:szCs w:val="1"/>
                <w:color w:val="auto"/>
              </w:rPr>
            </w:pPr>
          </w:p>
        </w:tc>
      </w:tr>
      <w:tr>
        <w:trPr>
          <w:trHeight w:val="172"/>
        </w:trPr>
        <w:tc>
          <w:tcPr>
            <w:tcW w:w="394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Ratio of average interest earning assets to average interest</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40" w:type="dxa"/>
            <w:vAlign w:val="bottom"/>
            <w:gridSpan w:val="5"/>
          </w:tcPr>
          <w:p>
            <w:pPr>
              <w:ind w:left="180"/>
              <w:spacing w:after="0"/>
              <w:rPr>
                <w:sz w:val="20"/>
                <w:szCs w:val="20"/>
                <w:color w:val="auto"/>
              </w:rPr>
            </w:pPr>
            <w:r>
              <w:rPr>
                <w:rFonts w:ascii="Times New Roman" w:cs="Times New Roman" w:eastAsia="Times New Roman" w:hAnsi="Times New Roman"/>
                <w:sz w:val="16"/>
                <w:szCs w:val="16"/>
                <w:color w:val="auto"/>
              </w:rPr>
              <w:t>bearing liabilities</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FFFFFF"/>
              </w:rPr>
              <w:t>$</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520" w:hanging="287"/>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balances are based on month end balances except for warehouse lines of credit, which are based on daily balances.</w:t>
      </w:r>
    </w:p>
    <w:p>
      <w:pPr>
        <w:spacing w:after="0" w:line="27" w:lineRule="exact"/>
        <w:rPr>
          <w:rFonts w:ascii="Times New Roman" w:cs="Times New Roman" w:eastAsia="Times New Roman" w:hAnsi="Times New Roman"/>
          <w:sz w:val="18"/>
          <w:szCs w:val="18"/>
          <w:color w:val="auto"/>
        </w:rPr>
      </w:pPr>
    </w:p>
    <w:p>
      <w:pPr>
        <w:ind w:left="540" w:hanging="307"/>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deferred fees and direct costs.</w:t>
      </w:r>
    </w:p>
    <w:p>
      <w:pPr>
        <w:spacing w:after="0" w:line="9" w:lineRule="exact"/>
        <w:rPr>
          <w:rFonts w:ascii="Times New Roman" w:cs="Times New Roman" w:eastAsia="Times New Roman" w:hAnsi="Times New Roman"/>
          <w:sz w:val="18"/>
          <w:szCs w:val="18"/>
          <w:color w:val="auto"/>
        </w:rPr>
      </w:pPr>
    </w:p>
    <w:p>
      <w:pPr>
        <w:ind w:left="520" w:hanging="287"/>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net interest income divided by average interest 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29"/>
        </w:trPr>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80" w:type="dxa"/>
            <w:vAlign w:val="bottom"/>
            <w:gridSpan w:val="10"/>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w:t>
            </w:r>
          </w:p>
        </w:tc>
      </w:tr>
      <w:tr>
        <w:trPr>
          <w:trHeight w:val="238"/>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80" w:type="dxa"/>
            <w:vAlign w:val="bottom"/>
            <w:gridSpan w:val="10"/>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Compared to September 30, 2021</w:t>
            </w:r>
          </w:p>
        </w:tc>
      </w:tr>
      <w:tr>
        <w:trPr>
          <w:trHeight w:val="201"/>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ind w:right="420"/>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3"/>
          </w:tcPr>
          <w:p>
            <w:pPr>
              <w:jc w:val="right"/>
              <w:ind w:right="260"/>
              <w:spacing w:after="0" w:line="201" w:lineRule="exact"/>
              <w:rPr>
                <w:sz w:val="20"/>
                <w:szCs w:val="20"/>
                <w:color w:val="auto"/>
              </w:rPr>
            </w:pPr>
            <w:r>
              <w:rPr>
                <w:rFonts w:ascii="Times New Roman" w:cs="Times New Roman" w:eastAsia="Times New Roman" w:hAnsi="Times New Roman"/>
                <w:sz w:val="18"/>
                <w:szCs w:val="18"/>
                <w:b w:val="1"/>
                <w:bCs w:val="1"/>
                <w:color w:val="auto"/>
              </w:rPr>
              <w:t>Change Due</w:t>
            </w:r>
          </w:p>
        </w:tc>
        <w:tc>
          <w:tcPr>
            <w:tcW w:w="1060" w:type="dxa"/>
            <w:vAlign w:val="bottom"/>
            <w:tcBorders>
              <w:top w:val="single" w:sz="8" w:color="auto"/>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Change Due</w:t>
            </w:r>
          </w:p>
        </w:tc>
        <w:tc>
          <w:tcPr>
            <w:tcW w:w="100" w:type="dxa"/>
            <w:vAlign w:val="bottom"/>
            <w:gridSpan w:val="2"/>
          </w:tcPr>
          <w:p>
            <w:pPr>
              <w:spacing w:after="0"/>
              <w:rPr>
                <w:sz w:val="17"/>
                <w:szCs w:val="17"/>
                <w:color w:val="auto"/>
              </w:rPr>
            </w:pPr>
          </w:p>
        </w:tc>
      </w:tr>
      <w:tr>
        <w:trPr>
          <w:trHeight w:val="238"/>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to Volume</w:t>
            </w:r>
          </w:p>
        </w:tc>
        <w:tc>
          <w:tcPr>
            <w:tcW w:w="180" w:type="dxa"/>
            <w:vAlign w:val="bottom"/>
          </w:tcPr>
          <w:p>
            <w:pPr>
              <w:spacing w:after="0"/>
              <w:rPr>
                <w:sz w:val="20"/>
                <w:szCs w:val="20"/>
                <w:color w:val="auto"/>
              </w:rPr>
            </w:pP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to Rate</w:t>
            </w:r>
          </w:p>
        </w:tc>
      </w:tr>
      <w:tr>
        <w:trPr>
          <w:trHeight w:val="210"/>
        </w:trPr>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75"/>
        </w:trPr>
        <w:tc>
          <w:tcPr>
            <w:tcW w:w="88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920" w:type="dxa"/>
            <w:vAlign w:val="bottom"/>
            <w:gridSpan w:val="2"/>
            <w:shd w:val="clear" w:color="auto" w:fill="EEEEEE"/>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Interest Earning Assets</w:t>
            </w:r>
          </w:p>
        </w:tc>
        <w:tc>
          <w:tcPr>
            <w:tcW w:w="96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000" w:type="dxa"/>
            <w:vAlign w:val="bottom"/>
            <w:gridSpan w:val="2"/>
            <w:shd w:val="clear" w:color="auto" w:fill="EEEEEE"/>
          </w:tcPr>
          <w:p>
            <w:pPr>
              <w:jc w:val="right"/>
              <w:ind w:right="120"/>
              <w:spacing w:after="0" w:line="176" w:lineRule="exact"/>
              <w:rPr>
                <w:sz w:val="20"/>
                <w:szCs w:val="20"/>
                <w:color w:val="auto"/>
              </w:rPr>
            </w:pPr>
            <w:r>
              <w:rPr>
                <w:rFonts w:ascii="Times New Roman" w:cs="Times New Roman" w:eastAsia="Times New Roman" w:hAnsi="Times New Roman"/>
                <w:sz w:val="18"/>
                <w:szCs w:val="18"/>
                <w:color w:val="FFFFFF"/>
              </w:rPr>
              <w:t>$</w:t>
            </w:r>
          </w:p>
        </w:tc>
        <w:tc>
          <w:tcPr>
            <w:tcW w:w="8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94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8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r>
      <w:tr>
        <w:trPr>
          <w:trHeight w:val="21"/>
        </w:trPr>
        <w:tc>
          <w:tcPr>
            <w:tcW w:w="8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780" w:type="dxa"/>
            <w:vAlign w:val="bottom"/>
            <w:tcBorders>
              <w:top w:val="single" w:sz="8" w:color="auto"/>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9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8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94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8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r>
      <w:tr>
        <w:trPr>
          <w:trHeight w:val="216"/>
        </w:trPr>
        <w:tc>
          <w:tcPr>
            <w:tcW w:w="2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Finance receivables gross</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(7,984)</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1,240</w:t>
            </w:r>
          </w:p>
        </w:tc>
        <w:tc>
          <w:tcPr>
            <w:tcW w:w="80" w:type="dxa"/>
            <w:vAlign w:val="bottom"/>
          </w:tcPr>
          <w:p>
            <w:pPr>
              <w:spacing w:after="0"/>
              <w:rPr>
                <w:sz w:val="18"/>
                <w:szCs w:val="18"/>
                <w:color w:val="auto"/>
              </w:rPr>
            </w:pPr>
          </w:p>
        </w:tc>
      </w:tr>
      <w:tr>
        <w:trPr>
          <w:trHeight w:val="229"/>
        </w:trPr>
        <w:tc>
          <w:tcPr>
            <w:tcW w:w="2940" w:type="dxa"/>
            <w:vAlign w:val="bottom"/>
            <w:gridSpan w:val="4"/>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at fair value</w:t>
            </w:r>
          </w:p>
        </w:tc>
        <w:tc>
          <w:tcPr>
            <w:tcW w:w="96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20,783</w:t>
            </w:r>
          </w:p>
        </w:tc>
        <w:tc>
          <w:tcPr>
            <w:tcW w:w="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18,895</w:t>
            </w:r>
          </w:p>
        </w:tc>
        <w:tc>
          <w:tcPr>
            <w:tcW w:w="180" w:type="dxa"/>
            <w:vAlign w:val="bottom"/>
            <w:shd w:val="clear" w:color="auto" w:fill="EEEEEE"/>
          </w:tcPr>
          <w:p>
            <w:pPr>
              <w:spacing w:after="0"/>
              <w:rPr>
                <w:sz w:val="19"/>
                <w:szCs w:val="19"/>
                <w:color w:val="auto"/>
              </w:rPr>
            </w:pPr>
          </w:p>
        </w:tc>
        <w:tc>
          <w:tcPr>
            <w:tcW w:w="9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1,888</w:t>
            </w:r>
          </w:p>
        </w:tc>
        <w:tc>
          <w:tcPr>
            <w:tcW w:w="80" w:type="dxa"/>
            <w:vAlign w:val="bottom"/>
            <w:shd w:val="clear" w:color="auto" w:fill="EEEEEE"/>
          </w:tcPr>
          <w:p>
            <w:pPr>
              <w:spacing w:after="0"/>
              <w:rPr>
                <w:sz w:val="19"/>
                <w:szCs w:val="19"/>
                <w:color w:val="auto"/>
              </w:rPr>
            </w:pPr>
          </w:p>
        </w:tc>
      </w:tr>
      <w:tr>
        <w:trPr>
          <w:trHeight w:val="210"/>
        </w:trPr>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1"/>
        </w:trPr>
        <w:tc>
          <w:tcPr>
            <w:tcW w:w="880" w:type="dxa"/>
            <w:vAlign w:val="bottom"/>
            <w:tcBorders>
              <w:bottom w:val="single" w:sz="8" w:color="EEEEEE"/>
            </w:tcBorders>
            <w:shd w:val="clear" w:color="auto" w:fill="EEEEEE"/>
          </w:tcPr>
          <w:p>
            <w:pPr>
              <w:spacing w:after="0"/>
              <w:rPr>
                <w:sz w:val="17"/>
                <w:szCs w:val="17"/>
                <w:color w:val="auto"/>
              </w:rPr>
            </w:pPr>
          </w:p>
        </w:tc>
        <w:tc>
          <w:tcPr>
            <w:tcW w:w="2060" w:type="dxa"/>
            <w:vAlign w:val="bottom"/>
            <w:tcBorders>
              <w:bottom w:val="single" w:sz="8" w:color="auto"/>
            </w:tcBorders>
            <w:gridSpan w:val="3"/>
            <w:shd w:val="clear" w:color="auto" w:fill="EEEEEE"/>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Interest Bearing Liabilities</w:t>
            </w:r>
          </w:p>
        </w:tc>
        <w:tc>
          <w:tcPr>
            <w:tcW w:w="960" w:type="dxa"/>
            <w:vAlign w:val="bottom"/>
            <w:tcBorders>
              <w:bottom w:val="single" w:sz="8" w:color="EEEEEE"/>
            </w:tcBorders>
            <w:shd w:val="clear" w:color="auto" w:fill="EEEEEE"/>
          </w:tcPr>
          <w:p>
            <w:pPr>
              <w:spacing w:after="0"/>
              <w:rPr>
                <w:sz w:val="17"/>
                <w:szCs w:val="17"/>
                <w:color w:val="auto"/>
              </w:rPr>
            </w:pPr>
          </w:p>
        </w:tc>
        <w:tc>
          <w:tcPr>
            <w:tcW w:w="140" w:type="dxa"/>
            <w:vAlign w:val="bottom"/>
            <w:tcBorders>
              <w:bottom w:val="single" w:sz="8" w:color="EEEEEE"/>
            </w:tcBorders>
            <w:shd w:val="clear" w:color="auto" w:fill="EEEEEE"/>
          </w:tcPr>
          <w:p>
            <w:pPr>
              <w:spacing w:after="0"/>
              <w:rPr>
                <w:sz w:val="17"/>
                <w:szCs w:val="17"/>
                <w:color w:val="auto"/>
              </w:rPr>
            </w:pPr>
          </w:p>
        </w:tc>
        <w:tc>
          <w:tcPr>
            <w:tcW w:w="1000" w:type="dxa"/>
            <w:vAlign w:val="bottom"/>
            <w:tcBorders>
              <w:bottom w:val="single" w:sz="8" w:color="EEEEEE"/>
            </w:tcBorders>
            <w:gridSpan w:val="2"/>
            <w:shd w:val="clear" w:color="auto" w:fill="EEEEEE"/>
          </w:tcPr>
          <w:p>
            <w:pPr>
              <w:jc w:val="right"/>
              <w:ind w:right="120"/>
              <w:spacing w:after="0" w:line="176" w:lineRule="exact"/>
              <w:rPr>
                <w:sz w:val="20"/>
                <w:szCs w:val="20"/>
                <w:color w:val="auto"/>
              </w:rPr>
            </w:pPr>
            <w:r>
              <w:rPr>
                <w:rFonts w:ascii="Times New Roman" w:cs="Times New Roman" w:eastAsia="Times New Roman" w:hAnsi="Times New Roman"/>
                <w:sz w:val="18"/>
                <w:szCs w:val="18"/>
                <w:color w:val="FFFFFF"/>
              </w:rPr>
              <w:t>$</w:t>
            </w:r>
          </w:p>
        </w:tc>
        <w:tc>
          <w:tcPr>
            <w:tcW w:w="8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940" w:type="dxa"/>
            <w:vAlign w:val="bottom"/>
            <w:tcBorders>
              <w:bottom w:val="single" w:sz="8" w:color="EEEEEE"/>
            </w:tcBorders>
            <w:shd w:val="clear" w:color="auto" w:fill="EEEEEE"/>
          </w:tcPr>
          <w:p>
            <w:pPr>
              <w:spacing w:after="0"/>
              <w:rPr>
                <w:sz w:val="17"/>
                <w:szCs w:val="17"/>
                <w:color w:val="auto"/>
              </w:rPr>
            </w:pPr>
          </w:p>
        </w:tc>
        <w:tc>
          <w:tcPr>
            <w:tcW w:w="20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88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r>
      <w:tr>
        <w:trPr>
          <w:trHeight w:val="216"/>
        </w:trPr>
        <w:tc>
          <w:tcPr>
            <w:tcW w:w="2940" w:type="dxa"/>
            <w:vAlign w:val="bottom"/>
            <w:tcBorders>
              <w:top w:val="single" w:sz="8" w:color="EEEEEE"/>
            </w:tcBorders>
            <w:gridSpan w:val="4"/>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9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000" w:type="dxa"/>
            <w:vAlign w:val="bottom"/>
            <w:tcBorders>
              <w:top w:val="single" w:sz="8" w:color="EEEEEE"/>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2,413</w:t>
            </w:r>
          </w:p>
        </w:tc>
        <w:tc>
          <w:tcPr>
            <w:tcW w:w="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140" w:type="dxa"/>
            <w:vAlign w:val="bottom"/>
            <w:tcBorders>
              <w:top w:val="single" w:sz="8" w:color="EEEEEE"/>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3,148</w:t>
            </w:r>
          </w:p>
        </w:tc>
        <w:tc>
          <w:tcPr>
            <w:tcW w:w="180" w:type="dxa"/>
            <w:vAlign w:val="bottom"/>
            <w:tcBorders>
              <w:top w:val="single" w:sz="8" w:color="EEEEEE"/>
            </w:tcBorders>
          </w:tcPr>
          <w:p>
            <w:pPr>
              <w:spacing w:after="0"/>
              <w:rPr>
                <w:sz w:val="18"/>
                <w:szCs w:val="18"/>
                <w:color w:val="auto"/>
              </w:rPr>
            </w:pPr>
          </w:p>
        </w:tc>
        <w:tc>
          <w:tcPr>
            <w:tcW w:w="980" w:type="dxa"/>
            <w:vAlign w:val="bottom"/>
            <w:tcBorders>
              <w:top w:val="single" w:sz="8" w:color="EEEEEE"/>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(735)</w:t>
            </w:r>
          </w:p>
        </w:tc>
      </w:tr>
      <w:tr>
        <w:trPr>
          <w:trHeight w:val="216"/>
        </w:trPr>
        <w:tc>
          <w:tcPr>
            <w:tcW w:w="2940" w:type="dxa"/>
            <w:vAlign w:val="bottom"/>
            <w:gridSpan w:val="4"/>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9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2,211</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1,016</w:t>
            </w:r>
          </w:p>
        </w:tc>
        <w:tc>
          <w:tcPr>
            <w:tcW w:w="80" w:type="dxa"/>
            <w:vAlign w:val="bottom"/>
          </w:tcPr>
          <w:p>
            <w:pPr>
              <w:spacing w:after="0"/>
              <w:rPr>
                <w:sz w:val="18"/>
                <w:szCs w:val="18"/>
                <w:color w:val="auto"/>
              </w:rPr>
            </w:pPr>
          </w:p>
        </w:tc>
      </w:tr>
      <w:tr>
        <w:trPr>
          <w:trHeight w:val="230"/>
        </w:trPr>
        <w:tc>
          <w:tcPr>
            <w:tcW w:w="2940" w:type="dxa"/>
            <w:vAlign w:val="bottom"/>
            <w:gridSpan w:val="4"/>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96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EEEEEE"/>
          </w:tcPr>
          <w:p>
            <w:pPr>
              <w:spacing w:after="0"/>
              <w:rPr>
                <w:sz w:val="19"/>
                <w:szCs w:val="19"/>
                <w:color w:val="auto"/>
              </w:rPr>
            </w:pPr>
          </w:p>
        </w:tc>
        <w:tc>
          <w:tcPr>
            <w:tcW w:w="98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r>
      <w:tr>
        <w:trPr>
          <w:trHeight w:val="209"/>
        </w:trPr>
        <w:tc>
          <w:tcPr>
            <w:tcW w:w="88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78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960" w:type="dxa"/>
            <w:vAlign w:val="bottom"/>
            <w:tcBorders>
              <w:bottom w:val="single" w:sz="8" w:color="EEEEEE"/>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1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200" w:type="dxa"/>
            <w:vAlign w:val="bottom"/>
            <w:tcBorders>
              <w:bottom w:val="single" w:sz="8" w:color="EEEEEE"/>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r>
      <w:tr>
        <w:trPr>
          <w:trHeight w:val="210"/>
        </w:trPr>
        <w:tc>
          <w:tcPr>
            <w:tcW w:w="8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43"/>
        </w:trPr>
        <w:tc>
          <w:tcPr>
            <w:tcW w:w="2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interest income/spread</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7,650</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4,646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3,004</w:t>
            </w:r>
          </w:p>
        </w:tc>
        <w:tc>
          <w:tcPr>
            <w:tcW w:w="80" w:type="dxa"/>
            <w:vAlign w:val="bottom"/>
          </w:tcPr>
          <w:p>
            <w:pPr>
              <w:spacing w:after="0"/>
              <w:rPr>
                <w:sz w:val="21"/>
                <w:szCs w:val="2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annualized yield on our finance receivables was 12.1% for the three months ended September 30, 2022 and 12.5% for the same period in 2021. The interest yield on receivables measured at fair value is reduced to take account of expected losses and is therefore less than the yield on other finance receivables. The average balance of these fair value receivables was $2,517.7 million for the three months ended September 30, 2022 compared to $1,837.1 million in the prior year period.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2022, we recorded a reduction to provision for credit losses on finance receivables in the amount of $6.0 million. The reserve decrease was primarily due to a decrease in lifetime expected credit losses resulting from improved credit performance as our previous estimates for future losses exceeded actual incurred losses. This compares to $1.6 million in reductions to provision for credit losses for the three months ended September 30, 2021.</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evaluation of the allowance for credit losses indicated that the reserves against future losses are adequate as of September 30, 2022. Although we have not yet seen a meaningful deterioration in the credit performance for these receivables, worsening economic conditions, inflation and a reversion to the mean for used car pricing could negatively affect credit performance in the future.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allowance applies only to our finance receivables originated through December 2017, which we refer to as our legacy portfolio. Finance receivables that we have originated since January 2018 are accounted for at fair value. Under the fair value method of accounting, we recognize interest income net of expected credit losses. Thus, no provision for credit loss expense is recorded for finance receivables measured at fair value.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expense consists primarily of commission-based compensation paid to our employee sales representatives. Our sales representatives earn a salary plus commissions based on volume of contract purchases and sales of ancillary products and services that we offer our dealers, such as training programs, internet lead sales, and direct mail products. Sales expense increased by $1.7 million to $6.0 million during the three months ended September 30, 2022 and represented 10.7% of total operating expenses. We purchased $468.2 million of new contracts during the three months ended September 30, 2022 compared to $326.8 million in the prior year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Occupancy expenses was $2.0 million for the three months ending September 30, 2022 and 2021.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0" w:name="page31"/>
    <w:bookmarkEnd w:id="30"/>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decreased to $406,000 compared to $409,000 in the previous year and represented 0.8% of total operating expenses.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2022, we recorded income tax expense of $8.9 million, representing a 26% effective tax rate. In the prior period, our income tax expense was $5.9 million, representing a 30% effective tax rate.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Operating Results for the nine months ended September 30, 2022 with the nine months ended September 30, 2021</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During the nine months ended September 30, 2022, our revenues were $246.7 million, an increase of $48.2 million, or 24.3%, from the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revenue of $198.4 million. The primary reason for the increase in revenues is the increase in interest income resulting from the increase in the average outstanding balance of finance receivables measured at fair value. In addition, mark ups to the finance receivables measured at fair value also contributed to the increase in revenues during the period. Revenues for the nine months ended September 30, 2022 include a $15.3 million mark up to the recorded value of the finance receivables measured at fair value. This compares to a $4.4 million mark down in the prior year period. The marks are estimates based on our evaluation of the appropriate fair value and future earnings rate of existing receivables compared to recently acquired receivables and increases or decreases in our estimates of future net losses. During the nine months ended September 30, 2022, we reduced our estimate for expected future losses in finance receivables measured at fair value as we have observed that our previous estimates for increased losses due to the pandemic had not materialized. These changes resulted in the $15.3 million mark up for the nine months ended September 30, 2022.</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income for the nine months ended September 30, 2022 increased $27.0 million, or 13.6%, to $225.5 million from $198.6 million in the prior year. The primary reason for the increase in interest income is the 30.7% increase in the average balance of finance receivables measured at fair value over the prior year period. The table below shows the average balances and interest yields of the two components of our loan portfolio for the nine months ended September 30, 2022 and 2021:</w:t>
      </w:r>
    </w:p>
    <w:p>
      <w:pPr>
        <w:sectPr>
          <w:pgSz w:w="11900" w:h="16838" w:orient="portrait"/>
          <w:cols w:equalWidth="0" w:num="1">
            <w:col w:w="11240"/>
          </w:cols>
          <w:pgMar w:left="320" w:top="7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00" w:firstLine="1102"/>
        <w:spacing w:after="0" w:line="270" w:lineRule="auto"/>
        <w:rPr>
          <w:sz w:val="20"/>
          <w:szCs w:val="20"/>
          <w:color w:val="auto"/>
        </w:rPr>
      </w:pPr>
      <w:r>
        <w:rPr>
          <w:rFonts w:ascii="Times New Roman" w:cs="Times New Roman" w:eastAsia="Times New Roman" w:hAnsi="Times New Roman"/>
          <w:sz w:val="16"/>
          <w:szCs w:val="16"/>
          <w:b w:val="1"/>
          <w:bCs w:val="1"/>
          <w:u w:val="single" w:color="auto"/>
          <w:color w:val="auto"/>
        </w:rPr>
        <w:t xml:space="preserve">Interest Earning Assets </w:t>
      </w:r>
      <w:r>
        <w:rPr>
          <w:rFonts w:ascii="Times New Roman" w:cs="Times New Roman" w:eastAsia="Times New Roman" w:hAnsi="Times New Roman"/>
          <w:sz w:val="16"/>
          <w:szCs w:val="16"/>
          <w:color w:val="auto"/>
        </w:rPr>
        <w:t>Finance receivables</w:t>
      </w:r>
    </w:p>
    <w:p>
      <w:pPr>
        <w:spacing w:after="0" w:line="1" w:lineRule="exact"/>
        <w:rPr>
          <w:sz w:val="20"/>
          <w:szCs w:val="20"/>
          <w:color w:val="auto"/>
        </w:rPr>
      </w:pPr>
    </w:p>
    <w:p>
      <w:pPr>
        <w:ind w:right="460"/>
        <w:spacing w:after="0" w:line="305" w:lineRule="auto"/>
        <w:rPr>
          <w:sz w:val="20"/>
          <w:szCs w:val="20"/>
          <w:color w:val="auto"/>
        </w:rPr>
      </w:pPr>
      <w:r>
        <w:rPr>
          <w:rFonts w:ascii="Times New Roman" w:cs="Times New Roman" w:eastAsia="Times New Roman" w:hAnsi="Times New Roman"/>
          <w:sz w:val="16"/>
          <w:szCs w:val="16"/>
          <w:color w:val="auto"/>
        </w:rPr>
        <w:t>Finance receivables measured at fair value Total</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r>
      <w:tr>
        <w:trPr>
          <w:trHeight w:val="182"/>
        </w:trPr>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40" w:type="dxa"/>
            <w:vAlign w:val="bottom"/>
            <w:gridSpan w:val="5"/>
          </w:tcPr>
          <w:p>
            <w:pPr>
              <w:ind w:left="300"/>
              <w:spacing w:after="0" w:line="182" w:lineRule="exact"/>
              <w:rPr>
                <w:sz w:val="20"/>
                <w:szCs w:val="20"/>
                <w:color w:val="auto"/>
              </w:rPr>
            </w:pPr>
            <w:r>
              <w:rPr>
                <w:rFonts w:ascii="Times New Roman" w:cs="Times New Roman" w:eastAsia="Times New Roman" w:hAnsi="Times New Roman"/>
                <w:sz w:val="16"/>
                <w:szCs w:val="16"/>
                <w:b w:val="1"/>
                <w:bCs w:val="1"/>
                <w:color w:val="auto"/>
              </w:rPr>
              <w:t>(Dollars in thousands)</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2"/>
        </w:trPr>
        <w:tc>
          <w:tcPr>
            <w:tcW w:w="16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6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Interest</w:t>
            </w:r>
          </w:p>
        </w:tc>
      </w:tr>
      <w:tr>
        <w:trPr>
          <w:trHeight w:val="219"/>
        </w:trPr>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4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Yield</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Yield</w:t>
            </w:r>
          </w:p>
        </w:tc>
      </w:tr>
      <w:tr>
        <w:trPr>
          <w:trHeight w:val="396"/>
        </w:trPr>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167,041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29,343</w:t>
            </w:r>
          </w:p>
        </w:tc>
        <w:tc>
          <w:tcPr>
            <w:tcW w:w="12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23.4%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375,642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56,669</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19"/>
        </w:trPr>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2,296,841</w:t>
            </w: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196,204</w:t>
            </w:r>
          </w:p>
        </w:tc>
        <w:tc>
          <w:tcPr>
            <w:tcW w:w="12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11.4%</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1,757,787</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141,882</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10"/>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2,463,882</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225,547</w:t>
            </w:r>
          </w:p>
        </w:tc>
        <w:tc>
          <w:tcPr>
            <w:tcW w:w="240" w:type="dxa"/>
            <w:vAlign w:val="bottom"/>
          </w:tcPr>
          <w:p>
            <w:pPr>
              <w:spacing w:after="0"/>
              <w:rPr>
                <w:sz w:val="18"/>
                <w:szCs w:val="18"/>
                <w:color w:val="auto"/>
              </w:rPr>
            </w:pPr>
          </w:p>
        </w:tc>
        <w:tc>
          <w:tcPr>
            <w:tcW w:w="100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w w:val="96"/>
              </w:rPr>
              <w:t>12.2%</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2,133,429</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198,551</w:t>
            </w: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-574040</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-307975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220" w:space="720"/>
            <w:col w:w="7300"/>
          </w:cols>
          <w:pgMar w:left="320" w:top="796" w:right="339" w:bottom="1440" w:gutter="0" w:footer="0" w:header="0"/>
          <w:type w:val="continuous"/>
        </w:sect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income was $5.9 million for the nine months ended September 30, 2022. This marks a decrease of $1.5 million from other income of $4.3 million for the nine months ended September 30, 2021.</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Our operating expenses consist largely of interest expense, provision for credit losses, employee costs, sales and general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Provision for credit losses is affected by the balance and credit performance of our portfolio of finance receivables (other than our portfolio of finance receivables measured at fair value, as to which expected credit losses have the effect of reducing the internal rate of return or the recorded value applicable to such receivables).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31" w:name="page32"/>
    <w:bookmarkEnd w:id="31"/>
    <w:p>
      <w:pPr>
        <w:jc w:val="both"/>
        <w:spacing w:after="0" w:line="266" w:lineRule="auto"/>
        <w:rPr>
          <w:sz w:val="20"/>
          <w:szCs w:val="20"/>
          <w:color w:val="auto"/>
        </w:rPr>
      </w:pPr>
      <w:r>
        <w:rPr>
          <w:rFonts w:ascii="Times New Roman" w:cs="Times New Roman" w:eastAsia="Times New Roman" w:hAnsi="Times New Roman"/>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purchased and serviced.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operating expenses were $148.8 million for the nine months ended September 30, 2022, compared to $157.1 million for the prior period, a decrease of $8.3 million, or 5.3%. The decrease is primarily due to larger provision for credit loss reversals in 2022.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Employee costs were $63.4 million during the nine months ended September 30, 2022 compared to $57.8 million for the same period in the prior year. The table below summarizes our employees by category as well as contract purchases and units in our managed portfolio as of, and for the nine-month periods ended, September 30, 2022 and 2021: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580" w:type="dxa"/>
            <w:vAlign w:val="bottom"/>
            <w:gridSpan w:val="7"/>
          </w:tcPr>
          <w:p>
            <w:pPr>
              <w:ind w:left="4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2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26"/>
        </w:trPr>
        <w:tc>
          <w:tcPr>
            <w:tcW w:w="5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(Dollars in millions)</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purchased (dollars)</w:t>
            </w:r>
          </w:p>
        </w:tc>
        <w:tc>
          <w:tcPr>
            <w:tcW w:w="336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1,426.3</w:t>
            </w:r>
          </w:p>
        </w:tc>
        <w:tc>
          <w:tcPr>
            <w:tcW w:w="600" w:type="dxa"/>
            <w:vAlign w:val="bottom"/>
            <w:shd w:val="clear" w:color="auto" w:fill="EEEEEE"/>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818.3</w:t>
            </w: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Contracts purchased (units)</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61,947</w:t>
            </w:r>
          </w:p>
        </w:tc>
        <w:tc>
          <w:tcPr>
            <w:tcW w:w="6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39,929</w:t>
            </w:r>
          </w:p>
        </w:tc>
        <w:tc>
          <w:tcPr>
            <w:tcW w:w="8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Managed portfolio outstanding (dollars)</w:t>
            </w:r>
          </w:p>
        </w:tc>
        <w:tc>
          <w:tcPr>
            <w:tcW w:w="336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2,838.9</w:t>
            </w:r>
          </w:p>
        </w:tc>
        <w:tc>
          <w:tcPr>
            <w:tcW w:w="600" w:type="dxa"/>
            <w:vAlign w:val="bottom"/>
            <w:shd w:val="clear" w:color="auto" w:fill="EEEEEE"/>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2,184.1</w:t>
            </w: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Managed portfolio outstanding (units)</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173,774</w:t>
            </w:r>
          </w:p>
        </w:tc>
        <w:tc>
          <w:tcPr>
            <w:tcW w:w="6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156,456</w:t>
            </w:r>
          </w:p>
        </w:tc>
        <w:tc>
          <w:tcPr>
            <w:tcW w:w="8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18"/>
                <w:szCs w:val="18"/>
                <w:color w:val="auto"/>
              </w:rPr>
            </w:pPr>
          </w:p>
        </w:tc>
        <w:tc>
          <w:tcPr>
            <w:tcW w:w="23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Number of Originations staff</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187</w:t>
            </w:r>
          </w:p>
        </w:tc>
        <w:tc>
          <w:tcPr>
            <w:tcW w:w="6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Sales staff</w:t>
            </w:r>
          </w:p>
        </w:tc>
        <w:tc>
          <w:tcPr>
            <w:tcW w:w="23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134</w:t>
            </w:r>
          </w:p>
        </w:tc>
        <w:tc>
          <w:tcPr>
            <w:tcW w:w="6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Number of Servicing staff</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404</w:t>
            </w:r>
          </w:p>
        </w:tc>
        <w:tc>
          <w:tcPr>
            <w:tcW w:w="6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w:t>
            </w:r>
          </w:p>
        </w:tc>
        <w:tc>
          <w:tcPr>
            <w:tcW w:w="80" w:type="dxa"/>
            <w:vAlign w:val="bottom"/>
          </w:tcPr>
          <w:p>
            <w:pPr>
              <w:spacing w:after="0"/>
              <w:rPr>
                <w:sz w:val="18"/>
                <w:szCs w:val="18"/>
                <w:color w:val="auto"/>
              </w:rPr>
            </w:pPr>
          </w:p>
        </w:tc>
      </w:tr>
      <w:tr>
        <w:trPr>
          <w:trHeight w:val="230"/>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other staff</w:t>
            </w:r>
          </w:p>
        </w:tc>
        <w:tc>
          <w:tcPr>
            <w:tcW w:w="238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67</w:t>
            </w:r>
          </w:p>
        </w:tc>
        <w:tc>
          <w:tcPr>
            <w:tcW w:w="60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EEEEEE"/>
          </w:tcPr>
          <w:p>
            <w:pPr>
              <w:spacing w:after="0"/>
              <w:rPr>
                <w:sz w:val="19"/>
                <w:szCs w:val="19"/>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employees</w:t>
            </w:r>
          </w:p>
        </w:tc>
        <w:tc>
          <w:tcPr>
            <w:tcW w:w="2380" w:type="dxa"/>
            <w:vAlign w:val="bottom"/>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$25.9 million, an increase from $23.0 million in the previous year and represented 17.4% of total operating expenses.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for the nine months ended September 30, 2022 were $58.7 million and represented 39.4% of total operating expenses, compared to $58.3 million in the previous year, when it was 37.1% of total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2" w:name="page33"/>
    <w:bookmarkEnd w:id="32"/>
    <w:p>
      <w:pPr>
        <w:jc w:val="both"/>
        <w:spacing w:after="0" w:line="254" w:lineRule="auto"/>
        <w:rPr>
          <w:sz w:val="20"/>
          <w:szCs w:val="20"/>
          <w:color w:val="auto"/>
        </w:rPr>
      </w:pPr>
      <w:r>
        <w:rPr>
          <w:rFonts w:ascii="Times New Roman" w:cs="Times New Roman" w:eastAsia="Times New Roman" w:hAnsi="Times New Roman"/>
          <w:sz w:val="18"/>
          <w:szCs w:val="18"/>
          <w:color w:val="auto"/>
        </w:rPr>
        <w:t>Interest on securitization trust debt decreased by $2.8 million for the nine months ended September 30, 2022 compared to the prior period. The average balance of securitization trust debt increased to $1,959.5 million for the nine months ended September 30, 2022 compared to $1,842.7 million for the nine months ended September 30, 2021. The annualized average rate on our securitization trust debt was 3.3% for the nine months ended September 30, 2022 compared to 3.7% in the prior year period. For each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Blended Cost of Funds on Recent Asset-Backed Term Securitizations</w:t>
      </w:r>
    </w:p>
    <w:p>
      <w:pPr>
        <w:spacing w:after="0" w:line="225" w:lineRule="exact"/>
        <w:rPr>
          <w:sz w:val="20"/>
          <w:szCs w:val="20"/>
          <w:color w:val="auto"/>
        </w:rPr>
      </w:pPr>
    </w:p>
    <w:tbl>
      <w:tblPr>
        <w:tblLayout w:type="fixed"/>
        <w:tblInd w:w="2700" w:type="dxa"/>
        <w:tblCellMar>
          <w:top w:w="0" w:type="dxa"/>
          <w:left w:w="0" w:type="dxa"/>
          <w:bottom w:w="0" w:type="dxa"/>
          <w:right w:w="0" w:type="dxa"/>
        </w:tblCellMar>
      </w:tblPr>
      <w:tr>
        <w:trPr>
          <w:trHeight w:val="238"/>
        </w:trPr>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Blended Cost of Funds</w:t>
            </w:r>
          </w:p>
        </w:tc>
      </w:tr>
      <w:tr>
        <w:trPr>
          <w:trHeight w:val="210"/>
        </w:trPr>
        <w:tc>
          <w:tcPr>
            <w:tcW w:w="282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January 2018</w:t>
            </w:r>
          </w:p>
        </w:tc>
        <w:tc>
          <w:tcPr>
            <w:tcW w:w="220" w:type="dxa"/>
            <w:vAlign w:val="bottom"/>
            <w:tcBorders>
              <w:top w:val="single" w:sz="8" w:color="EEEEEE"/>
            </w:tcBorders>
            <w:shd w:val="clear" w:color="auto" w:fill="EEEEEE"/>
          </w:tcPr>
          <w:p>
            <w:pPr>
              <w:spacing w:after="0"/>
              <w:rPr>
                <w:sz w:val="18"/>
                <w:szCs w:val="18"/>
                <w:color w:val="auto"/>
              </w:rPr>
            </w:pPr>
          </w:p>
        </w:tc>
        <w:tc>
          <w:tcPr>
            <w:tcW w:w="280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3.46%</w:t>
            </w:r>
          </w:p>
        </w:tc>
      </w:tr>
      <w:tr>
        <w:trPr>
          <w:trHeight w:val="216"/>
        </w:trPr>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April 2018</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3.98%</w:t>
            </w:r>
          </w:p>
        </w:tc>
      </w:tr>
      <w:tr>
        <w:trPr>
          <w:trHeight w:val="216"/>
        </w:trPr>
        <w:tc>
          <w:tcPr>
            <w:tcW w:w="304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July 2018</w:t>
            </w:r>
          </w:p>
        </w:tc>
        <w:tc>
          <w:tcPr>
            <w:tcW w:w="28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4.18%</w:t>
            </w:r>
          </w:p>
        </w:tc>
      </w:tr>
      <w:tr>
        <w:trPr>
          <w:trHeight w:val="216"/>
        </w:trPr>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2018</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4.25%</w:t>
            </w:r>
          </w:p>
        </w:tc>
      </w:tr>
      <w:tr>
        <w:trPr>
          <w:trHeight w:val="216"/>
        </w:trPr>
        <w:tc>
          <w:tcPr>
            <w:tcW w:w="304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rPr>
              <w:t>January 2019</w:t>
            </w:r>
          </w:p>
        </w:tc>
        <w:tc>
          <w:tcPr>
            <w:tcW w:w="28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4.22%</w:t>
            </w:r>
          </w:p>
        </w:tc>
      </w:tr>
      <w:tr>
        <w:trPr>
          <w:trHeight w:val="216"/>
        </w:trPr>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April 2019</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3.95%</w:t>
            </w:r>
          </w:p>
        </w:tc>
      </w:tr>
      <w:tr>
        <w:trPr>
          <w:trHeight w:val="216"/>
        </w:trPr>
        <w:tc>
          <w:tcPr>
            <w:tcW w:w="304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July 2019</w:t>
            </w:r>
          </w:p>
        </w:tc>
        <w:tc>
          <w:tcPr>
            <w:tcW w:w="28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3.36%</w:t>
            </w:r>
          </w:p>
        </w:tc>
      </w:tr>
      <w:tr>
        <w:trPr>
          <w:trHeight w:val="216"/>
        </w:trPr>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2019</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2.95%</w:t>
            </w:r>
          </w:p>
        </w:tc>
      </w:tr>
      <w:tr>
        <w:trPr>
          <w:trHeight w:val="216"/>
        </w:trPr>
        <w:tc>
          <w:tcPr>
            <w:tcW w:w="304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rPr>
              <w:t>January 2020</w:t>
            </w:r>
          </w:p>
        </w:tc>
        <w:tc>
          <w:tcPr>
            <w:tcW w:w="28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3.08%</w:t>
            </w:r>
          </w:p>
        </w:tc>
      </w:tr>
      <w:tr>
        <w:trPr>
          <w:trHeight w:val="216"/>
        </w:trPr>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June 2020</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4.09%</w:t>
            </w:r>
          </w:p>
        </w:tc>
      </w:tr>
      <w:tr>
        <w:trPr>
          <w:trHeight w:val="216"/>
        </w:trPr>
        <w:tc>
          <w:tcPr>
            <w:tcW w:w="304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rPr>
              <w:t>September 2020</w:t>
            </w:r>
          </w:p>
        </w:tc>
        <w:tc>
          <w:tcPr>
            <w:tcW w:w="28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2.39%</w:t>
            </w:r>
          </w:p>
        </w:tc>
      </w:tr>
      <w:tr>
        <w:trPr>
          <w:trHeight w:val="216"/>
        </w:trPr>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January 2021</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1.11%</w:t>
            </w:r>
          </w:p>
        </w:tc>
      </w:tr>
      <w:tr>
        <w:trPr>
          <w:trHeight w:val="216"/>
        </w:trPr>
        <w:tc>
          <w:tcPr>
            <w:tcW w:w="304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w w:val="99"/>
              </w:rPr>
              <w:t>April 2021</w:t>
            </w:r>
          </w:p>
        </w:tc>
        <w:tc>
          <w:tcPr>
            <w:tcW w:w="28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1.65%</w:t>
            </w:r>
          </w:p>
        </w:tc>
      </w:tr>
      <w:tr>
        <w:trPr>
          <w:trHeight w:val="216"/>
        </w:trPr>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July 2021</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1.55%</w:t>
            </w:r>
          </w:p>
        </w:tc>
      </w:tr>
      <w:tr>
        <w:trPr>
          <w:trHeight w:val="216"/>
        </w:trPr>
        <w:tc>
          <w:tcPr>
            <w:tcW w:w="304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2021</w:t>
            </w:r>
          </w:p>
        </w:tc>
        <w:tc>
          <w:tcPr>
            <w:tcW w:w="28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2.09%</w:t>
            </w:r>
          </w:p>
        </w:tc>
      </w:tr>
      <w:tr>
        <w:trPr>
          <w:trHeight w:val="216"/>
        </w:trPr>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January 2022</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2.54%</w:t>
            </w:r>
          </w:p>
        </w:tc>
      </w:tr>
      <w:tr>
        <w:trPr>
          <w:trHeight w:val="216"/>
        </w:trPr>
        <w:tc>
          <w:tcPr>
            <w:tcW w:w="304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w w:val="99"/>
              </w:rPr>
              <w:t>April 2022</w:t>
            </w:r>
          </w:p>
        </w:tc>
        <w:tc>
          <w:tcPr>
            <w:tcW w:w="28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4.83%</w:t>
            </w:r>
          </w:p>
        </w:tc>
      </w:tr>
      <w:tr>
        <w:trPr>
          <w:trHeight w:val="234"/>
        </w:trPr>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July 2022</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6.02%</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on warehouse credit line debt was $5.9 million for the nine months ended September 30, 2022 compared to $3.3 million in the prior year period. Lower rates were offset by higher utilization of our credit lines during the quarter compared to last year. The average balance of our warehouse debt was $108.7 million during the nine months ended September 30, 2022 compared to $46.7 million for the same period in 2021.</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on subordinated renewable notes decreased by $198,000. The average balance of the outstanding subordinated debt increased 9.2% to $26.9 million for the nine months ended September 30, 2022 compared to $24.6 million for the nine months ended September 30, 2021. The average yield of subordinated notes decreased to 8.8% in the nine-month period ended September 30, 2022 compared to 10.7% in the prior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16, 2018, we completed a $40.0 million securitization of residual interests from previously issued securitizations. On June 30, 2021, we completed a $50 million securitization of residual from other previously issued securitizations. Interest expense on these residual interest financings were $3.2 million for the nine months ended September 30, 2022 compared to $2.4 million in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income and interest expense and a net interest yield analysis for the nine-month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and 2021: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(Dollars in</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Annualized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Annualized</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9"/>
                <w:szCs w:val="19"/>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38"/>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Balance (1)</w:t>
            </w:r>
          </w:p>
        </w:tc>
        <w:tc>
          <w:tcPr>
            <w:tcW w:w="18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0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Yield/Rate</w:t>
            </w:r>
          </w:p>
        </w:tc>
        <w:tc>
          <w:tcPr>
            <w:tcW w:w="10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Balance (1)</w:t>
            </w:r>
          </w:p>
        </w:tc>
        <w:tc>
          <w:tcPr>
            <w:tcW w:w="18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Yield/Rate</w:t>
            </w:r>
          </w:p>
        </w:tc>
        <w:tc>
          <w:tcPr>
            <w:tcW w:w="0" w:type="dxa"/>
            <w:vAlign w:val="bottom"/>
          </w:tcPr>
          <w:p>
            <w:pPr>
              <w:spacing w:after="0"/>
              <w:rPr>
                <w:sz w:val="1"/>
                <w:szCs w:val="1"/>
                <w:color w:val="auto"/>
              </w:rPr>
            </w:pPr>
          </w:p>
        </w:tc>
      </w:tr>
      <w:tr>
        <w:trPr>
          <w:trHeight w:val="189"/>
        </w:trPr>
        <w:tc>
          <w:tcPr>
            <w:tcW w:w="540" w:type="dxa"/>
            <w:vAlign w:val="bottom"/>
            <w:tcBorders>
              <w:top w:val="single" w:sz="8" w:color="EEEEEE"/>
              <w:bottom w:val="single" w:sz="8" w:color="EEEEEE"/>
            </w:tcBorders>
            <w:shd w:val="clear" w:color="auto" w:fill="EEEEEE"/>
          </w:tcPr>
          <w:p>
            <w:pPr>
              <w:spacing w:after="0"/>
              <w:rPr>
                <w:sz w:val="16"/>
                <w:szCs w:val="16"/>
                <w:color w:val="auto"/>
              </w:rPr>
            </w:pPr>
          </w:p>
        </w:tc>
        <w:tc>
          <w:tcPr>
            <w:tcW w:w="140" w:type="dxa"/>
            <w:vAlign w:val="bottom"/>
            <w:tcBorders>
              <w:top w:val="single" w:sz="8" w:color="EEEEEE"/>
              <w:bottom w:val="single" w:sz="8" w:color="EEEEEE"/>
            </w:tcBorders>
            <w:shd w:val="clear" w:color="auto" w:fill="EEEEEE"/>
          </w:tcPr>
          <w:p>
            <w:pPr>
              <w:spacing w:after="0"/>
              <w:rPr>
                <w:sz w:val="16"/>
                <w:szCs w:val="16"/>
                <w:color w:val="auto"/>
              </w:rPr>
            </w:pPr>
          </w:p>
        </w:tc>
        <w:tc>
          <w:tcPr>
            <w:tcW w:w="1800" w:type="dxa"/>
            <w:vAlign w:val="bottom"/>
            <w:tcBorders>
              <w:top w:val="single" w:sz="8" w:color="EEEEEE"/>
              <w:bottom w:val="single" w:sz="8" w:color="auto"/>
            </w:tcBorders>
            <w:shd w:val="clear" w:color="auto" w:fill="EEEEEE"/>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Interest Earning Assets</w:t>
            </w:r>
          </w:p>
        </w:tc>
        <w:tc>
          <w:tcPr>
            <w:tcW w:w="800" w:type="dxa"/>
            <w:vAlign w:val="bottom"/>
            <w:tcBorders>
              <w:top w:val="single" w:sz="8" w:color="EEEEEE"/>
              <w:bottom w:val="single" w:sz="8" w:color="EEEEEE"/>
            </w:tcBorders>
            <w:gridSpan w:val="2"/>
            <w:shd w:val="clear" w:color="auto" w:fill="EEEEEE"/>
          </w:tcPr>
          <w:p>
            <w:pPr>
              <w:spacing w:after="0"/>
              <w:rPr>
                <w:sz w:val="16"/>
                <w:szCs w:val="16"/>
                <w:color w:val="auto"/>
              </w:rPr>
            </w:pPr>
          </w:p>
        </w:tc>
        <w:tc>
          <w:tcPr>
            <w:tcW w:w="100" w:type="dxa"/>
            <w:vAlign w:val="bottom"/>
            <w:tcBorders>
              <w:top w:val="single" w:sz="8" w:color="auto"/>
              <w:bottom w:val="single" w:sz="8" w:color="EEEEEE"/>
            </w:tcBorders>
            <w:shd w:val="clear" w:color="auto" w:fill="EEEEEE"/>
          </w:tcPr>
          <w:p>
            <w:pPr>
              <w:spacing w:after="0"/>
              <w:rPr>
                <w:sz w:val="16"/>
                <w:szCs w:val="16"/>
                <w:color w:val="auto"/>
              </w:rPr>
            </w:pPr>
          </w:p>
        </w:tc>
        <w:tc>
          <w:tcPr>
            <w:tcW w:w="1020" w:type="dxa"/>
            <w:vAlign w:val="bottom"/>
            <w:tcBorders>
              <w:top w:val="single" w:sz="8" w:color="auto"/>
              <w:bottom w:val="single" w:sz="8" w:color="EEEEEE"/>
            </w:tcBorders>
            <w:shd w:val="clear" w:color="auto" w:fill="EEEEEE"/>
          </w:tcPr>
          <w:p>
            <w:pPr>
              <w:spacing w:after="0"/>
              <w:rPr>
                <w:sz w:val="16"/>
                <w:szCs w:val="16"/>
                <w:color w:val="auto"/>
              </w:rPr>
            </w:pPr>
          </w:p>
        </w:tc>
        <w:tc>
          <w:tcPr>
            <w:tcW w:w="260" w:type="dxa"/>
            <w:vAlign w:val="bottom"/>
            <w:tcBorders>
              <w:top w:val="single" w:sz="8" w:color="EEEEEE"/>
              <w:bottom w:val="single" w:sz="8" w:color="EEEEEE"/>
            </w:tcBorders>
            <w:shd w:val="clear" w:color="auto" w:fill="EEEEEE"/>
          </w:tcPr>
          <w:p>
            <w:pPr>
              <w:spacing w:after="0"/>
              <w:rPr>
                <w:sz w:val="16"/>
                <w:szCs w:val="16"/>
                <w:color w:val="auto"/>
              </w:rPr>
            </w:pPr>
          </w:p>
        </w:tc>
        <w:tc>
          <w:tcPr>
            <w:tcW w:w="180" w:type="dxa"/>
            <w:vAlign w:val="bottom"/>
            <w:tcBorders>
              <w:top w:val="single" w:sz="8" w:color="auto"/>
              <w:bottom w:val="single" w:sz="8" w:color="EEEEEE"/>
            </w:tcBorders>
            <w:shd w:val="clear" w:color="auto" w:fill="EEEEEE"/>
          </w:tcPr>
          <w:p>
            <w:pPr>
              <w:spacing w:after="0"/>
              <w:rPr>
                <w:sz w:val="16"/>
                <w:szCs w:val="16"/>
                <w:color w:val="auto"/>
              </w:rPr>
            </w:pPr>
          </w:p>
        </w:tc>
        <w:tc>
          <w:tcPr>
            <w:tcW w:w="980" w:type="dxa"/>
            <w:vAlign w:val="bottom"/>
            <w:tcBorders>
              <w:top w:val="single" w:sz="8" w:color="auto"/>
              <w:bottom w:val="single" w:sz="8" w:color="EEEEEE"/>
              <w:right w:val="single" w:sz="8" w:color="EEEEEE"/>
            </w:tcBorders>
            <w:shd w:val="clear" w:color="auto" w:fill="EEEEEE"/>
          </w:tcPr>
          <w:p>
            <w:pPr>
              <w:spacing w:after="0"/>
              <w:rPr>
                <w:sz w:val="16"/>
                <w:szCs w:val="16"/>
                <w:color w:val="auto"/>
              </w:rPr>
            </w:pPr>
          </w:p>
        </w:tc>
        <w:tc>
          <w:tcPr>
            <w:tcW w:w="200" w:type="dxa"/>
            <w:vAlign w:val="bottom"/>
            <w:tcBorders>
              <w:top w:val="single" w:sz="8" w:color="EEEEEE"/>
              <w:bottom w:val="single" w:sz="8" w:color="EEEEEE"/>
            </w:tcBorders>
            <w:shd w:val="clear" w:color="auto" w:fill="EEEEEE"/>
          </w:tcPr>
          <w:p>
            <w:pPr>
              <w:spacing w:after="0"/>
              <w:rPr>
                <w:sz w:val="16"/>
                <w:szCs w:val="16"/>
                <w:color w:val="auto"/>
              </w:rPr>
            </w:pPr>
          </w:p>
        </w:tc>
        <w:tc>
          <w:tcPr>
            <w:tcW w:w="1140" w:type="dxa"/>
            <w:vAlign w:val="bottom"/>
            <w:tcBorders>
              <w:top w:val="single" w:sz="8" w:color="auto"/>
              <w:bottom w:val="single" w:sz="8" w:color="EEEEEE"/>
            </w:tcBorders>
            <w:shd w:val="clear" w:color="auto" w:fill="EEEEEE"/>
          </w:tcPr>
          <w:p>
            <w:pPr>
              <w:spacing w:after="0"/>
              <w:rPr>
                <w:sz w:val="16"/>
                <w:szCs w:val="16"/>
                <w:color w:val="auto"/>
              </w:rPr>
            </w:pPr>
          </w:p>
        </w:tc>
        <w:tc>
          <w:tcPr>
            <w:tcW w:w="220" w:type="dxa"/>
            <w:vAlign w:val="bottom"/>
            <w:tcBorders>
              <w:top w:val="single" w:sz="8" w:color="EEEEEE"/>
              <w:bottom w:val="single" w:sz="8" w:color="EEEEEE"/>
            </w:tcBorders>
            <w:shd w:val="clear" w:color="auto" w:fill="EEEEEE"/>
          </w:tcPr>
          <w:p>
            <w:pPr>
              <w:spacing w:after="0"/>
              <w:rPr>
                <w:sz w:val="16"/>
                <w:szCs w:val="16"/>
                <w:color w:val="auto"/>
              </w:rPr>
            </w:pPr>
          </w:p>
        </w:tc>
        <w:tc>
          <w:tcPr>
            <w:tcW w:w="100" w:type="dxa"/>
            <w:vAlign w:val="bottom"/>
            <w:tcBorders>
              <w:top w:val="single" w:sz="8" w:color="auto"/>
              <w:bottom w:val="single" w:sz="8" w:color="EEEEEE"/>
            </w:tcBorders>
            <w:shd w:val="clear" w:color="auto" w:fill="EEEEEE"/>
          </w:tcPr>
          <w:p>
            <w:pPr>
              <w:spacing w:after="0"/>
              <w:rPr>
                <w:sz w:val="16"/>
                <w:szCs w:val="16"/>
                <w:color w:val="auto"/>
              </w:rPr>
            </w:pPr>
          </w:p>
        </w:tc>
        <w:tc>
          <w:tcPr>
            <w:tcW w:w="1000" w:type="dxa"/>
            <w:vAlign w:val="bottom"/>
            <w:tcBorders>
              <w:top w:val="single" w:sz="8" w:color="auto"/>
              <w:bottom w:val="single" w:sz="8" w:color="EEEEEE"/>
            </w:tcBorders>
            <w:shd w:val="clear" w:color="auto" w:fill="EEEEEE"/>
          </w:tcPr>
          <w:p>
            <w:pPr>
              <w:spacing w:after="0"/>
              <w:rPr>
                <w:sz w:val="16"/>
                <w:szCs w:val="16"/>
                <w:color w:val="auto"/>
              </w:rPr>
            </w:pPr>
          </w:p>
        </w:tc>
        <w:tc>
          <w:tcPr>
            <w:tcW w:w="220" w:type="dxa"/>
            <w:vAlign w:val="bottom"/>
            <w:tcBorders>
              <w:top w:val="single" w:sz="8" w:color="EEEEEE"/>
              <w:bottom w:val="single" w:sz="8" w:color="EEEEEE"/>
            </w:tcBorders>
            <w:shd w:val="clear" w:color="auto" w:fill="EEEEEE"/>
          </w:tcPr>
          <w:p>
            <w:pPr>
              <w:spacing w:after="0"/>
              <w:rPr>
                <w:sz w:val="16"/>
                <w:szCs w:val="16"/>
                <w:color w:val="auto"/>
              </w:rPr>
            </w:pPr>
          </w:p>
        </w:tc>
        <w:tc>
          <w:tcPr>
            <w:tcW w:w="180" w:type="dxa"/>
            <w:vAlign w:val="bottom"/>
            <w:tcBorders>
              <w:top w:val="single" w:sz="8" w:color="auto"/>
              <w:bottom w:val="single" w:sz="8" w:color="EEEEEE"/>
            </w:tcBorders>
            <w:shd w:val="clear" w:color="auto" w:fill="EEEEEE"/>
          </w:tcPr>
          <w:p>
            <w:pPr>
              <w:spacing w:after="0"/>
              <w:rPr>
                <w:sz w:val="16"/>
                <w:szCs w:val="16"/>
                <w:color w:val="auto"/>
              </w:rPr>
            </w:pPr>
          </w:p>
        </w:tc>
        <w:tc>
          <w:tcPr>
            <w:tcW w:w="920" w:type="dxa"/>
            <w:vAlign w:val="bottom"/>
            <w:tcBorders>
              <w:top w:val="single" w:sz="8" w:color="auto"/>
              <w:bottom w:val="single" w:sz="8" w:color="EEEEEE"/>
            </w:tcBorders>
            <w:shd w:val="clear" w:color="auto" w:fill="EEEEEE"/>
          </w:tcPr>
          <w:p>
            <w:pPr>
              <w:spacing w:after="0"/>
              <w:rPr>
                <w:sz w:val="16"/>
                <w:szCs w:val="16"/>
                <w:color w:val="auto"/>
              </w:rPr>
            </w:pPr>
          </w:p>
        </w:tc>
        <w:tc>
          <w:tcPr>
            <w:tcW w:w="220" w:type="dxa"/>
            <w:vAlign w:val="bottom"/>
            <w:tcBorders>
              <w:top w:val="single" w:sz="8" w:color="EEEEEE"/>
              <w:bottom w:val="single" w:sz="8" w:color="EEEEEE"/>
            </w:tcBorders>
            <w:shd w:val="clear" w:color="auto" w:fill="EEEEEE"/>
          </w:tcPr>
          <w:p>
            <w:pPr>
              <w:spacing w:after="0"/>
              <w:rPr>
                <w:sz w:val="16"/>
                <w:szCs w:val="16"/>
                <w:color w:val="auto"/>
              </w:rPr>
            </w:pPr>
          </w:p>
        </w:tc>
        <w:tc>
          <w:tcPr>
            <w:tcW w:w="1120" w:type="dxa"/>
            <w:vAlign w:val="bottom"/>
            <w:tcBorders>
              <w:top w:val="single" w:sz="8" w:color="auto"/>
              <w:bottom w:val="single" w:sz="8" w:color="EEEEEE"/>
            </w:tcBorders>
            <w:shd w:val="clear" w:color="auto" w:fill="EEEEEE"/>
          </w:tcPr>
          <w:p>
            <w:pPr>
              <w:spacing w:after="0"/>
              <w:rPr>
                <w:sz w:val="16"/>
                <w:szCs w:val="16"/>
                <w:color w:val="auto"/>
              </w:rPr>
            </w:pPr>
          </w:p>
        </w:tc>
        <w:tc>
          <w:tcPr>
            <w:tcW w:w="100" w:type="dxa"/>
            <w:vAlign w:val="bottom"/>
            <w:tcBorders>
              <w:top w:val="single" w:sz="8" w:color="EEEEEE"/>
              <w:bottom w:val="single" w:sz="8" w:color="EEEEEE"/>
            </w:tcBorders>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Finance receivables gross (2)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167,041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29,343</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375,642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56,669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30"/>
        </w:trPr>
        <w:tc>
          <w:tcPr>
            <w:tcW w:w="32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at fair value</w:t>
            </w:r>
          </w:p>
        </w:tc>
        <w:tc>
          <w:tcPr>
            <w:tcW w:w="1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2,296,841</w:t>
            </w:r>
          </w:p>
        </w:tc>
        <w:tc>
          <w:tcPr>
            <w:tcW w:w="180" w:type="dxa"/>
            <w:vAlign w:val="bottom"/>
            <w:shd w:val="clear" w:color="auto" w:fill="EEEEEE"/>
          </w:tcPr>
          <w:p>
            <w:pPr>
              <w:spacing w:after="0"/>
              <w:rPr>
                <w:sz w:val="19"/>
                <w:szCs w:val="19"/>
                <w:color w:val="auto"/>
              </w:rPr>
            </w:pPr>
          </w:p>
        </w:tc>
        <w:tc>
          <w:tcPr>
            <w:tcW w:w="98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196,204</w:t>
            </w:r>
          </w:p>
        </w:tc>
        <w:tc>
          <w:tcPr>
            <w:tcW w:w="156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1,757,787</w:t>
            </w:r>
          </w:p>
        </w:tc>
        <w:tc>
          <w:tcPr>
            <w:tcW w:w="18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141,882</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2,463,882</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225,547</w:t>
            </w:r>
          </w:p>
        </w:tc>
        <w:tc>
          <w:tcPr>
            <w:tcW w:w="2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2,133,429</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198,551</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FFFFFF"/>
              </w:rPr>
              <w:t>$</w:t>
            </w:r>
          </w:p>
        </w:tc>
        <w:tc>
          <w:tcPr>
            <w:tcW w:w="180" w:type="dxa"/>
            <w:vAlign w:val="bottom"/>
            <w:shd w:val="clear" w:color="auto" w:fill="EEEEEE"/>
          </w:tcPr>
          <w:p>
            <w:pPr>
              <w:spacing w:after="0"/>
              <w:rPr>
                <w:sz w:val="18"/>
                <w:szCs w:val="18"/>
                <w:color w:val="auto"/>
              </w:rPr>
            </w:pPr>
          </w:p>
        </w:tc>
        <w:tc>
          <w:tcPr>
            <w:tcW w:w="9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40" w:type="dxa"/>
            <w:vAlign w:val="bottom"/>
          </w:tcPr>
          <w:p>
            <w:pPr>
              <w:spacing w:after="0"/>
              <w:rPr>
                <w:sz w:val="15"/>
                <w:szCs w:val="15"/>
                <w:color w:val="auto"/>
              </w:rPr>
            </w:pPr>
          </w:p>
        </w:tc>
        <w:tc>
          <w:tcPr>
            <w:tcW w:w="2740" w:type="dxa"/>
            <w:vAlign w:val="bottom"/>
            <w:gridSpan w:val="4"/>
          </w:tcPr>
          <w:p>
            <w:pPr>
              <w:jc w:val="center"/>
              <w:ind w:right="660"/>
              <w:spacing w:after="0" w:line="176" w:lineRule="exact"/>
              <w:rPr>
                <w:sz w:val="20"/>
                <w:szCs w:val="20"/>
                <w:color w:val="auto"/>
              </w:rPr>
            </w:pPr>
            <w:r>
              <w:rPr>
                <w:rFonts w:ascii="Times New Roman" w:cs="Times New Roman" w:eastAsia="Times New Roman" w:hAnsi="Times New Roman"/>
                <w:sz w:val="18"/>
                <w:szCs w:val="18"/>
                <w:b w:val="1"/>
                <w:bCs w:val="1"/>
                <w:color w:val="auto"/>
              </w:rPr>
              <w:t>Interest Bearing Liabilities</w:t>
            </w:r>
          </w:p>
        </w:tc>
        <w:tc>
          <w:tcPr>
            <w:tcW w:w="100" w:type="dxa"/>
            <w:vAlign w:val="bottom"/>
          </w:tcPr>
          <w:p>
            <w:pPr>
              <w:spacing w:after="0"/>
              <w:rPr>
                <w:sz w:val="15"/>
                <w:szCs w:val="15"/>
                <w:color w:val="auto"/>
              </w:rPr>
            </w:pPr>
          </w:p>
        </w:tc>
        <w:tc>
          <w:tcPr>
            <w:tcW w:w="1280" w:type="dxa"/>
            <w:vAlign w:val="bottom"/>
            <w:gridSpan w:val="2"/>
          </w:tcPr>
          <w:p>
            <w:pPr>
              <w:jc w:val="right"/>
              <w:ind w:right="260"/>
              <w:spacing w:after="0" w:line="176" w:lineRule="exact"/>
              <w:rPr>
                <w:sz w:val="20"/>
                <w:szCs w:val="20"/>
                <w:color w:val="auto"/>
              </w:rPr>
            </w:pPr>
            <w:r>
              <w:rPr>
                <w:rFonts w:ascii="Times New Roman" w:cs="Times New Roman" w:eastAsia="Times New Roman" w:hAnsi="Times New Roman"/>
                <w:sz w:val="18"/>
                <w:szCs w:val="18"/>
                <w:color w:val="FFFFFF"/>
              </w:rPr>
              <w:t>$</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108,709</w:t>
            </w:r>
          </w:p>
        </w:tc>
        <w:tc>
          <w:tcPr>
            <w:tcW w:w="180" w:type="dxa"/>
            <w:vAlign w:val="bottom"/>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156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46,709</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3,265</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3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50,652</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36,101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32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1,959,452</w:t>
            </w:r>
          </w:p>
        </w:tc>
        <w:tc>
          <w:tcPr>
            <w:tcW w:w="180" w:type="dxa"/>
            <w:vAlign w:val="bottom"/>
            <w:shd w:val="clear" w:color="auto" w:fill="EEEEEE"/>
          </w:tcPr>
          <w:p>
            <w:pPr>
              <w:spacing w:after="0"/>
              <w:rPr>
                <w:sz w:val="18"/>
                <w:szCs w:val="18"/>
                <w:color w:val="auto"/>
              </w:rPr>
            </w:pPr>
          </w:p>
        </w:tc>
        <w:tc>
          <w:tcPr>
            <w:tcW w:w="98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47,792</w:t>
            </w:r>
          </w:p>
        </w:tc>
        <w:tc>
          <w:tcPr>
            <w:tcW w:w="156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1,842,694</w:t>
            </w: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50,568</w:t>
            </w: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3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26,910</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24,637</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54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80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tcBorders>
              <w:right w:val="single" w:sz="8" w:color="EEEEEE"/>
            </w:tcBorders>
            <w:shd w:val="clear" w:color="auto" w:fill="000000"/>
          </w:tcPr>
          <w:p>
            <w:pPr>
              <w:spacing w:after="0" w:line="20" w:lineRule="exact"/>
              <w:rPr>
                <w:sz w:val="1"/>
                <w:szCs w:val="1"/>
                <w:color w:val="auto"/>
              </w:rPr>
            </w:pPr>
          </w:p>
        </w:tc>
        <w:tc>
          <w:tcPr>
            <w:tcW w:w="1560" w:type="dxa"/>
            <w:vAlign w:val="bottom"/>
            <w:gridSpan w:val="3"/>
            <w:vMerge w:val="restart"/>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EEEEE"/>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80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660" w:type="dxa"/>
            <w:vAlign w:val="bottom"/>
            <w:shd w:val="clear" w:color="auto" w:fill="EEEEEE"/>
          </w:tcPr>
          <w:p>
            <w:pPr>
              <w:spacing w:after="0"/>
              <w:rPr>
                <w:sz w:val="20"/>
                <w:szCs w:val="20"/>
                <w:color w:val="auto"/>
              </w:rPr>
            </w:pP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2,145,723</w:t>
            </w:r>
          </w:p>
        </w:tc>
        <w:tc>
          <w:tcPr>
            <w:tcW w:w="180" w:type="dxa"/>
            <w:vAlign w:val="bottom"/>
            <w:shd w:val="clear" w:color="auto" w:fill="EEEEEE"/>
          </w:tcPr>
          <w:p>
            <w:pPr>
              <w:spacing w:after="0"/>
              <w:rPr>
                <w:sz w:val="20"/>
                <w:szCs w:val="20"/>
                <w:color w:val="auto"/>
              </w:rPr>
            </w:pPr>
          </w:p>
        </w:tc>
        <w:tc>
          <w:tcPr>
            <w:tcW w:w="98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58,655</w:t>
            </w:r>
          </w:p>
        </w:tc>
        <w:tc>
          <w:tcPr>
            <w:tcW w:w="1560" w:type="dxa"/>
            <w:vAlign w:val="bottom"/>
            <w:gridSpan w:val="3"/>
            <w:vMerge w:val="continue"/>
            <w:shd w:val="clear" w:color="auto" w:fill="EEEEEE"/>
          </w:tcPr>
          <w:p>
            <w:pPr>
              <w:spacing w:after="0"/>
              <w:rPr>
                <w:sz w:val="20"/>
                <w:szCs w:val="20"/>
                <w:color w:val="auto"/>
              </w:rPr>
            </w:pP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1,950,141</w:t>
            </w:r>
          </w:p>
        </w:tc>
        <w:tc>
          <w:tcPr>
            <w:tcW w:w="180" w:type="dxa"/>
            <w:vAlign w:val="bottom"/>
            <w:shd w:val="clear" w:color="auto" w:fill="EEEEEE"/>
          </w:tcPr>
          <w:p>
            <w:pPr>
              <w:spacing w:after="0"/>
              <w:rPr>
                <w:sz w:val="20"/>
                <w:szCs w:val="20"/>
                <w:color w:val="auto"/>
              </w:rPr>
            </w:pPr>
          </w:p>
        </w:tc>
        <w:tc>
          <w:tcPr>
            <w:tcW w:w="9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58,260</w:t>
            </w:r>
          </w:p>
        </w:tc>
        <w:tc>
          <w:tcPr>
            <w:tcW w:w="220" w:type="dxa"/>
            <w:vAlign w:val="bottom"/>
            <w:vMerge w:val="continue"/>
            <w:shd w:val="clear" w:color="auto" w:fill="EEEEEE"/>
          </w:tcPr>
          <w:p>
            <w:pPr>
              <w:spacing w:after="0"/>
              <w:rPr>
                <w:sz w:val="20"/>
                <w:szCs w:val="20"/>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5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8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bottom w:val="single" w:sz="8" w:color="EEEEEE"/>
            </w:tcBorders>
            <w:vMerge w:val="restart"/>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8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66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102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8"/>
                <w:szCs w:val="18"/>
                <w:color w:val="FFFFFF"/>
              </w:rPr>
              <w:t>$</w:t>
            </w:r>
          </w:p>
        </w:tc>
        <w:tc>
          <w:tcPr>
            <w:tcW w:w="260" w:type="dxa"/>
            <w:vAlign w:val="bottom"/>
            <w:tcBorders>
              <w:bottom w:val="single" w:sz="8" w:color="EEEEEE"/>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114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100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12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EEEEEE"/>
            </w:tcBorders>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interest income/spread</w:t>
            </w:r>
          </w:p>
        </w:tc>
        <w:tc>
          <w:tcPr>
            <w:tcW w:w="100" w:type="dxa"/>
            <w:vAlign w:val="bottom"/>
            <w:tcBorders>
              <w:bottom w:val="single" w:sz="8" w:color="EEEEEE"/>
            </w:tcBorders>
            <w:shd w:val="clear" w:color="auto" w:fill="EEEEEE"/>
          </w:tcPr>
          <w:p>
            <w:pPr>
              <w:spacing w:after="0"/>
              <w:rPr>
                <w:sz w:val="19"/>
                <w:szCs w:val="19"/>
                <w:color w:val="auto"/>
              </w:rPr>
            </w:pPr>
          </w:p>
        </w:tc>
        <w:tc>
          <w:tcPr>
            <w:tcW w:w="1280" w:type="dxa"/>
            <w:vAlign w:val="bottom"/>
            <w:tcBorders>
              <w:bottom w:val="single" w:sz="8" w:color="EEEEEE"/>
            </w:tcBorders>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FFFFFF"/>
              </w:rPr>
              <w:t>$</w:t>
            </w:r>
          </w:p>
        </w:tc>
        <w:tc>
          <w:tcPr>
            <w:tcW w:w="180" w:type="dxa"/>
            <w:vAlign w:val="bottom"/>
            <w:tcBorders>
              <w:bottom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166,892</w:t>
            </w:r>
          </w:p>
        </w:tc>
        <w:tc>
          <w:tcPr>
            <w:tcW w:w="200" w:type="dxa"/>
            <w:vAlign w:val="bottom"/>
            <w:tcBorders>
              <w:bottom w:val="single" w:sz="8" w:color="EEEEEE"/>
            </w:tcBorders>
            <w:shd w:val="clear" w:color="auto" w:fill="EEEEEE"/>
          </w:tcPr>
          <w:p>
            <w:pPr>
              <w:spacing w:after="0"/>
              <w:rPr>
                <w:sz w:val="19"/>
                <w:szCs w:val="19"/>
                <w:color w:val="auto"/>
              </w:rPr>
            </w:pPr>
          </w:p>
        </w:tc>
        <w:tc>
          <w:tcPr>
            <w:tcW w:w="114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100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140,291</w:t>
            </w:r>
          </w:p>
        </w:tc>
        <w:tc>
          <w:tcPr>
            <w:tcW w:w="220" w:type="dxa"/>
            <w:vAlign w:val="bottom"/>
            <w:tcBorders>
              <w:bottom w:val="single" w:sz="8" w:color="EEEEEE"/>
            </w:tcBorders>
            <w:shd w:val="clear" w:color="auto" w:fill="EEEEEE"/>
          </w:tcPr>
          <w:p>
            <w:pPr>
              <w:spacing w:after="0"/>
              <w:rPr>
                <w:sz w:val="19"/>
                <w:szCs w:val="19"/>
                <w:color w:val="auto"/>
              </w:rPr>
            </w:pPr>
          </w:p>
        </w:tc>
        <w:tc>
          <w:tcPr>
            <w:tcW w:w="112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Net interest yield (3)</w:t>
            </w:r>
          </w:p>
        </w:tc>
        <w:tc>
          <w:tcPr>
            <w:tcW w:w="100" w:type="dxa"/>
            <w:vAlign w:val="bottom"/>
          </w:tcPr>
          <w:p>
            <w:pPr>
              <w:spacing w:after="0" w:line="20" w:lineRule="exact"/>
              <w:rPr>
                <w:sz w:val="1"/>
                <w:szCs w:val="1"/>
                <w:color w:val="auto"/>
              </w:rPr>
            </w:pPr>
          </w:p>
        </w:tc>
        <w:tc>
          <w:tcPr>
            <w:tcW w:w="12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FFFFFF"/>
              </w:rPr>
              <w:t>$</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line="20" w:lineRule="exact"/>
              <w:rPr>
                <w:sz w:val="1"/>
                <w:szCs w:val="1"/>
                <w:color w:val="auto"/>
              </w:rPr>
            </w:pPr>
          </w:p>
        </w:tc>
      </w:tr>
      <w:tr>
        <w:trPr>
          <w:trHeight w:val="197"/>
        </w:trPr>
        <w:tc>
          <w:tcPr>
            <w:tcW w:w="3280" w:type="dxa"/>
            <w:vAlign w:val="bottom"/>
            <w:gridSpan w:val="5"/>
            <w:vMerge w:val="continue"/>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6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80" w:type="dxa"/>
            <w:vAlign w:val="bottom"/>
            <w:gridSpan w:val="5"/>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Ratio of average interest earning assets to</w:t>
            </w:r>
          </w:p>
        </w:tc>
        <w:tc>
          <w:tcPr>
            <w:tcW w:w="10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tcBorders>
              <w:right w:val="single" w:sz="8" w:color="EEEEEE"/>
            </w:tcBorders>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5"/>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average interest bearing liabilities</w:t>
            </w:r>
          </w:p>
        </w:tc>
        <w:tc>
          <w:tcPr>
            <w:tcW w:w="10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FFFFFF"/>
              </w:rPr>
              <w:t>$</w:t>
            </w:r>
          </w:p>
        </w:tc>
        <w:tc>
          <w:tcPr>
            <w:tcW w:w="180" w:type="dxa"/>
            <w:vAlign w:val="bottom"/>
            <w:shd w:val="clear" w:color="auto" w:fill="EEEEEE"/>
          </w:tcPr>
          <w:p>
            <w:pPr>
              <w:spacing w:after="0"/>
              <w:rPr>
                <w:sz w:val="20"/>
                <w:szCs w:val="20"/>
                <w:color w:val="auto"/>
              </w:rPr>
            </w:pPr>
          </w:p>
        </w:tc>
        <w:tc>
          <w:tcPr>
            <w:tcW w:w="980" w:type="dxa"/>
            <w:vAlign w:val="bottom"/>
            <w:tcBorders>
              <w:right w:val="single" w:sz="8" w:color="EEEEEE"/>
            </w:tcBorders>
            <w:shd w:val="clear" w:color="auto" w:fill="EEEEEE"/>
          </w:tcPr>
          <w:p>
            <w:pPr>
              <w:spacing w:after="0"/>
              <w:rPr>
                <w:sz w:val="20"/>
                <w:szCs w:val="20"/>
                <w:color w:val="auto"/>
              </w:rPr>
            </w:pPr>
          </w:p>
        </w:tc>
        <w:tc>
          <w:tcPr>
            <w:tcW w:w="156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9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2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20" w:hanging="287"/>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balances are based on month end balances except for warehouse lines of credit, which are based on daily balances.</w:t>
      </w:r>
    </w:p>
    <w:p>
      <w:pPr>
        <w:spacing w:after="0" w:line="27" w:lineRule="exact"/>
        <w:rPr>
          <w:rFonts w:ascii="Times New Roman" w:cs="Times New Roman" w:eastAsia="Times New Roman" w:hAnsi="Times New Roman"/>
          <w:sz w:val="18"/>
          <w:szCs w:val="18"/>
          <w:color w:val="auto"/>
        </w:rPr>
      </w:pPr>
    </w:p>
    <w:p>
      <w:pPr>
        <w:ind w:left="540" w:hanging="307"/>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deferred fees and direct costs.</w:t>
      </w:r>
    </w:p>
    <w:p>
      <w:pPr>
        <w:spacing w:after="0" w:line="9" w:lineRule="exact"/>
        <w:rPr>
          <w:rFonts w:ascii="Times New Roman" w:cs="Times New Roman" w:eastAsia="Times New Roman" w:hAnsi="Times New Roman"/>
          <w:sz w:val="18"/>
          <w:szCs w:val="18"/>
          <w:color w:val="auto"/>
        </w:rPr>
      </w:pPr>
    </w:p>
    <w:p>
      <w:pPr>
        <w:ind w:left="520" w:hanging="287"/>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net interest income divided by average interest earning assets.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40" w:type="dxa"/>
            <w:vAlign w:val="bottom"/>
            <w:gridSpan w:val="9"/>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2022</w:t>
            </w:r>
          </w:p>
        </w:tc>
      </w:tr>
      <w:tr>
        <w:trPr>
          <w:trHeight w:val="238"/>
        </w:trPr>
        <w:tc>
          <w:tcPr>
            <w:tcW w:w="2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gridSpan w:val="9"/>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Compared to September 30, 2021</w:t>
            </w:r>
          </w:p>
        </w:tc>
      </w:tr>
      <w:tr>
        <w:trPr>
          <w:trHeight w:val="201"/>
        </w:trPr>
        <w:tc>
          <w:tcPr>
            <w:tcW w:w="2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right"/>
              <w:ind w:right="640"/>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center"/>
              <w:ind w:right="3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Change Due</w:t>
            </w: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50"/>
              <w:spacing w:after="0" w:line="201" w:lineRule="exact"/>
              <w:rPr>
                <w:sz w:val="20"/>
                <w:szCs w:val="20"/>
                <w:color w:val="auto"/>
              </w:rPr>
            </w:pPr>
            <w:r>
              <w:rPr>
                <w:rFonts w:ascii="Times New Roman" w:cs="Times New Roman" w:eastAsia="Times New Roman" w:hAnsi="Times New Roman"/>
                <w:sz w:val="18"/>
                <w:szCs w:val="18"/>
                <w:b w:val="1"/>
                <w:bCs w:val="1"/>
                <w:color w:val="auto"/>
              </w:rPr>
              <w:t>Change Due</w:t>
            </w:r>
          </w:p>
        </w:tc>
        <w:tc>
          <w:tcPr>
            <w:tcW w:w="100" w:type="dxa"/>
            <w:vAlign w:val="bottom"/>
            <w:gridSpan w:val="2"/>
          </w:tcPr>
          <w:p>
            <w:pPr>
              <w:spacing w:after="0"/>
              <w:rPr>
                <w:sz w:val="17"/>
                <w:szCs w:val="17"/>
                <w:color w:val="auto"/>
              </w:rPr>
            </w:pPr>
          </w:p>
        </w:tc>
      </w:tr>
      <w:tr>
        <w:trPr>
          <w:trHeight w:val="238"/>
        </w:trPr>
        <w:tc>
          <w:tcPr>
            <w:tcW w:w="2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to Volume</w:t>
            </w:r>
          </w:p>
        </w:tc>
        <w:tc>
          <w:tcPr>
            <w:tcW w:w="120" w:type="dxa"/>
            <w:vAlign w:val="bottom"/>
          </w:tcPr>
          <w:p>
            <w:pPr>
              <w:spacing w:after="0"/>
              <w:rPr>
                <w:sz w:val="20"/>
                <w:szCs w:val="20"/>
                <w:color w:val="auto"/>
              </w:rPr>
            </w:pPr>
          </w:p>
        </w:tc>
        <w:tc>
          <w:tcPr>
            <w:tcW w:w="12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 Rate</w:t>
            </w:r>
          </w:p>
        </w:tc>
      </w:tr>
      <w:tr>
        <w:trPr>
          <w:trHeight w:val="210"/>
        </w:trPr>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2400" w:type="dxa"/>
            <w:vAlign w:val="bottom"/>
            <w:shd w:val="clear" w:color="auto" w:fill="EEEEEE"/>
          </w:tcPr>
          <w:p>
            <w:pPr>
              <w:spacing w:after="0"/>
              <w:rPr>
                <w:sz w:val="17"/>
                <w:szCs w:val="17"/>
                <w:color w:val="auto"/>
              </w:rPr>
            </w:pPr>
          </w:p>
        </w:tc>
        <w:tc>
          <w:tcPr>
            <w:tcW w:w="3320" w:type="dxa"/>
            <w:vAlign w:val="bottom"/>
            <w:gridSpan w:val="4"/>
            <w:shd w:val="clear" w:color="auto" w:fill="EEEEEE"/>
          </w:tcPr>
          <w:p>
            <w:pPr>
              <w:jc w:val="center"/>
              <w:ind w:right="1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Interest Earning Assets</w:t>
            </w:r>
          </w:p>
        </w:tc>
        <w:tc>
          <w:tcPr>
            <w:tcW w:w="12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60" w:type="dxa"/>
            <w:vAlign w:val="bottom"/>
            <w:gridSpan w:val="2"/>
            <w:shd w:val="clear" w:color="auto" w:fill="EEEEEE"/>
          </w:tcPr>
          <w:p>
            <w:pPr>
              <w:jc w:val="right"/>
              <w:ind w:right="220"/>
              <w:spacing w:after="0" w:line="176" w:lineRule="exact"/>
              <w:rPr>
                <w:sz w:val="20"/>
                <w:szCs w:val="20"/>
                <w:color w:val="auto"/>
              </w:rPr>
            </w:pPr>
            <w:r>
              <w:rPr>
                <w:rFonts w:ascii="Times New Roman" w:cs="Times New Roman" w:eastAsia="Times New Roman" w:hAnsi="Times New Roman"/>
                <w:sz w:val="18"/>
                <w:szCs w:val="18"/>
                <w:color w:val="FFFFFF"/>
              </w:rPr>
              <w:t>$</w:t>
            </w:r>
          </w:p>
        </w:tc>
        <w:tc>
          <w:tcPr>
            <w:tcW w:w="12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16"/>
        </w:trPr>
        <w:tc>
          <w:tcPr>
            <w:tcW w:w="2540" w:type="dxa"/>
            <w:vAlign w:val="bottom"/>
            <w:tcBorders>
              <w:top w:val="single" w:sz="8" w:color="EEEEEE"/>
            </w:tcBorders>
            <w:gridSpan w:val="2"/>
          </w:tcPr>
          <w:p>
            <w:pPr>
              <w:spacing w:after="0"/>
              <w:rPr>
                <w:sz w:val="20"/>
                <w:szCs w:val="20"/>
                <w:color w:val="auto"/>
              </w:rPr>
            </w:pPr>
            <w:r>
              <w:rPr>
                <w:rFonts w:ascii="Times New Roman" w:cs="Times New Roman" w:eastAsia="Times New Roman" w:hAnsi="Times New Roman"/>
                <w:sz w:val="18"/>
                <w:szCs w:val="18"/>
                <w:color w:val="auto"/>
              </w:rPr>
              <w:t>Finance receivables gross</w:t>
            </w:r>
          </w:p>
        </w:tc>
        <w:tc>
          <w:tcPr>
            <w:tcW w:w="1800" w:type="dxa"/>
            <w:vAlign w:val="bottom"/>
            <w:tcBorders>
              <w:top w:val="single" w:sz="8" w:color="auto"/>
            </w:tcBorders>
          </w:tcPr>
          <w:p>
            <w:pPr>
              <w:spacing w:after="0"/>
              <w:rPr>
                <w:sz w:val="18"/>
                <w:szCs w:val="18"/>
                <w:color w:val="auto"/>
              </w:rPr>
            </w:pPr>
          </w:p>
        </w:tc>
        <w:tc>
          <w:tcPr>
            <w:tcW w:w="1380" w:type="dxa"/>
            <w:vAlign w:val="bottom"/>
            <w:tcBorders>
              <w:top w:val="single" w:sz="8" w:color="EEEEEE"/>
            </w:tcBorders>
            <w:gridSpan w:val="2"/>
          </w:tcPr>
          <w:p>
            <w:pPr>
              <w:spacing w:after="0"/>
              <w:rPr>
                <w:sz w:val="18"/>
                <w:szCs w:val="18"/>
                <w:color w:val="auto"/>
              </w:rPr>
            </w:pPr>
          </w:p>
        </w:tc>
        <w:tc>
          <w:tcPr>
            <w:tcW w:w="1480" w:type="dxa"/>
            <w:vAlign w:val="bottom"/>
            <w:tcBorders>
              <w:top w:val="single" w:sz="8" w:color="EEEEEE"/>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EEEEEE"/>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(27,326)</w:t>
            </w:r>
          </w:p>
        </w:tc>
        <w:tc>
          <w:tcPr>
            <w:tcW w:w="120" w:type="dxa"/>
            <w:vAlign w:val="bottom"/>
            <w:tcBorders>
              <w:top w:val="single" w:sz="8" w:color="EEEEEE"/>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EEEEEE"/>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(32,850)</w:t>
            </w:r>
          </w:p>
        </w:tc>
        <w:tc>
          <w:tcPr>
            <w:tcW w:w="120" w:type="dxa"/>
            <w:vAlign w:val="bottom"/>
            <w:tcBorders>
              <w:top w:val="single" w:sz="8" w:color="EEEEEE"/>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EEEEEE"/>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5,524</w:t>
            </w:r>
          </w:p>
        </w:tc>
        <w:tc>
          <w:tcPr>
            <w:tcW w:w="80" w:type="dxa"/>
            <w:vAlign w:val="bottom"/>
            <w:tcBorders>
              <w:top w:val="single" w:sz="8" w:color="EEEEEE"/>
            </w:tcBorders>
          </w:tcPr>
          <w:p>
            <w:pPr>
              <w:spacing w:after="0"/>
              <w:rPr>
                <w:sz w:val="18"/>
                <w:szCs w:val="18"/>
                <w:color w:val="auto"/>
              </w:rPr>
            </w:pPr>
          </w:p>
        </w:tc>
      </w:tr>
      <w:tr>
        <w:trPr>
          <w:trHeight w:val="229"/>
        </w:trPr>
        <w:tc>
          <w:tcPr>
            <w:tcW w:w="572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at fair value</w:t>
            </w:r>
          </w:p>
        </w:tc>
        <w:tc>
          <w:tcPr>
            <w:tcW w:w="126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54,322</w:t>
            </w:r>
          </w:p>
        </w:tc>
        <w:tc>
          <w:tcPr>
            <w:tcW w:w="12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39,907</w:t>
            </w:r>
          </w:p>
        </w:tc>
        <w:tc>
          <w:tcPr>
            <w:tcW w:w="12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14,415</w:t>
            </w:r>
          </w:p>
        </w:tc>
        <w:tc>
          <w:tcPr>
            <w:tcW w:w="80" w:type="dxa"/>
            <w:vAlign w:val="bottom"/>
            <w:shd w:val="clear" w:color="auto" w:fill="EEEEEE"/>
          </w:tcPr>
          <w:p>
            <w:pPr>
              <w:spacing w:after="0"/>
              <w:rPr>
                <w:sz w:val="19"/>
                <w:szCs w:val="19"/>
                <w:color w:val="auto"/>
              </w:rPr>
            </w:pPr>
          </w:p>
        </w:tc>
      </w:tr>
      <w:tr>
        <w:trPr>
          <w:trHeight w:val="210"/>
        </w:trPr>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26,996</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7,057</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2400" w:type="dxa"/>
            <w:vAlign w:val="bottom"/>
            <w:shd w:val="clear" w:color="auto" w:fill="EEEEEE"/>
          </w:tcPr>
          <w:p>
            <w:pPr>
              <w:spacing w:after="0"/>
              <w:rPr>
                <w:sz w:val="17"/>
                <w:szCs w:val="17"/>
                <w:color w:val="auto"/>
              </w:rPr>
            </w:pPr>
          </w:p>
        </w:tc>
        <w:tc>
          <w:tcPr>
            <w:tcW w:w="3320" w:type="dxa"/>
            <w:vAlign w:val="bottom"/>
            <w:gridSpan w:val="4"/>
            <w:shd w:val="clear" w:color="auto" w:fill="EEEEEE"/>
          </w:tcPr>
          <w:p>
            <w:pPr>
              <w:jc w:val="center"/>
              <w:ind w:right="1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Interest Bearing Liabilities</w:t>
            </w:r>
          </w:p>
        </w:tc>
        <w:tc>
          <w:tcPr>
            <w:tcW w:w="12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60" w:type="dxa"/>
            <w:vAlign w:val="bottom"/>
            <w:gridSpan w:val="2"/>
            <w:shd w:val="clear" w:color="auto" w:fill="EEEEEE"/>
          </w:tcPr>
          <w:p>
            <w:pPr>
              <w:jc w:val="right"/>
              <w:ind w:right="220"/>
              <w:spacing w:after="0" w:line="176" w:lineRule="exact"/>
              <w:rPr>
                <w:sz w:val="20"/>
                <w:szCs w:val="20"/>
                <w:color w:val="auto"/>
              </w:rPr>
            </w:pPr>
            <w:r>
              <w:rPr>
                <w:rFonts w:ascii="Times New Roman" w:cs="Times New Roman" w:eastAsia="Times New Roman" w:hAnsi="Times New Roman"/>
                <w:sz w:val="18"/>
                <w:szCs w:val="18"/>
                <w:color w:val="FFFFFF"/>
              </w:rPr>
              <w:t>$</w:t>
            </w:r>
          </w:p>
        </w:tc>
        <w:tc>
          <w:tcPr>
            <w:tcW w:w="12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16"/>
        </w:trPr>
        <w:tc>
          <w:tcPr>
            <w:tcW w:w="2400" w:type="dxa"/>
            <w:vAlign w:val="bottom"/>
            <w:tcBorders>
              <w:top w:val="single" w:sz="8" w:color="EEEEEE"/>
            </w:tcBorders>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2060" w:type="dxa"/>
            <w:vAlign w:val="bottom"/>
            <w:tcBorders>
              <w:top w:val="single" w:sz="8" w:color="auto"/>
            </w:tcBorders>
            <w:gridSpan w:val="3"/>
          </w:tcPr>
          <w:p>
            <w:pPr>
              <w:spacing w:after="0"/>
              <w:rPr>
                <w:sz w:val="18"/>
                <w:szCs w:val="18"/>
                <w:color w:val="auto"/>
              </w:rPr>
            </w:pPr>
          </w:p>
        </w:tc>
        <w:tc>
          <w:tcPr>
            <w:tcW w:w="1260" w:type="dxa"/>
            <w:vAlign w:val="bottom"/>
            <w:tcBorders>
              <w:top w:val="single" w:sz="8" w:color="EEEEEE"/>
            </w:tcBorders>
          </w:tcPr>
          <w:p>
            <w:pPr>
              <w:spacing w:after="0"/>
              <w:rPr>
                <w:sz w:val="18"/>
                <w:szCs w:val="18"/>
                <w:color w:val="auto"/>
              </w:rPr>
            </w:pPr>
          </w:p>
        </w:tc>
        <w:tc>
          <w:tcPr>
            <w:tcW w:w="126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260" w:type="dxa"/>
            <w:vAlign w:val="bottom"/>
            <w:tcBorders>
              <w:top w:val="single" w:sz="8" w:color="EEEEEE"/>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2,622</w:t>
            </w:r>
          </w:p>
        </w:tc>
        <w:tc>
          <w:tcPr>
            <w:tcW w:w="120" w:type="dxa"/>
            <w:vAlign w:val="bottom"/>
            <w:tcBorders>
              <w:top w:val="single" w:sz="8" w:color="EEEEEE"/>
            </w:tcBorders>
          </w:tcPr>
          <w:p>
            <w:pPr>
              <w:spacing w:after="0"/>
              <w:rPr>
                <w:sz w:val="18"/>
                <w:szCs w:val="18"/>
                <w:color w:val="auto"/>
              </w:rPr>
            </w:pPr>
          </w:p>
        </w:tc>
        <w:tc>
          <w:tcPr>
            <w:tcW w:w="1320" w:type="dxa"/>
            <w:vAlign w:val="bottom"/>
            <w:tcBorders>
              <w:top w:val="single" w:sz="8" w:color="EEEEEE"/>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4,905</w:t>
            </w:r>
          </w:p>
        </w:tc>
        <w:tc>
          <w:tcPr>
            <w:tcW w:w="120" w:type="dxa"/>
            <w:vAlign w:val="bottom"/>
            <w:tcBorders>
              <w:top w:val="single" w:sz="8" w:color="EEEEEE"/>
            </w:tcBorders>
          </w:tcPr>
          <w:p>
            <w:pPr>
              <w:spacing w:after="0"/>
              <w:rPr>
                <w:sz w:val="18"/>
                <w:szCs w:val="18"/>
                <w:color w:val="auto"/>
              </w:rPr>
            </w:pPr>
          </w:p>
        </w:tc>
        <w:tc>
          <w:tcPr>
            <w:tcW w:w="1220" w:type="dxa"/>
            <w:vAlign w:val="bottom"/>
            <w:tcBorders>
              <w:top w:val="single" w:sz="8" w:color="EEEEEE"/>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(2,283)</w:t>
            </w:r>
          </w:p>
        </w:tc>
      </w:tr>
      <w:tr>
        <w:trPr>
          <w:trHeight w:val="216"/>
        </w:trPr>
        <w:tc>
          <w:tcPr>
            <w:tcW w:w="572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1,065</w:t>
            </w:r>
          </w:p>
        </w:tc>
        <w:tc>
          <w:tcPr>
            <w:tcW w:w="12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(318)</w:t>
            </w:r>
          </w:p>
        </w:tc>
      </w:tr>
      <w:tr>
        <w:trPr>
          <w:trHeight w:val="216"/>
        </w:trPr>
        <w:tc>
          <w:tcPr>
            <w:tcW w:w="5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(2,776)</w:t>
            </w: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5,198</w:t>
            </w:r>
          </w:p>
        </w:tc>
        <w:tc>
          <w:tcPr>
            <w:tcW w:w="12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(7,974)</w:t>
            </w:r>
          </w:p>
        </w:tc>
      </w:tr>
      <w:tr>
        <w:trPr>
          <w:trHeight w:val="229"/>
        </w:trPr>
        <w:tc>
          <w:tcPr>
            <w:tcW w:w="572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126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shd w:val="clear" w:color="auto" w:fill="EEEEEE"/>
          </w:tcPr>
          <w:p>
            <w:pPr>
              <w:spacing w:after="0"/>
              <w:rPr>
                <w:sz w:val="19"/>
                <w:szCs w:val="19"/>
                <w:color w:val="auto"/>
              </w:rPr>
            </w:pPr>
          </w:p>
        </w:tc>
        <w:tc>
          <w:tcPr>
            <w:tcW w:w="122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(508)</w:t>
            </w:r>
          </w:p>
        </w:tc>
      </w:tr>
      <w:tr>
        <w:trPr>
          <w:trHeight w:val="210"/>
        </w:trPr>
        <w:tc>
          <w:tcPr>
            <w:tcW w:w="24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80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1260" w:type="dxa"/>
            <w:vAlign w:val="bottom"/>
            <w:tcBorders>
              <w:bottom w:val="single" w:sz="8" w:color="EEEEEE"/>
            </w:tcBorders>
          </w:tcPr>
          <w:p>
            <w:pPr>
              <w:spacing w:after="0"/>
              <w:rPr>
                <w:sz w:val="18"/>
                <w:szCs w:val="18"/>
                <w:color w:val="auto"/>
              </w:rPr>
            </w:pPr>
          </w:p>
        </w:tc>
        <w:tc>
          <w:tcPr>
            <w:tcW w:w="1260" w:type="dxa"/>
            <w:vAlign w:val="bottom"/>
            <w:tcBorders>
              <w:bottom w:val="single" w:sz="8" w:color="EEEEEE"/>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20" w:type="dxa"/>
            <w:vAlign w:val="bottom"/>
            <w:tcBorders>
              <w:bottom w:val="single" w:sz="8" w:color="EEEEEE"/>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220" w:type="dxa"/>
            <w:vAlign w:val="bottom"/>
            <w:tcBorders>
              <w:bottom w:val="single" w:sz="8" w:color="EEEEEE"/>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(11,083</w:t>
            </w:r>
          </w:p>
        </w:tc>
        <w:tc>
          <w:tcPr>
            <w:tcW w:w="100" w:type="dxa"/>
            <w:vAlign w:val="bottom"/>
            <w:tcBorders>
              <w:bottom w:val="single" w:sz="8" w:color="EEEEEE"/>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2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43"/>
        </w:trPr>
        <w:tc>
          <w:tcPr>
            <w:tcW w:w="5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interest income/spread</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26,601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(4,421)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31,022</w:t>
            </w:r>
          </w:p>
        </w:tc>
        <w:tc>
          <w:tcPr>
            <w:tcW w:w="80" w:type="dxa"/>
            <w:vAlign w:val="bottom"/>
          </w:tcPr>
          <w:p>
            <w:pPr>
              <w:spacing w:after="0"/>
              <w:rPr>
                <w:sz w:val="21"/>
                <w:szCs w:val="21"/>
                <w:color w:val="auto"/>
              </w:rPr>
            </w:pPr>
          </w:p>
        </w:tc>
      </w:tr>
      <w:tr>
        <w:trPr>
          <w:trHeight w:val="20"/>
        </w:trPr>
        <w:tc>
          <w:tcPr>
            <w:tcW w:w="2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4" w:name="page35"/>
    <w:bookmarkEnd w:id="34"/>
    <w:p>
      <w:pPr>
        <w:jc w:val="both"/>
        <w:spacing w:after="0" w:line="239" w:lineRule="auto"/>
        <w:rPr>
          <w:sz w:val="20"/>
          <w:szCs w:val="20"/>
          <w:color w:val="auto"/>
        </w:rPr>
      </w:pPr>
      <w:r>
        <w:rPr>
          <w:rFonts w:ascii="Times New Roman" w:cs="Times New Roman" w:eastAsia="Times New Roman" w:hAnsi="Times New Roman"/>
          <w:sz w:val="22"/>
          <w:szCs w:val="22"/>
          <w:color w:val="auto"/>
        </w:rPr>
        <w:t>The annualized yield on our finance receivables was 12.2% for the nine months ended September 30, 2022 and 12.4% for the same period in 2021. The interest yield on receivables measured at fair value is reduced to take account of expected losses and is therefore less than the yield on other finance receivables. The average balance of these fair value receivables was $2,296.8 million for the nine months ended September 30, 2022 compared to $1,757.8 million in the prior year period.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we recorded a reduction to provision for credit losses on finance receivables in the amount of $23.4 million. The reserve decrease was primarily due to a decrease in lifetime expected credit losses resulting from improved credit performance as our previous estimates for future losses exceeded actual incurred losses. In the prior year period, reductions to provision for credit losses were $1.6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evaluation of the allowance for credit losses indicated that the reserves against future losses are adequate as of September 30, 2022. Although we have not yet seen a meaningful deterioration in the credit performance for these receivables, worsening economic conditions, inflation and a reversion to the mean for used car pricing could negatively affect credit performance in the future.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allowance applies only to our finance receivables originated through December 2017, which we refer to as our legacy portfolio. Finance receivables that we have originated since January 2018 are accounted for at fair value. Under the fair value method of accounting, we recognize interest income net of expected credit losses. Thus, no provision for credit loss expense is recorded for finance receivables measured at fair value.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expense consists primarily of commission-based compensation paid to our employee sales representatives. Our sales representatives earn a salary plus commissions based on volume of contract purchases and sales of ancillary products and services that we offer our dealers, such as training programs, internet lead sales, and direct mail products. Sales expense increased by $4.7 million to $17.2 million during the nine months ended September 30, 2022 and represented 11.5% of total operating expenses. We purchased $1,426.3 million of new contracts during the nine months ended September 30, 2022 compared to $818.3 million in the prior year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Occupancy expenses was $5.8 million for the nine months ending September 30, 2022 compared to $5.9 million for the same period in 2021.</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expenses decreased to $1.2 million compared to $1.3 million in the previous year and represented 0.8% of total operating expenses.</w:t>
      </w: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nine months ended September 30, 2022, we recorded income tax expense of $26.0 million, representing a 27% effective tax rate. In the prior period, our income tax expense was $12.8 million, representing a 31% effective tax rate.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Experience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The tables below document the delinquency, repossession and net credit loss experience of all such automobile contracts that we originated or own an interest in as of the respective dates shown.</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Delinquency, Repossession and Extension Experience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Owned Portfolio</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40" w:type="dxa"/>
            <w:vAlign w:val="bottom"/>
          </w:tcPr>
          <w:p>
            <w:pPr>
              <w:spacing w:after="0"/>
              <w:rPr>
                <w:sz w:val="18"/>
                <w:szCs w:val="18"/>
                <w:color w:val="auto"/>
              </w:rPr>
            </w:pPr>
          </w:p>
        </w:tc>
        <w:tc>
          <w:tcPr>
            <w:tcW w:w="2540" w:type="dxa"/>
            <w:vAlign w:val="bottom"/>
            <w:gridSpan w:val="5"/>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September 30, 2021</w:t>
            </w:r>
          </w:p>
        </w:tc>
        <w:tc>
          <w:tcPr>
            <w:tcW w:w="100" w:type="dxa"/>
            <w:vAlign w:val="bottom"/>
          </w:tcPr>
          <w:p>
            <w:pPr>
              <w:spacing w:after="0"/>
              <w:rPr>
                <w:sz w:val="18"/>
                <w:szCs w:val="18"/>
                <w:color w:val="auto"/>
              </w:rPr>
            </w:pPr>
          </w:p>
        </w:tc>
        <w:tc>
          <w:tcPr>
            <w:tcW w:w="244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197"/>
        </w:trPr>
        <w:tc>
          <w:tcPr>
            <w:tcW w:w="3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Contracts</w:t>
            </w:r>
          </w:p>
        </w:tc>
        <w:tc>
          <w:tcPr>
            <w:tcW w:w="1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Contracts</w:t>
            </w: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Contracts</w:t>
            </w: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199"/>
        </w:trPr>
        <w:tc>
          <w:tcPr>
            <w:tcW w:w="3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540" w:type="dxa"/>
            <w:vAlign w:val="bottom"/>
            <w:tcBorders>
              <w:top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b w:val="1"/>
                <w:bCs w:val="1"/>
                <w:i w:val="1"/>
                <w:iCs w:val="1"/>
                <w:color w:val="auto"/>
              </w:rPr>
              <w:t>Delinquency Experience</w:t>
            </w:r>
          </w:p>
        </w:tc>
        <w:tc>
          <w:tcPr>
            <w:tcW w:w="1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Gross servicing portfolio (1)</w:t>
            </w: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166,370</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2,687,308</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156,456</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2,184,142</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154,151</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2,209,430</w:t>
            </w:r>
          </w:p>
        </w:tc>
      </w:tr>
      <w:tr>
        <w:trPr>
          <w:trHeight w:val="203"/>
        </w:trPr>
        <w:tc>
          <w:tcPr>
            <w:tcW w:w="3280" w:type="dxa"/>
            <w:vAlign w:val="bottom"/>
            <w:shd w:val="clear" w:color="auto" w:fill="EEEEEE"/>
          </w:tcPr>
          <w:p>
            <w:pPr>
              <w:spacing w:after="0"/>
              <w:rPr>
                <w:sz w:val="17"/>
                <w:szCs w:val="17"/>
                <w:color w:val="auto"/>
              </w:rPr>
            </w:pPr>
          </w:p>
        </w:tc>
        <w:tc>
          <w:tcPr>
            <w:tcW w:w="1380" w:type="dxa"/>
            <w:vAlign w:val="bottom"/>
            <w:gridSpan w:val="3"/>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FFFFFF"/>
              </w:rPr>
              <w:t>.</w:t>
            </w: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Period of delinquency (2) 31-60 days</w:t>
            </w: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11,642</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170,712</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9,621</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127,900</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10,895</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146,904</w:t>
            </w:r>
          </w:p>
        </w:tc>
      </w:tr>
      <w:tr>
        <w:trPr>
          <w:trHeight w:val="203"/>
        </w:trPr>
        <w:tc>
          <w:tcPr>
            <w:tcW w:w="328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6"/>
                <w:szCs w:val="16"/>
                <w:color w:val="auto"/>
              </w:rPr>
              <w:t>61-90 days</w:t>
            </w:r>
          </w:p>
        </w:tc>
        <w:tc>
          <w:tcPr>
            <w:tcW w:w="1380" w:type="dxa"/>
            <w:vAlign w:val="bottom"/>
            <w:gridSpan w:val="3"/>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4,672</w:t>
            </w:r>
          </w:p>
        </w:tc>
        <w:tc>
          <w:tcPr>
            <w:tcW w:w="180" w:type="dxa"/>
            <w:vAlign w:val="bottom"/>
            <w:shd w:val="clear" w:color="auto" w:fill="EEEEEE"/>
          </w:tcPr>
          <w:p>
            <w:pPr>
              <w:spacing w:after="0"/>
              <w:rPr>
                <w:sz w:val="17"/>
                <w:szCs w:val="17"/>
                <w:color w:val="auto"/>
              </w:rPr>
            </w:pPr>
          </w:p>
        </w:tc>
        <w:tc>
          <w:tcPr>
            <w:tcW w:w="11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65,935</w:t>
            </w:r>
          </w:p>
        </w:tc>
        <w:tc>
          <w:tcPr>
            <w:tcW w:w="136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3,371</w:t>
            </w:r>
          </w:p>
        </w:tc>
        <w:tc>
          <w:tcPr>
            <w:tcW w:w="180" w:type="dxa"/>
            <w:vAlign w:val="bottom"/>
            <w:shd w:val="clear" w:color="auto" w:fill="EEEEEE"/>
          </w:tcPr>
          <w:p>
            <w:pPr>
              <w:spacing w:after="0"/>
              <w:rPr>
                <w:sz w:val="17"/>
                <w:szCs w:val="17"/>
                <w:color w:val="auto"/>
              </w:rPr>
            </w:pP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42,997</w:t>
            </w:r>
          </w:p>
        </w:tc>
        <w:tc>
          <w:tcPr>
            <w:tcW w:w="132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3,939</w:t>
            </w:r>
          </w:p>
        </w:tc>
        <w:tc>
          <w:tcPr>
            <w:tcW w:w="180" w:type="dxa"/>
            <w:vAlign w:val="bottom"/>
            <w:shd w:val="clear" w:color="auto" w:fill="EEEEEE"/>
          </w:tcPr>
          <w:p>
            <w:pPr>
              <w:spacing w:after="0"/>
              <w:rPr>
                <w:sz w:val="17"/>
                <w:szCs w:val="17"/>
                <w:color w:val="auto"/>
              </w:rPr>
            </w:pP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51,069</w:t>
            </w:r>
          </w:p>
        </w:tc>
      </w:tr>
      <w:tr>
        <w:trPr>
          <w:trHeight w:val="213"/>
        </w:trPr>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91+ days</w:t>
            </w: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1,795</w:t>
            </w:r>
          </w:p>
        </w:tc>
        <w:tc>
          <w:tcPr>
            <w:tcW w:w="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24,527</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961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11,745</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1,171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14,280</w:t>
            </w:r>
          </w:p>
        </w:tc>
      </w:tr>
      <w:tr>
        <w:trPr>
          <w:trHeight w:val="199"/>
        </w:trPr>
        <w:tc>
          <w:tcPr>
            <w:tcW w:w="32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6"/>
                <w:szCs w:val="16"/>
                <w:color w:val="auto"/>
              </w:rPr>
              <w:t>Total delinquencies (2)</w:t>
            </w:r>
          </w:p>
        </w:tc>
        <w:tc>
          <w:tcPr>
            <w:tcW w:w="1120" w:type="dxa"/>
            <w:vAlign w:val="bottom"/>
            <w:tcBorders>
              <w:top w:val="single" w:sz="8" w:color="auto"/>
            </w:tcBorders>
            <w:gridSpan w:val="2"/>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18,109</w:t>
            </w:r>
          </w:p>
        </w:tc>
        <w:tc>
          <w:tcPr>
            <w:tcW w:w="26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9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261,174</w:t>
            </w:r>
          </w:p>
        </w:tc>
        <w:tc>
          <w:tcPr>
            <w:tcW w:w="240" w:type="dxa"/>
            <w:vAlign w:val="bottom"/>
            <w:tcBorders>
              <w:top w:val="single" w:sz="8" w:color="EEEEEE"/>
            </w:tcBorders>
            <w:shd w:val="clear" w:color="auto" w:fill="EEEEEE"/>
          </w:tcPr>
          <w:p>
            <w:pPr>
              <w:spacing w:after="0"/>
              <w:rPr>
                <w:sz w:val="17"/>
                <w:szCs w:val="17"/>
                <w:color w:val="auto"/>
              </w:rPr>
            </w:pPr>
          </w:p>
        </w:tc>
        <w:tc>
          <w:tcPr>
            <w:tcW w:w="1140" w:type="dxa"/>
            <w:vAlign w:val="bottom"/>
            <w:tcBorders>
              <w:top w:val="single" w:sz="8" w:color="auto"/>
            </w:tcBorders>
            <w:gridSpan w:val="2"/>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13,953</w:t>
            </w:r>
          </w:p>
        </w:tc>
        <w:tc>
          <w:tcPr>
            <w:tcW w:w="22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9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182,642</w:t>
            </w:r>
          </w:p>
        </w:tc>
        <w:tc>
          <w:tcPr>
            <w:tcW w:w="220" w:type="dxa"/>
            <w:vAlign w:val="bottom"/>
            <w:tcBorders>
              <w:top w:val="single" w:sz="8" w:color="EEEEEE"/>
            </w:tcBorders>
            <w:shd w:val="clear" w:color="auto" w:fill="EEEEEE"/>
          </w:tcPr>
          <w:p>
            <w:pPr>
              <w:spacing w:after="0"/>
              <w:rPr>
                <w:sz w:val="17"/>
                <w:szCs w:val="17"/>
                <w:color w:val="auto"/>
              </w:rPr>
            </w:pPr>
          </w:p>
        </w:tc>
        <w:tc>
          <w:tcPr>
            <w:tcW w:w="1100" w:type="dxa"/>
            <w:vAlign w:val="bottom"/>
            <w:tcBorders>
              <w:top w:val="single" w:sz="8" w:color="auto"/>
            </w:tcBorders>
            <w:gridSpan w:val="2"/>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16,005</w:t>
            </w:r>
          </w:p>
        </w:tc>
        <w:tc>
          <w:tcPr>
            <w:tcW w:w="22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9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212,253</w:t>
            </w:r>
          </w:p>
        </w:tc>
        <w:tc>
          <w:tcPr>
            <w:tcW w:w="100" w:type="dxa"/>
            <w:vAlign w:val="bottom"/>
            <w:tcBorders>
              <w:top w:val="single" w:sz="8" w:color="EEEEEE"/>
            </w:tcBorders>
            <w:shd w:val="clear" w:color="auto" w:fill="EEEEEE"/>
          </w:tcPr>
          <w:p>
            <w:pPr>
              <w:spacing w:after="0"/>
              <w:rPr>
                <w:sz w:val="17"/>
                <w:szCs w:val="17"/>
                <w:color w:val="auto"/>
              </w:rPr>
            </w:pPr>
          </w:p>
        </w:tc>
      </w:tr>
      <w:tr>
        <w:trPr>
          <w:trHeight w:val="21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Amount in repossession (3)</w:t>
            </w: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2,331</w:t>
            </w:r>
          </w:p>
        </w:tc>
        <w:tc>
          <w:tcPr>
            <w:tcW w:w="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30,479</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1,792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21,803</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1,882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22,912</w:t>
            </w:r>
          </w:p>
        </w:tc>
      </w:tr>
      <w:tr>
        <w:trPr>
          <w:trHeight w:val="171"/>
        </w:trPr>
        <w:tc>
          <w:tcPr>
            <w:tcW w:w="3280" w:type="dxa"/>
            <w:vAlign w:val="bottom"/>
            <w:tcBorders>
              <w:top w:val="single" w:sz="8" w:color="EEEEEE"/>
            </w:tcBorders>
            <w:shd w:val="clear" w:color="auto" w:fill="EEEEEE"/>
          </w:tcPr>
          <w:p>
            <w:pPr>
              <w:spacing w:after="0" w:line="171" w:lineRule="exact"/>
              <w:rPr>
                <w:sz w:val="20"/>
                <w:szCs w:val="20"/>
                <w:color w:val="auto"/>
              </w:rPr>
            </w:pPr>
            <w:r>
              <w:rPr>
                <w:rFonts w:ascii="Times New Roman" w:cs="Times New Roman" w:eastAsia="Times New Roman" w:hAnsi="Times New Roman"/>
                <w:sz w:val="16"/>
                <w:szCs w:val="16"/>
                <w:color w:val="auto"/>
              </w:rPr>
              <w:t>Total delinquencies and amount in repossession</w:t>
            </w:r>
          </w:p>
        </w:tc>
        <w:tc>
          <w:tcPr>
            <w:tcW w:w="120" w:type="dxa"/>
            <w:vAlign w:val="bottom"/>
            <w:tcBorders>
              <w:top w:val="single" w:sz="8" w:color="auto"/>
            </w:tcBorders>
            <w:shd w:val="clear" w:color="auto" w:fill="EEEEEE"/>
          </w:tcPr>
          <w:p>
            <w:pPr>
              <w:spacing w:after="0"/>
              <w:rPr>
                <w:sz w:val="14"/>
                <w:szCs w:val="14"/>
                <w:color w:val="auto"/>
              </w:rPr>
            </w:pPr>
          </w:p>
        </w:tc>
        <w:tc>
          <w:tcPr>
            <w:tcW w:w="1000" w:type="dxa"/>
            <w:vAlign w:val="bottom"/>
            <w:tcBorders>
              <w:top w:val="single" w:sz="8" w:color="auto"/>
            </w:tcBorders>
            <w:shd w:val="clear" w:color="auto" w:fill="EEEEEE"/>
          </w:tcPr>
          <w:p>
            <w:pPr>
              <w:spacing w:after="0"/>
              <w:rPr>
                <w:sz w:val="14"/>
                <w:szCs w:val="14"/>
                <w:color w:val="auto"/>
              </w:rPr>
            </w:pPr>
          </w:p>
        </w:tc>
        <w:tc>
          <w:tcPr>
            <w:tcW w:w="260" w:type="dxa"/>
            <w:vAlign w:val="bottom"/>
            <w:tcBorders>
              <w:top w:val="single" w:sz="8" w:color="EEEEEE"/>
            </w:tcBorders>
            <w:shd w:val="clear" w:color="auto" w:fill="EEEEEE"/>
          </w:tcPr>
          <w:p>
            <w:pPr>
              <w:spacing w:after="0"/>
              <w:rPr>
                <w:sz w:val="14"/>
                <w:szCs w:val="14"/>
                <w:color w:val="auto"/>
              </w:rPr>
            </w:pPr>
          </w:p>
        </w:tc>
        <w:tc>
          <w:tcPr>
            <w:tcW w:w="180" w:type="dxa"/>
            <w:vAlign w:val="bottom"/>
            <w:tcBorders>
              <w:top w:val="single" w:sz="8" w:color="auto"/>
            </w:tcBorders>
            <w:shd w:val="clear" w:color="auto" w:fill="EEEEEE"/>
          </w:tcPr>
          <w:p>
            <w:pPr>
              <w:spacing w:after="0"/>
              <w:rPr>
                <w:sz w:val="14"/>
                <w:szCs w:val="14"/>
                <w:color w:val="auto"/>
              </w:rPr>
            </w:pPr>
          </w:p>
        </w:tc>
        <w:tc>
          <w:tcPr>
            <w:tcW w:w="940" w:type="dxa"/>
            <w:vAlign w:val="bottom"/>
            <w:tcBorders>
              <w:top w:val="single" w:sz="8" w:color="auto"/>
            </w:tcBorders>
            <w:shd w:val="clear" w:color="auto" w:fill="EEEEEE"/>
          </w:tcPr>
          <w:p>
            <w:pPr>
              <w:spacing w:after="0"/>
              <w:rPr>
                <w:sz w:val="14"/>
                <w:szCs w:val="14"/>
                <w:color w:val="auto"/>
              </w:rPr>
            </w:pPr>
          </w:p>
        </w:tc>
        <w:tc>
          <w:tcPr>
            <w:tcW w:w="240" w:type="dxa"/>
            <w:vAlign w:val="bottom"/>
            <w:tcBorders>
              <w:top w:val="single" w:sz="8" w:color="EEEEEE"/>
            </w:tcBorders>
            <w:shd w:val="clear" w:color="auto" w:fill="EEEEEE"/>
          </w:tcPr>
          <w:p>
            <w:pPr>
              <w:spacing w:after="0"/>
              <w:rPr>
                <w:sz w:val="14"/>
                <w:szCs w:val="14"/>
                <w:color w:val="auto"/>
              </w:rPr>
            </w:pPr>
          </w:p>
        </w:tc>
        <w:tc>
          <w:tcPr>
            <w:tcW w:w="140" w:type="dxa"/>
            <w:vAlign w:val="bottom"/>
            <w:tcBorders>
              <w:top w:val="single" w:sz="8" w:color="auto"/>
            </w:tcBorders>
            <w:shd w:val="clear" w:color="auto" w:fill="EEEEEE"/>
          </w:tcPr>
          <w:p>
            <w:pPr>
              <w:spacing w:after="0"/>
              <w:rPr>
                <w:sz w:val="14"/>
                <w:szCs w:val="14"/>
                <w:color w:val="auto"/>
              </w:rPr>
            </w:pPr>
          </w:p>
        </w:tc>
        <w:tc>
          <w:tcPr>
            <w:tcW w:w="1000" w:type="dxa"/>
            <w:vAlign w:val="bottom"/>
            <w:tcBorders>
              <w:top w:val="single" w:sz="8" w:color="auto"/>
            </w:tcBorders>
            <w:shd w:val="clear" w:color="auto" w:fill="EEEEEE"/>
          </w:tcPr>
          <w:p>
            <w:pPr>
              <w:spacing w:after="0"/>
              <w:rPr>
                <w:sz w:val="14"/>
                <w:szCs w:val="14"/>
                <w:color w:val="auto"/>
              </w:rPr>
            </w:pPr>
          </w:p>
        </w:tc>
        <w:tc>
          <w:tcPr>
            <w:tcW w:w="220" w:type="dxa"/>
            <w:vAlign w:val="bottom"/>
            <w:tcBorders>
              <w:top w:val="single" w:sz="8" w:color="EEEEEE"/>
            </w:tcBorders>
            <w:shd w:val="clear" w:color="auto" w:fill="EEEEEE"/>
          </w:tcPr>
          <w:p>
            <w:pPr>
              <w:spacing w:after="0"/>
              <w:rPr>
                <w:sz w:val="14"/>
                <w:szCs w:val="14"/>
                <w:color w:val="auto"/>
              </w:rPr>
            </w:pPr>
          </w:p>
        </w:tc>
        <w:tc>
          <w:tcPr>
            <w:tcW w:w="180" w:type="dxa"/>
            <w:vAlign w:val="bottom"/>
            <w:tcBorders>
              <w:top w:val="single" w:sz="8" w:color="auto"/>
            </w:tcBorders>
            <w:shd w:val="clear" w:color="auto" w:fill="EEEEEE"/>
          </w:tcPr>
          <w:p>
            <w:pPr>
              <w:spacing w:after="0"/>
              <w:rPr>
                <w:sz w:val="14"/>
                <w:szCs w:val="14"/>
                <w:color w:val="auto"/>
              </w:rPr>
            </w:pPr>
          </w:p>
        </w:tc>
        <w:tc>
          <w:tcPr>
            <w:tcW w:w="920" w:type="dxa"/>
            <w:vAlign w:val="bottom"/>
            <w:tcBorders>
              <w:top w:val="single" w:sz="8" w:color="auto"/>
            </w:tcBorders>
            <w:shd w:val="clear" w:color="auto" w:fill="EEEEEE"/>
          </w:tcPr>
          <w:p>
            <w:pPr>
              <w:spacing w:after="0"/>
              <w:rPr>
                <w:sz w:val="14"/>
                <w:szCs w:val="14"/>
                <w:color w:val="auto"/>
              </w:rPr>
            </w:pPr>
          </w:p>
        </w:tc>
        <w:tc>
          <w:tcPr>
            <w:tcW w:w="220" w:type="dxa"/>
            <w:vAlign w:val="bottom"/>
            <w:tcBorders>
              <w:top w:val="single" w:sz="8" w:color="EEEEEE"/>
            </w:tcBorders>
            <w:shd w:val="clear" w:color="auto" w:fill="EEEEEE"/>
          </w:tcPr>
          <w:p>
            <w:pPr>
              <w:spacing w:after="0"/>
              <w:rPr>
                <w:sz w:val="14"/>
                <w:szCs w:val="14"/>
                <w:color w:val="auto"/>
              </w:rPr>
            </w:pPr>
          </w:p>
        </w:tc>
        <w:tc>
          <w:tcPr>
            <w:tcW w:w="100" w:type="dxa"/>
            <w:vAlign w:val="bottom"/>
            <w:tcBorders>
              <w:top w:val="single" w:sz="8" w:color="auto"/>
            </w:tcBorders>
            <w:shd w:val="clear" w:color="auto" w:fill="EEEEEE"/>
          </w:tcPr>
          <w:p>
            <w:pPr>
              <w:spacing w:after="0"/>
              <w:rPr>
                <w:sz w:val="14"/>
                <w:szCs w:val="14"/>
                <w:color w:val="auto"/>
              </w:rPr>
            </w:pPr>
          </w:p>
        </w:tc>
        <w:tc>
          <w:tcPr>
            <w:tcW w:w="1000" w:type="dxa"/>
            <w:vAlign w:val="bottom"/>
            <w:tcBorders>
              <w:top w:val="single" w:sz="8" w:color="auto"/>
            </w:tcBorders>
            <w:shd w:val="clear" w:color="auto" w:fill="EEEEEE"/>
          </w:tcPr>
          <w:p>
            <w:pPr>
              <w:spacing w:after="0"/>
              <w:rPr>
                <w:sz w:val="14"/>
                <w:szCs w:val="14"/>
                <w:color w:val="auto"/>
              </w:rPr>
            </w:pPr>
          </w:p>
        </w:tc>
        <w:tc>
          <w:tcPr>
            <w:tcW w:w="220" w:type="dxa"/>
            <w:vAlign w:val="bottom"/>
            <w:tcBorders>
              <w:top w:val="single" w:sz="8" w:color="EEEEEE"/>
            </w:tcBorders>
            <w:shd w:val="clear" w:color="auto" w:fill="EEEEEE"/>
          </w:tcPr>
          <w:p>
            <w:pPr>
              <w:spacing w:after="0"/>
              <w:rPr>
                <w:sz w:val="14"/>
                <w:szCs w:val="14"/>
                <w:color w:val="auto"/>
              </w:rPr>
            </w:pPr>
          </w:p>
        </w:tc>
        <w:tc>
          <w:tcPr>
            <w:tcW w:w="180" w:type="dxa"/>
            <w:vAlign w:val="bottom"/>
            <w:tcBorders>
              <w:top w:val="single" w:sz="8" w:color="auto"/>
            </w:tcBorders>
            <w:shd w:val="clear" w:color="auto" w:fill="EEEEEE"/>
          </w:tcPr>
          <w:p>
            <w:pPr>
              <w:spacing w:after="0"/>
              <w:rPr>
                <w:sz w:val="14"/>
                <w:szCs w:val="14"/>
                <w:color w:val="auto"/>
              </w:rPr>
            </w:pPr>
          </w:p>
        </w:tc>
        <w:tc>
          <w:tcPr>
            <w:tcW w:w="940" w:type="dxa"/>
            <w:vAlign w:val="bottom"/>
            <w:tcBorders>
              <w:top w:val="single" w:sz="8" w:color="auto"/>
            </w:tcBorders>
            <w:shd w:val="clear" w:color="auto" w:fill="EEEEEE"/>
          </w:tcPr>
          <w:p>
            <w:pPr>
              <w:spacing w:after="0"/>
              <w:rPr>
                <w:sz w:val="14"/>
                <w:szCs w:val="14"/>
                <w:color w:val="auto"/>
              </w:rPr>
            </w:pPr>
          </w:p>
        </w:tc>
        <w:tc>
          <w:tcPr>
            <w:tcW w:w="100" w:type="dxa"/>
            <w:vAlign w:val="bottom"/>
            <w:tcBorders>
              <w:top w:val="single" w:sz="8" w:color="EEEEEE"/>
            </w:tcBorders>
            <w:shd w:val="clear" w:color="auto" w:fill="EEEEEE"/>
          </w:tcPr>
          <w:p>
            <w:pPr>
              <w:spacing w:after="0"/>
              <w:rPr>
                <w:sz w:val="14"/>
                <w:szCs w:val="14"/>
                <w:color w:val="auto"/>
              </w:rPr>
            </w:pPr>
          </w:p>
        </w:tc>
      </w:tr>
      <w:tr>
        <w:trPr>
          <w:trHeight w:val="240"/>
        </w:trPr>
        <w:tc>
          <w:tcPr>
            <w:tcW w:w="328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6"/>
                <w:szCs w:val="16"/>
                <w:color w:val="auto"/>
              </w:rPr>
              <w:t>(2)</w:t>
            </w:r>
          </w:p>
        </w:tc>
        <w:tc>
          <w:tcPr>
            <w:tcW w:w="1380" w:type="dxa"/>
            <w:vAlign w:val="bottom"/>
            <w:gridSpan w:val="3"/>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20,440</w:t>
            </w:r>
          </w:p>
        </w:tc>
        <w:tc>
          <w:tcPr>
            <w:tcW w:w="180" w:type="dxa"/>
            <w:vAlign w:val="bottom"/>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291,653</w:t>
            </w:r>
          </w:p>
        </w:tc>
        <w:tc>
          <w:tcPr>
            <w:tcW w:w="136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15,745</w:t>
            </w:r>
          </w:p>
        </w:tc>
        <w:tc>
          <w:tcPr>
            <w:tcW w:w="180" w:type="dxa"/>
            <w:vAlign w:val="bottom"/>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204,445</w:t>
            </w:r>
          </w:p>
        </w:tc>
        <w:tc>
          <w:tcPr>
            <w:tcW w:w="132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17,887</w:t>
            </w:r>
          </w:p>
        </w:tc>
        <w:tc>
          <w:tcPr>
            <w:tcW w:w="180" w:type="dxa"/>
            <w:vAlign w:val="bottom"/>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235,165</w:t>
            </w:r>
          </w:p>
        </w:tc>
      </w:tr>
      <w:tr>
        <w:trPr>
          <w:trHeight w:val="20"/>
        </w:trPr>
        <w:tc>
          <w:tcPr>
            <w:tcW w:w="328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r>
        <w:trPr>
          <w:trHeight w:val="186"/>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Delinquencies as a percentage of gross</w:t>
            </w:r>
          </w:p>
        </w:tc>
        <w:tc>
          <w:tcPr>
            <w:tcW w:w="120" w:type="dxa"/>
            <w:vAlign w:val="bottom"/>
            <w:shd w:val="clear" w:color="auto" w:fill="EEEEEE"/>
          </w:tcPr>
          <w:p>
            <w:pPr>
              <w:spacing w:after="0"/>
              <w:rPr>
                <w:sz w:val="16"/>
                <w:szCs w:val="16"/>
                <w:color w:val="auto"/>
              </w:rPr>
            </w:pPr>
          </w:p>
        </w:tc>
        <w:tc>
          <w:tcPr>
            <w:tcW w:w="100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4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100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2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00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4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r>
      <w:tr>
        <w:trPr>
          <w:trHeight w:val="216"/>
        </w:trPr>
        <w:tc>
          <w:tcPr>
            <w:tcW w:w="328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6"/>
                <w:szCs w:val="16"/>
                <w:color w:val="auto"/>
              </w:rPr>
              <w:t>servicing portfolio</w:t>
            </w:r>
          </w:p>
        </w:tc>
        <w:tc>
          <w:tcPr>
            <w:tcW w:w="1380" w:type="dxa"/>
            <w:vAlign w:val="bottom"/>
            <w:gridSpan w:val="3"/>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10.9%</w:t>
            </w: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9.7%</w:t>
            </w:r>
          </w:p>
        </w:tc>
        <w:tc>
          <w:tcPr>
            <w:tcW w:w="136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8.9%</w:t>
            </w: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8.4%</w:t>
            </w:r>
          </w:p>
        </w:tc>
        <w:tc>
          <w:tcPr>
            <w:tcW w:w="132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10.4%</w:t>
            </w: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9.6%</w:t>
            </w:r>
          </w:p>
        </w:tc>
      </w:tr>
      <w:tr>
        <w:trPr>
          <w:trHeight w:val="203"/>
        </w:trPr>
        <w:tc>
          <w:tcPr>
            <w:tcW w:w="3280" w:type="dxa"/>
            <w:vAlign w:val="bottom"/>
          </w:tcPr>
          <w:p>
            <w:pPr>
              <w:spacing w:after="0"/>
              <w:rPr>
                <w:sz w:val="17"/>
                <w:szCs w:val="17"/>
                <w:color w:val="auto"/>
              </w:rPr>
            </w:pP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FFFFFF"/>
              </w:rPr>
              <w:t>.</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Total delinquencies and amount in repossession</w:t>
            </w:r>
          </w:p>
        </w:tc>
        <w:tc>
          <w:tcPr>
            <w:tcW w:w="120" w:type="dxa"/>
            <w:vAlign w:val="bottom"/>
            <w:shd w:val="clear" w:color="auto" w:fill="EEEEEE"/>
          </w:tcPr>
          <w:p>
            <w:pPr>
              <w:spacing w:after="0"/>
              <w:rPr>
                <w:sz w:val="16"/>
                <w:szCs w:val="16"/>
                <w:color w:val="auto"/>
              </w:rPr>
            </w:pPr>
          </w:p>
        </w:tc>
        <w:tc>
          <w:tcPr>
            <w:tcW w:w="100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4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100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2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00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4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r>
      <w:tr>
        <w:trPr>
          <w:trHeight w:val="216"/>
        </w:trPr>
        <w:tc>
          <w:tcPr>
            <w:tcW w:w="328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6"/>
                <w:szCs w:val="16"/>
                <w:color w:val="auto"/>
              </w:rPr>
              <w:t>as a percentage of gross servicing portfolio</w:t>
            </w:r>
          </w:p>
        </w:tc>
        <w:tc>
          <w:tcPr>
            <w:tcW w:w="1380" w:type="dxa"/>
            <w:vAlign w:val="bottom"/>
            <w:gridSpan w:val="3"/>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12.3%</w:t>
            </w: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10.9%</w:t>
            </w:r>
          </w:p>
        </w:tc>
        <w:tc>
          <w:tcPr>
            <w:tcW w:w="136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10.1%</w:t>
            </w: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9.4%</w:t>
            </w:r>
          </w:p>
        </w:tc>
        <w:tc>
          <w:tcPr>
            <w:tcW w:w="132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11.6%</w:t>
            </w: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10.6%</w:t>
            </w:r>
          </w:p>
        </w:tc>
      </w:tr>
      <w:tr>
        <w:trPr>
          <w:trHeight w:val="203"/>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b w:val="1"/>
                <w:bCs w:val="1"/>
                <w:i w:val="1"/>
                <w:iCs w:val="1"/>
                <w:color w:val="auto"/>
              </w:rPr>
              <w:t>Extension Experience</w:t>
            </w:r>
          </w:p>
        </w:tc>
        <w:tc>
          <w:tcPr>
            <w:tcW w:w="1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Contracts with one extension, accruing</w:t>
            </w: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29,683</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397,622</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23,730</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320,330</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23,740</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328,128</w:t>
            </w:r>
          </w:p>
        </w:tc>
      </w:tr>
      <w:tr>
        <w:trPr>
          <w:trHeight w:val="216"/>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Contracts with two or more extensions, accruing</w:t>
            </w:r>
          </w:p>
        </w:tc>
        <w:tc>
          <w:tcPr>
            <w:tcW w:w="1380" w:type="dxa"/>
            <w:vAlign w:val="bottom"/>
            <w:gridSpan w:val="3"/>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58,254</w:t>
            </w: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794,789</w:t>
            </w:r>
          </w:p>
        </w:tc>
        <w:tc>
          <w:tcPr>
            <w:tcW w:w="136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48,840</w:t>
            </w: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548,609</w:t>
            </w:r>
          </w:p>
        </w:tc>
        <w:tc>
          <w:tcPr>
            <w:tcW w:w="132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46,541</w:t>
            </w: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513,183</w:t>
            </w:r>
          </w:p>
        </w:tc>
      </w:tr>
      <w:tr>
        <w:trPr>
          <w:trHeight w:val="196"/>
        </w:trPr>
        <w:tc>
          <w:tcPr>
            <w:tcW w:w="3280" w:type="dxa"/>
            <w:vAlign w:val="bottom"/>
          </w:tcPr>
          <w:p>
            <w:pPr>
              <w:spacing w:after="0"/>
              <w:rPr>
                <w:sz w:val="17"/>
                <w:szCs w:val="17"/>
                <w:color w:val="auto"/>
              </w:rPr>
            </w:pP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87,937</w:t>
            </w: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1,192,411</w:t>
            </w:r>
          </w:p>
        </w:tc>
        <w:tc>
          <w:tcPr>
            <w:tcW w:w="240" w:type="dxa"/>
            <w:vAlign w:val="bottom"/>
          </w:tcPr>
          <w:p>
            <w:pPr>
              <w:spacing w:after="0"/>
              <w:rPr>
                <w:sz w:val="17"/>
                <w:szCs w:val="17"/>
                <w:color w:val="auto"/>
              </w:rPr>
            </w:pP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72,570</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868,939</w:t>
            </w:r>
          </w:p>
        </w:tc>
        <w:tc>
          <w:tcPr>
            <w:tcW w:w="220" w:type="dxa"/>
            <w:vAlign w:val="bottom"/>
          </w:tcPr>
          <w:p>
            <w:pPr>
              <w:spacing w:after="0"/>
              <w:rPr>
                <w:sz w:val="17"/>
                <w:szCs w:val="17"/>
                <w:color w:val="auto"/>
              </w:rPr>
            </w:pPr>
          </w:p>
        </w:tc>
        <w:tc>
          <w:tcPr>
            <w:tcW w:w="1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70,281</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841,311</w:t>
            </w:r>
          </w:p>
        </w:tc>
        <w:tc>
          <w:tcPr>
            <w:tcW w:w="100" w:type="dxa"/>
            <w:vAlign w:val="bottom"/>
          </w:tcPr>
          <w:p>
            <w:pPr>
              <w:spacing w:after="0"/>
              <w:rPr>
                <w:sz w:val="17"/>
                <w:szCs w:val="17"/>
                <w:color w:val="auto"/>
              </w:rPr>
            </w:pPr>
          </w:p>
        </w:tc>
      </w:tr>
      <w:tr>
        <w:trPr>
          <w:trHeight w:val="203"/>
        </w:trPr>
        <w:tc>
          <w:tcPr>
            <w:tcW w:w="32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Contracts with one extension, non-accrual (4)</w:t>
            </w: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833</w:t>
            </w: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9,958</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530</w:t>
            </w:r>
          </w:p>
        </w:tc>
        <w:tc>
          <w:tcPr>
            <w:tcW w:w="18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6,440</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597</w:t>
            </w: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7,736</w:t>
            </w:r>
          </w:p>
        </w:tc>
      </w:tr>
      <w:tr>
        <w:trPr>
          <w:trHeight w:val="189"/>
        </w:trPr>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Contracts with two or more extensions, non-</w:t>
            </w:r>
          </w:p>
        </w:tc>
        <w:tc>
          <w:tcPr>
            <w:tcW w:w="120" w:type="dxa"/>
            <w:vAlign w:val="bottom"/>
            <w:shd w:val="clear" w:color="auto" w:fill="EEEEEE"/>
          </w:tcPr>
          <w:p>
            <w:pPr>
              <w:spacing w:after="0"/>
              <w:rPr>
                <w:sz w:val="16"/>
                <w:szCs w:val="16"/>
                <w:color w:val="auto"/>
              </w:rPr>
            </w:pPr>
          </w:p>
        </w:tc>
        <w:tc>
          <w:tcPr>
            <w:tcW w:w="100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4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100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2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00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4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r>
      <w:tr>
        <w:trPr>
          <w:trHeight w:val="230"/>
        </w:trPr>
        <w:tc>
          <w:tcPr>
            <w:tcW w:w="328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6"/>
                <w:szCs w:val="16"/>
                <w:color w:val="auto"/>
              </w:rPr>
              <w:t>accrual (4)</w:t>
            </w:r>
          </w:p>
        </w:tc>
        <w:tc>
          <w:tcPr>
            <w:tcW w:w="1380" w:type="dxa"/>
            <w:vAlign w:val="bottom"/>
            <w:gridSpan w:val="3"/>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2,558</w:t>
            </w:r>
          </w:p>
        </w:tc>
        <w:tc>
          <w:tcPr>
            <w:tcW w:w="18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33,133</w:t>
            </w:r>
          </w:p>
        </w:tc>
        <w:tc>
          <w:tcPr>
            <w:tcW w:w="136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1,210</w:t>
            </w:r>
          </w:p>
        </w:tc>
        <w:tc>
          <w:tcPr>
            <w:tcW w:w="18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13,376</w:t>
            </w:r>
          </w:p>
        </w:tc>
        <w:tc>
          <w:tcPr>
            <w:tcW w:w="132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6"/>
                <w:szCs w:val="16"/>
                <w:color w:val="auto"/>
              </w:rPr>
              <w:t>1,414</w:t>
            </w:r>
          </w:p>
        </w:tc>
        <w:tc>
          <w:tcPr>
            <w:tcW w:w="18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15,128</w:t>
            </w:r>
          </w:p>
        </w:tc>
      </w:tr>
      <w:tr>
        <w:trPr>
          <w:trHeight w:val="207"/>
        </w:trPr>
        <w:tc>
          <w:tcPr>
            <w:tcW w:w="3280" w:type="dxa"/>
            <w:vAlign w:val="bottom"/>
          </w:tcPr>
          <w:p>
            <w:pPr>
              <w:spacing w:after="0"/>
              <w:rPr>
                <w:sz w:val="17"/>
                <w:szCs w:val="17"/>
                <w:color w:val="auto"/>
              </w:rPr>
            </w:pP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3,391</w:t>
            </w: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43,091</w:t>
            </w:r>
          </w:p>
        </w:tc>
        <w:tc>
          <w:tcPr>
            <w:tcW w:w="240" w:type="dxa"/>
            <w:vAlign w:val="bottom"/>
          </w:tcPr>
          <w:p>
            <w:pPr>
              <w:spacing w:after="0"/>
              <w:rPr>
                <w:sz w:val="17"/>
                <w:szCs w:val="17"/>
                <w:color w:val="auto"/>
              </w:rPr>
            </w:pP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1,740</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19,816</w:t>
            </w:r>
          </w:p>
        </w:tc>
        <w:tc>
          <w:tcPr>
            <w:tcW w:w="220" w:type="dxa"/>
            <w:vAlign w:val="bottom"/>
          </w:tcPr>
          <w:p>
            <w:pPr>
              <w:spacing w:after="0"/>
              <w:rPr>
                <w:sz w:val="17"/>
                <w:szCs w:val="17"/>
                <w:color w:val="auto"/>
              </w:rPr>
            </w:pPr>
          </w:p>
        </w:tc>
        <w:tc>
          <w:tcPr>
            <w:tcW w:w="1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2,011</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22,864</w:t>
            </w:r>
          </w:p>
        </w:tc>
        <w:tc>
          <w:tcPr>
            <w:tcW w:w="100" w:type="dxa"/>
            <w:vAlign w:val="bottom"/>
          </w:tcPr>
          <w:p>
            <w:pPr>
              <w:spacing w:after="0"/>
              <w:rPr>
                <w:sz w:val="17"/>
                <w:szCs w:val="17"/>
                <w:color w:val="auto"/>
              </w:rPr>
            </w:pPr>
          </w:p>
        </w:tc>
      </w:tr>
      <w:tr>
        <w:trPr>
          <w:trHeight w:val="199"/>
        </w:trPr>
        <w:tc>
          <w:tcPr>
            <w:tcW w:w="328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EEEEEE"/>
              <w:bottom w:val="single" w:sz="8" w:color="auto"/>
            </w:tcBorders>
            <w:shd w:val="clear" w:color="auto" w:fill="EEEEEE"/>
          </w:tcPr>
          <w:p>
            <w:pPr>
              <w:spacing w:after="0"/>
              <w:rPr>
                <w:sz w:val="17"/>
                <w:szCs w:val="17"/>
                <w:color w:val="auto"/>
              </w:rPr>
            </w:pPr>
          </w:p>
        </w:tc>
        <w:tc>
          <w:tcPr>
            <w:tcW w:w="1000" w:type="dxa"/>
            <w:vAlign w:val="bottom"/>
            <w:tcBorders>
              <w:top w:val="single" w:sz="8" w:color="auto"/>
              <w:bottom w:val="single" w:sz="8" w:color="auto"/>
            </w:tcBorders>
            <w:shd w:val="clear" w:color="auto" w:fill="EEEEEE"/>
          </w:tcPr>
          <w:p>
            <w:pPr>
              <w:spacing w:after="0"/>
              <w:rPr>
                <w:sz w:val="17"/>
                <w:szCs w:val="17"/>
                <w:color w:val="auto"/>
              </w:rPr>
            </w:pPr>
          </w:p>
        </w:tc>
        <w:tc>
          <w:tcPr>
            <w:tcW w:w="26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bottom w:val="single" w:sz="8" w:color="auto"/>
            </w:tcBorders>
            <w:shd w:val="clear" w:color="auto" w:fill="EEEEEE"/>
          </w:tcPr>
          <w:p>
            <w:pPr>
              <w:spacing w:after="0"/>
              <w:rPr>
                <w:sz w:val="17"/>
                <w:szCs w:val="17"/>
                <w:color w:val="auto"/>
              </w:rPr>
            </w:pPr>
          </w:p>
        </w:tc>
        <w:tc>
          <w:tcPr>
            <w:tcW w:w="940" w:type="dxa"/>
            <w:vAlign w:val="bottom"/>
            <w:tcBorders>
              <w:top w:val="single" w:sz="8" w:color="auto"/>
              <w:bottom w:val="single" w:sz="8" w:color="auto"/>
            </w:tcBorders>
            <w:shd w:val="clear" w:color="auto" w:fill="EEEEEE"/>
          </w:tcPr>
          <w:p>
            <w:pPr>
              <w:spacing w:after="0"/>
              <w:rPr>
                <w:sz w:val="17"/>
                <w:szCs w:val="17"/>
                <w:color w:val="auto"/>
              </w:rPr>
            </w:pPr>
          </w:p>
        </w:tc>
        <w:tc>
          <w:tcPr>
            <w:tcW w:w="24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EEEEEE"/>
              <w:bottom w:val="single" w:sz="8" w:color="auto"/>
            </w:tcBorders>
            <w:shd w:val="clear" w:color="auto" w:fill="EEEEEE"/>
          </w:tcPr>
          <w:p>
            <w:pPr>
              <w:spacing w:after="0"/>
              <w:rPr>
                <w:sz w:val="17"/>
                <w:szCs w:val="17"/>
                <w:color w:val="auto"/>
              </w:rPr>
            </w:pPr>
          </w:p>
        </w:tc>
        <w:tc>
          <w:tcPr>
            <w:tcW w:w="1000" w:type="dxa"/>
            <w:vAlign w:val="bottom"/>
            <w:tcBorders>
              <w:top w:val="single" w:sz="8" w:color="auto"/>
              <w:bottom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bottom w:val="single" w:sz="8" w:color="auto"/>
            </w:tcBorders>
            <w:shd w:val="clear" w:color="auto" w:fill="EEEEEE"/>
          </w:tcPr>
          <w:p>
            <w:pPr>
              <w:spacing w:after="0"/>
              <w:rPr>
                <w:sz w:val="17"/>
                <w:szCs w:val="17"/>
                <w:color w:val="auto"/>
              </w:rPr>
            </w:pPr>
          </w:p>
        </w:tc>
        <w:tc>
          <w:tcPr>
            <w:tcW w:w="920" w:type="dxa"/>
            <w:vAlign w:val="bottom"/>
            <w:tcBorders>
              <w:top w:val="single" w:sz="8" w:color="auto"/>
              <w:bottom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EEEEEE"/>
              <w:bottom w:val="single" w:sz="8" w:color="auto"/>
            </w:tcBorders>
            <w:shd w:val="clear" w:color="auto" w:fill="EEEEEE"/>
          </w:tcPr>
          <w:p>
            <w:pPr>
              <w:spacing w:after="0"/>
              <w:rPr>
                <w:sz w:val="17"/>
                <w:szCs w:val="17"/>
                <w:color w:val="auto"/>
              </w:rPr>
            </w:pPr>
          </w:p>
        </w:tc>
        <w:tc>
          <w:tcPr>
            <w:tcW w:w="1000" w:type="dxa"/>
            <w:vAlign w:val="bottom"/>
            <w:tcBorders>
              <w:top w:val="single" w:sz="8" w:color="auto"/>
              <w:bottom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bottom w:val="single" w:sz="8" w:color="auto"/>
            </w:tcBorders>
            <w:shd w:val="clear" w:color="auto" w:fill="EEEEEE"/>
          </w:tcPr>
          <w:p>
            <w:pPr>
              <w:spacing w:after="0"/>
              <w:rPr>
                <w:sz w:val="17"/>
                <w:szCs w:val="17"/>
                <w:color w:val="auto"/>
              </w:rPr>
            </w:pPr>
          </w:p>
        </w:tc>
        <w:tc>
          <w:tcPr>
            <w:tcW w:w="940" w:type="dxa"/>
            <w:vAlign w:val="bottom"/>
            <w:tcBorders>
              <w:top w:val="single" w:sz="8" w:color="auto"/>
              <w:bottom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r>
      <w:tr>
        <w:trPr>
          <w:trHeight w:val="178"/>
        </w:trPr>
        <w:tc>
          <w:tcPr>
            <w:tcW w:w="328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Total contracts with extensions</w:t>
            </w:r>
          </w:p>
        </w:tc>
        <w:tc>
          <w:tcPr>
            <w:tcW w:w="112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6"/>
                <w:szCs w:val="16"/>
                <w:color w:val="auto"/>
              </w:rPr>
              <w:t>91,328</w:t>
            </w:r>
          </w:p>
        </w:tc>
        <w:tc>
          <w:tcPr>
            <w:tcW w:w="260" w:type="dxa"/>
            <w:vAlign w:val="bottom"/>
          </w:tcPr>
          <w:p>
            <w:pPr>
              <w:spacing w:after="0"/>
              <w:rPr>
                <w:sz w:val="15"/>
                <w:szCs w:val="15"/>
                <w:color w:val="auto"/>
              </w:rPr>
            </w:pPr>
          </w:p>
        </w:tc>
        <w:tc>
          <w:tcPr>
            <w:tcW w:w="180" w:type="dxa"/>
            <w:vAlign w:val="bottom"/>
          </w:tcPr>
          <w:p>
            <w:pPr>
              <w:jc w:val="right"/>
              <w:ind w:right="19"/>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1,235,502</w:t>
            </w:r>
          </w:p>
        </w:tc>
        <w:tc>
          <w:tcPr>
            <w:tcW w:w="240" w:type="dxa"/>
            <w:vAlign w:val="bottom"/>
          </w:tcPr>
          <w:p>
            <w:pPr>
              <w:spacing w:after="0"/>
              <w:rPr>
                <w:sz w:val="15"/>
                <w:szCs w:val="15"/>
                <w:color w:val="auto"/>
              </w:rPr>
            </w:pPr>
          </w:p>
        </w:tc>
        <w:tc>
          <w:tcPr>
            <w:tcW w:w="114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6"/>
                <w:szCs w:val="16"/>
                <w:color w:val="auto"/>
              </w:rPr>
              <w:t>74,310</w:t>
            </w:r>
          </w:p>
        </w:tc>
        <w:tc>
          <w:tcPr>
            <w:tcW w:w="220" w:type="dxa"/>
            <w:vAlign w:val="bottom"/>
          </w:tcPr>
          <w:p>
            <w:pPr>
              <w:spacing w:after="0"/>
              <w:rPr>
                <w:sz w:val="15"/>
                <w:szCs w:val="15"/>
                <w:color w:val="auto"/>
              </w:rPr>
            </w:pPr>
          </w:p>
        </w:tc>
        <w:tc>
          <w:tcPr>
            <w:tcW w:w="180" w:type="dxa"/>
            <w:vAlign w:val="bottom"/>
          </w:tcPr>
          <w:p>
            <w:pPr>
              <w:jc w:val="right"/>
              <w:ind w:right="19"/>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888,755</w:t>
            </w:r>
          </w:p>
        </w:tc>
        <w:tc>
          <w:tcPr>
            <w:tcW w:w="220" w:type="dxa"/>
            <w:vAlign w:val="bottom"/>
          </w:tcPr>
          <w:p>
            <w:pPr>
              <w:spacing w:after="0"/>
              <w:rPr>
                <w:sz w:val="15"/>
                <w:szCs w:val="15"/>
                <w:color w:val="auto"/>
              </w:rPr>
            </w:pPr>
          </w:p>
        </w:tc>
        <w:tc>
          <w:tcPr>
            <w:tcW w:w="110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6"/>
                <w:szCs w:val="16"/>
                <w:color w:val="auto"/>
              </w:rPr>
              <w:t>72,292</w:t>
            </w:r>
          </w:p>
        </w:tc>
        <w:tc>
          <w:tcPr>
            <w:tcW w:w="220" w:type="dxa"/>
            <w:vAlign w:val="bottom"/>
          </w:tcPr>
          <w:p>
            <w:pPr>
              <w:spacing w:after="0"/>
              <w:rPr>
                <w:sz w:val="15"/>
                <w:szCs w:val="15"/>
                <w:color w:val="auto"/>
              </w:rPr>
            </w:pPr>
          </w:p>
        </w:tc>
        <w:tc>
          <w:tcPr>
            <w:tcW w:w="180" w:type="dxa"/>
            <w:vAlign w:val="bottom"/>
          </w:tcPr>
          <w:p>
            <w:pPr>
              <w:jc w:val="right"/>
              <w:ind w:right="19"/>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864,175</w:t>
            </w:r>
          </w:p>
        </w:tc>
        <w:tc>
          <w:tcPr>
            <w:tcW w:w="100" w:type="dxa"/>
            <w:vAlign w:val="bottom"/>
          </w:tcPr>
          <w:p>
            <w:pPr>
              <w:spacing w:after="0"/>
              <w:rPr>
                <w:sz w:val="15"/>
                <w:szCs w:val="15"/>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jc w:val="both"/>
        <w:ind w:firstLine="8"/>
        <w:spacing w:after="0" w:line="250" w:lineRule="auto"/>
        <w:tabs>
          <w:tab w:leader="none" w:pos="27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amounts and percentages are based on the amount remaining to be repaid on each automobile contract, including, for pre-computed automobile contracts, any unearned interest. The information in the table represents the gross principal amount of all automobile contracts we have purchased, including automobile contracts subsequently sold in securitization transactions that we continue to service. The table does not include certain contracts we have serviced for third parties on which we earn servicing fees only and have no credit risk.</w:t>
      </w:r>
    </w:p>
    <w:p>
      <w:pPr>
        <w:spacing w:after="0" w:line="1" w:lineRule="exact"/>
        <w:rPr>
          <w:rFonts w:ascii="Times New Roman" w:cs="Times New Roman" w:eastAsia="Times New Roman" w:hAnsi="Times New Roman"/>
          <w:sz w:val="18"/>
          <w:szCs w:val="18"/>
          <w:i w:val="1"/>
          <w:iCs w:val="1"/>
          <w:color w:val="auto"/>
        </w:rPr>
      </w:pPr>
    </w:p>
    <w:p>
      <w:pPr>
        <w:jc w:val="both"/>
        <w:ind w:firstLine="8"/>
        <w:spacing w:after="0" w:line="250" w:lineRule="auto"/>
        <w:tabs>
          <w:tab w:leader="none" w:pos="26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1"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Amount in repossession represents financed vehicles that have been repossessed but not yet liquidated.</w:t>
      </w:r>
    </w:p>
    <w:p>
      <w:pPr>
        <w:spacing w:after="0" w:line="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Amount in repossession and accounts past due more than 90 days are on non-accrual.</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Net Charge-Off Experience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Owned Portfolio</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Finance Receivables Portfolio</w:t>
            </w:r>
          </w:p>
        </w:tc>
      </w:tr>
      <w:tr>
        <w:trPr>
          <w:trHeight w:val="230"/>
        </w:trPr>
        <w:tc>
          <w:tcPr>
            <w:tcW w:w="6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20" w:type="dxa"/>
            <w:vAlign w:val="bottom"/>
          </w:tcPr>
          <w:p>
            <w:pPr>
              <w:spacing w:after="0"/>
              <w:rPr>
                <w:sz w:val="19"/>
                <w:szCs w:val="19"/>
                <w:color w:val="auto"/>
              </w:rPr>
            </w:pPr>
          </w:p>
        </w:tc>
        <w:tc>
          <w:tcPr>
            <w:tcW w:w="14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6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0"/>
                <w:szCs w:val="20"/>
                <w:color w:val="auto"/>
              </w:rPr>
            </w:pPr>
          </w:p>
        </w:tc>
      </w:tr>
      <w:tr>
        <w:trPr>
          <w:trHeight w:val="209"/>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servicing portfolio outstanding</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263,309</w:t>
            </w:r>
          </w:p>
        </w:tc>
        <w:tc>
          <w:tcPr>
            <w:tcW w:w="3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rPr>
              <w:t>305,820</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345,021</w:t>
            </w:r>
          </w:p>
        </w:tc>
      </w:t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Annualized net charge-offs as a percentage of average servicing portfolio (2)</w:t>
            </w:r>
          </w:p>
        </w:tc>
        <w:tc>
          <w:tcPr>
            <w:tcW w:w="12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shd w:val="clear" w:color="auto" w:fill="EEEEEE"/>
          </w:tcPr>
          <w:p>
            <w:pPr>
              <w:spacing w:after="0"/>
              <w:rPr>
                <w:sz w:val="18"/>
                <w:szCs w:val="18"/>
                <w:color w:val="auto"/>
              </w:rPr>
            </w:pPr>
          </w:p>
        </w:tc>
        <w:tc>
          <w:tcPr>
            <w:tcW w:w="144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r>
      <w:tr>
        <w:trPr>
          <w:trHeight w:val="437"/>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gridSpan w:val="6"/>
          </w:tcPr>
          <w:p>
            <w:pPr>
              <w:ind w:left="840"/>
              <w:spacing w:after="0"/>
              <w:rPr>
                <w:sz w:val="20"/>
                <w:szCs w:val="20"/>
                <w:color w:val="auto"/>
              </w:rPr>
            </w:pPr>
            <w:r>
              <w:rPr>
                <w:rFonts w:ascii="Times New Roman" w:cs="Times New Roman" w:eastAsia="Times New Roman" w:hAnsi="Times New Roman"/>
                <w:sz w:val="18"/>
                <w:szCs w:val="18"/>
                <w:b w:val="1"/>
                <w:bCs w:val="1"/>
                <w:color w:val="auto"/>
              </w:rPr>
              <w:t>Fair Value Receivables Portfolio</w:t>
            </w:r>
          </w:p>
        </w:tc>
      </w:tr>
      <w:tr>
        <w:trPr>
          <w:trHeight w:val="229"/>
        </w:trPr>
        <w:tc>
          <w:tcPr>
            <w:tcW w:w="6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20" w:type="dxa"/>
            <w:vAlign w:val="bottom"/>
          </w:tcPr>
          <w:p>
            <w:pPr>
              <w:spacing w:after="0"/>
              <w:rPr>
                <w:sz w:val="19"/>
                <w:szCs w:val="19"/>
                <w:color w:val="auto"/>
              </w:rPr>
            </w:pPr>
          </w:p>
        </w:tc>
        <w:tc>
          <w:tcPr>
            <w:tcW w:w="14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6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0"/>
                <w:szCs w:val="20"/>
                <w:color w:val="auto"/>
              </w:rPr>
            </w:pPr>
          </w:p>
        </w:tc>
      </w:tr>
      <w:tr>
        <w:trPr>
          <w:trHeight w:val="210"/>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servicing portfolio outstanding</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2,517,663</w:t>
            </w:r>
          </w:p>
        </w:tc>
        <w:tc>
          <w:tcPr>
            <w:tcW w:w="3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rPr>
              <w:t>1,837,138</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1,802,590</w:t>
            </w:r>
          </w:p>
        </w:tc>
      </w:t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r>
      <w:tr>
        <w:trPr>
          <w:trHeight w:val="216"/>
        </w:trPr>
        <w:tc>
          <w:tcPr>
            <w:tcW w:w="6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Annualized net charge-offs as a percentage of average servicing portfolio (2)</w:t>
            </w:r>
          </w:p>
        </w:tc>
        <w:tc>
          <w:tcPr>
            <w:tcW w:w="12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20" w:type="dxa"/>
            <w:vAlign w:val="bottom"/>
            <w:shd w:val="clear" w:color="auto" w:fill="EEEEEE"/>
          </w:tcPr>
          <w:p>
            <w:pPr>
              <w:spacing w:after="0"/>
              <w:rPr>
                <w:sz w:val="18"/>
                <w:szCs w:val="18"/>
                <w:color w:val="auto"/>
              </w:rPr>
            </w:pPr>
          </w:p>
        </w:tc>
        <w:tc>
          <w:tcPr>
            <w:tcW w:w="144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437"/>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Owned Portfolio</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6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20" w:type="dxa"/>
            <w:vAlign w:val="bottom"/>
          </w:tcPr>
          <w:p>
            <w:pPr>
              <w:spacing w:after="0"/>
              <w:rPr>
                <w:sz w:val="19"/>
                <w:szCs w:val="19"/>
                <w:color w:val="auto"/>
              </w:rPr>
            </w:pPr>
          </w:p>
        </w:tc>
        <w:tc>
          <w:tcPr>
            <w:tcW w:w="14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6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0"/>
                <w:szCs w:val="20"/>
                <w:color w:val="auto"/>
              </w:rPr>
            </w:pPr>
          </w:p>
        </w:tc>
      </w:tr>
      <w:tr>
        <w:trPr>
          <w:trHeight w:val="209"/>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servicing portfolio outstanding</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2,648,209</w:t>
            </w:r>
          </w:p>
        </w:tc>
        <w:tc>
          <w:tcPr>
            <w:tcW w:w="3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rPr>
              <w:t>2,142,958</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2,147,611</w:t>
            </w:r>
          </w:p>
        </w:tc>
      </w:t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r>
      <w:tr>
        <w:trPr>
          <w:trHeight w:val="216"/>
        </w:trPr>
        <w:tc>
          <w:tcPr>
            <w:tcW w:w="6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Annualized net charge-offs as a percentage of average servicing portfolio (2)</w:t>
            </w:r>
          </w:p>
        </w:tc>
        <w:tc>
          <w:tcPr>
            <w:tcW w:w="12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20" w:type="dxa"/>
            <w:vAlign w:val="bottom"/>
            <w:shd w:val="clear" w:color="auto" w:fill="EEEEEE"/>
          </w:tcPr>
          <w:p>
            <w:pPr>
              <w:spacing w:after="0"/>
              <w:rPr>
                <w:sz w:val="18"/>
                <w:szCs w:val="18"/>
                <w:color w:val="auto"/>
              </w:rPr>
            </w:pPr>
          </w:p>
        </w:tc>
        <w:tc>
          <w:tcPr>
            <w:tcW w:w="144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18"/>
        </w:trPr>
        <w:tc>
          <w:tcPr>
            <w:tcW w:w="6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_________________________</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ind w:firstLine="8"/>
        <w:spacing w:after="0" w:line="249" w:lineRule="auto"/>
        <w:tabs>
          <w:tab w:leader="none" w:pos="271"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amounts and percentages are based on the principal amount scheduled to be paid on each automobile contract, net of unearned income on pre-computed automobile contracts.</w:t>
      </w:r>
    </w:p>
    <w:p>
      <w:pPr>
        <w:jc w:val="both"/>
        <w:ind w:firstLine="8"/>
        <w:spacing w:after="0" w:line="253" w:lineRule="auto"/>
        <w:tabs>
          <w:tab w:leader="none" w:pos="257"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interim consolidated financial statements. September 30, 2022 and September 30, 2021 percentages represent three months ended September 30, 2022 and September 30, 2021 annualized. December 31, 2021 represents 12 months ended December 31,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Extensions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certain circumstances we will grant obligors one-month payment extensions to assist them with temporary cash flow problems. In general, we are bound by our securitization agreements to refrain from agreeing to more than two such extensions in any 12-month period and to more than six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 Accordingly, we consider such extensions to be insignificant delays in payments rather than troubled debt restructurings. Because financial regulatory authorities have encouraged obligors to expect payment deferrals as a response to the pandemic, we may seek amendments or waivers of our securitization agreements to relax the limits on extensions; however, we have not sought such changes in terms as of the date of this report, and if we do seek such changes, there can be no assurance that the other parties to our securitization agreements will agree to such amendments or waivers, nor as to the effect on credit performance that may result if such amendments or waivers are agreed to.</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7" w:name="page38"/>
    <w:bookmarkEnd w:id="37"/>
    <w:p>
      <w:pPr>
        <w:jc w:val="both"/>
        <w:spacing w:after="0" w:line="255" w:lineRule="auto"/>
        <w:rPr>
          <w:sz w:val="20"/>
          <w:szCs w:val="20"/>
          <w:color w:val="auto"/>
        </w:rPr>
      </w:pPr>
      <w:r>
        <w:rPr>
          <w:rFonts w:ascii="Times New Roman" w:cs="Times New Roman" w:eastAsia="Times New Roman" w:hAnsi="Times New Roman"/>
          <w:sz w:val="18"/>
          <w:szCs w:val="18"/>
          <w:color w:val="auto"/>
        </w:rPr>
        <w:t>The basic question in deciding to grant an extension is whether or not we will (a) be delaying the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so that the obligor might prioritize us over other creditors on future payments. Our servicing staff are trained to identify when a past due obligor is facing a temporary problem that may be resolved with an extension. In some cases, the extension will be granted in conjunction with our receiving all or a portion of a past due payment from the obligor, thereby indicating an additional monetary and psychological commitment to the contract on the obligor’s part.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w:t>
      </w:r>
    </w:p>
    <w:p>
      <w:pPr>
        <w:jc w:val="both"/>
        <w:ind w:firstLine="8"/>
        <w:spacing w:after="0" w:line="252" w:lineRule="auto"/>
        <w:tabs>
          <w:tab w:leader="none" w:pos="2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reason for the delinquency is temporary, and if it is, have conditions changed such that the obligor can begin making regular monthly payments again after the extension; (3) the obligor's past payment history, including past extensions if applicable; (4) the obligor’s willingness to communicate and cooperate on resolving the delinquency; and (5) a numeric score from our internal risk assessment system that indicating the likelihood that the extension will prove beneficial. If the collector believes the obligor is a good candidate for an extension, an approval is obtained from a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spacing w:after="0" w:line="1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that a prudent extension program is an integral component to mitigating losses in our portfolio of sub-prime automobile receivables. The table below summarizes the status, as of September 30, 2022, for accounts that received extensions from 2008 through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Charged</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Avg</w:t>
            </w:r>
          </w:p>
        </w:tc>
      </w:tr>
      <w:tr>
        <w:trPr>
          <w:trHeight w:val="216"/>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7"/>
              </w:rPr>
              <w:t>Charged Off</w:t>
            </w: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Off &lt;= 6</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Months</w:t>
            </w:r>
          </w:p>
        </w:tc>
      </w:tr>
      <w:tr>
        <w:trPr>
          <w:trHeight w:val="216"/>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Active or Paid Off</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 Active or Paid</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Charged Off &gt; 6</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 Charged Off &gt;</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&lt;= 6 Months</w:t>
            </w: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Months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 Charge</w:t>
            </w:r>
          </w:p>
        </w:tc>
      </w:tr>
      <w:tr>
        <w:trPr>
          <w:trHeight w:val="216"/>
        </w:trPr>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Period of</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Extensions</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at September 30,</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Off at September</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Months After</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6 Months After</w:t>
            </w:r>
          </w:p>
        </w:tc>
        <w:tc>
          <w:tcPr>
            <w:tcW w:w="11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After</w:t>
            </w: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After</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Off Post</w:t>
            </w:r>
          </w:p>
        </w:tc>
      </w:tr>
      <w:tr>
        <w:trPr>
          <w:trHeight w:val="234"/>
        </w:trPr>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Extension</w:t>
            </w: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30, 2022</w:t>
            </w:r>
          </w:p>
        </w:tc>
        <w:tc>
          <w:tcPr>
            <w:tcW w:w="100" w:type="dxa"/>
            <w:vAlign w:val="bottom"/>
          </w:tcPr>
          <w:p>
            <w:pPr>
              <w:spacing w:after="0"/>
              <w:rPr>
                <w:sz w:val="20"/>
                <w:szCs w:val="20"/>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Extension</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Extension</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Extension</w:t>
            </w: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9"/>
              </w:rPr>
              <w:t>Extension Extension</w:t>
            </w:r>
          </w:p>
        </w:tc>
      </w:tr>
      <w:tr>
        <w:trPr>
          <w:trHeight w:val="210"/>
        </w:trPr>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r>
      <w:tr>
        <w:trPr>
          <w:trHeight w:val="216"/>
        </w:trPr>
        <w:tc>
          <w:tcPr>
            <w:tcW w:w="13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2008</w:t>
            </w: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35,588</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10,708</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20,060</w:t>
            </w:r>
          </w:p>
        </w:tc>
        <w:tc>
          <w:tcPr>
            <w:tcW w:w="14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56.4%</w:t>
            </w:r>
          </w:p>
        </w:tc>
        <w:tc>
          <w:tcPr>
            <w:tcW w:w="11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4,819</w:t>
            </w:r>
          </w:p>
        </w:tc>
        <w:tc>
          <w:tcPr>
            <w:tcW w:w="80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13.5%</w:t>
            </w:r>
          </w:p>
        </w:tc>
        <w:tc>
          <w:tcPr>
            <w:tcW w:w="7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3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2009</w:t>
            </w: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32,226</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10,273</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31.9%</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16,170</w:t>
            </w:r>
          </w:p>
        </w:tc>
        <w:tc>
          <w:tcPr>
            <w:tcW w:w="14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50.2%</w:t>
            </w:r>
          </w:p>
        </w:tc>
        <w:tc>
          <w:tcPr>
            <w:tcW w:w="11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5,783</w:t>
            </w:r>
          </w:p>
        </w:tc>
        <w:tc>
          <w:tcPr>
            <w:tcW w:w="80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17.9%</w:t>
            </w:r>
          </w:p>
        </w:tc>
        <w:tc>
          <w:tcPr>
            <w:tcW w:w="7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3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26,167</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12,159</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46.5%</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12,009</w:t>
            </w:r>
          </w:p>
        </w:tc>
        <w:tc>
          <w:tcPr>
            <w:tcW w:w="14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45.9%</w:t>
            </w:r>
          </w:p>
        </w:tc>
        <w:tc>
          <w:tcPr>
            <w:tcW w:w="11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1,999</w:t>
            </w:r>
          </w:p>
        </w:tc>
        <w:tc>
          <w:tcPr>
            <w:tcW w:w="80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7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3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2011</w:t>
            </w: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18,786</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10,972</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58.4%</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6,882</w:t>
            </w:r>
          </w:p>
        </w:tc>
        <w:tc>
          <w:tcPr>
            <w:tcW w:w="14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36.6%</w:t>
            </w:r>
          </w:p>
        </w:tc>
        <w:tc>
          <w:tcPr>
            <w:tcW w:w="11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932</w:t>
            </w:r>
          </w:p>
        </w:tc>
        <w:tc>
          <w:tcPr>
            <w:tcW w:w="80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7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3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18,783</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11,320</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60.3%</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6,667</w:t>
            </w:r>
          </w:p>
        </w:tc>
        <w:tc>
          <w:tcPr>
            <w:tcW w:w="14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35.5%</w:t>
            </w:r>
          </w:p>
        </w:tc>
        <w:tc>
          <w:tcPr>
            <w:tcW w:w="11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796</w:t>
            </w:r>
          </w:p>
        </w:tc>
        <w:tc>
          <w:tcPr>
            <w:tcW w:w="80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7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3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23,398</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11,147</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47.6%</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11,275</w:t>
            </w:r>
          </w:p>
        </w:tc>
        <w:tc>
          <w:tcPr>
            <w:tcW w:w="14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48.2%</w:t>
            </w:r>
          </w:p>
        </w:tc>
        <w:tc>
          <w:tcPr>
            <w:tcW w:w="11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976</w:t>
            </w:r>
          </w:p>
        </w:tc>
        <w:tc>
          <w:tcPr>
            <w:tcW w:w="80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7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3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25,773</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10,494</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40.7%</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14,453</w:t>
            </w:r>
          </w:p>
        </w:tc>
        <w:tc>
          <w:tcPr>
            <w:tcW w:w="14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56.1%</w:t>
            </w:r>
          </w:p>
        </w:tc>
        <w:tc>
          <w:tcPr>
            <w:tcW w:w="11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826</w:t>
            </w:r>
          </w:p>
        </w:tc>
        <w:tc>
          <w:tcPr>
            <w:tcW w:w="80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7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3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53,319</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22,434</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42.1%</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29,803</w:t>
            </w:r>
          </w:p>
        </w:tc>
        <w:tc>
          <w:tcPr>
            <w:tcW w:w="14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55.9%</w:t>
            </w:r>
          </w:p>
        </w:tc>
        <w:tc>
          <w:tcPr>
            <w:tcW w:w="11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1,082</w:t>
            </w:r>
          </w:p>
        </w:tc>
        <w:tc>
          <w:tcPr>
            <w:tcW w:w="80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7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3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80,897</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37,032</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45.8%</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41,932</w:t>
            </w:r>
          </w:p>
        </w:tc>
        <w:tc>
          <w:tcPr>
            <w:tcW w:w="14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51.8%</w:t>
            </w:r>
          </w:p>
        </w:tc>
        <w:tc>
          <w:tcPr>
            <w:tcW w:w="11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1,933</w:t>
            </w:r>
          </w:p>
        </w:tc>
        <w:tc>
          <w:tcPr>
            <w:tcW w:w="80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7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3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133,881</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62,142</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46.4%</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64,813</w:t>
            </w:r>
          </w:p>
        </w:tc>
        <w:tc>
          <w:tcPr>
            <w:tcW w:w="14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48.4%</w:t>
            </w:r>
          </w:p>
        </w:tc>
        <w:tc>
          <w:tcPr>
            <w:tcW w:w="11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6,926</w:t>
            </w:r>
          </w:p>
        </w:tc>
        <w:tc>
          <w:tcPr>
            <w:tcW w:w="80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7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3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121,531</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66,971</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55.1%</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48,553</w:t>
            </w:r>
          </w:p>
        </w:tc>
        <w:tc>
          <w:tcPr>
            <w:tcW w:w="14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40.0%</w:t>
            </w:r>
          </w:p>
        </w:tc>
        <w:tc>
          <w:tcPr>
            <w:tcW w:w="11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6,007</w:t>
            </w:r>
          </w:p>
        </w:tc>
        <w:tc>
          <w:tcPr>
            <w:tcW w:w="80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7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3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71,548</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51,658</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72.2%</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17,948</w:t>
            </w:r>
          </w:p>
        </w:tc>
        <w:tc>
          <w:tcPr>
            <w:tcW w:w="14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25.1%</w:t>
            </w:r>
          </w:p>
        </w:tc>
        <w:tc>
          <w:tcPr>
            <w:tcW w:w="11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1,942</w:t>
            </w:r>
          </w:p>
        </w:tc>
        <w:tc>
          <w:tcPr>
            <w:tcW w:w="80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7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3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83,170</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66,338</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79.8%</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13,601</w:t>
            </w:r>
          </w:p>
        </w:tc>
        <w:tc>
          <w:tcPr>
            <w:tcW w:w="14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16.4%</w:t>
            </w:r>
          </w:p>
        </w:tc>
        <w:tc>
          <w:tcPr>
            <w:tcW w:w="11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2,099</w:t>
            </w:r>
          </w:p>
        </w:tc>
        <w:tc>
          <w:tcPr>
            <w:tcW w:w="80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7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bl>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Table excludes extensions on portfolios serviced for third parties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8" w:name="page39"/>
    <w:bookmarkEnd w:id="38"/>
    <w:p>
      <w:pPr>
        <w:jc w:val="both"/>
        <w:spacing w:after="0" w:line="261" w:lineRule="auto"/>
        <w:rPr>
          <w:sz w:val="20"/>
          <w:szCs w:val="20"/>
          <w:color w:val="auto"/>
        </w:rPr>
      </w:pPr>
      <w:r>
        <w:rPr>
          <w:rFonts w:ascii="Times New Roman" w:cs="Times New Roman" w:eastAsia="Times New Roman" w:hAnsi="Times New Roman"/>
          <w:sz w:val="18"/>
          <w:szCs w:val="18"/>
          <w:color w:val="auto"/>
        </w:rPr>
        <w:t>We view these results as a confirmation of the effectiveness of our extension program. For example, of the accounts granted extensions in 2018, 55.1% were either paid in full or active and performing as of September 30, 2022. Each of these successful accounts represent continued payments of interest and principal (including payment in full in many cases), where without the extension we likely would have incurred a substantial loss and no interest revenue after the extension.</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extension accounts that ultimately charge off, we consider any that charged off more than six months after the extension to be at least partially successful. For example, of the accounts granted extensions in 2012 that subsequently charged off, such charge offs occurred, on average, 18 months after the extension, indicating that even in the cases of an ultimate loss, the obligor serviced the account with additional payments of principal and interest.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about our extensions is provided in the tables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color w:val="auto"/>
              </w:rPr>
              <w:t>Nine Months Ended</w:t>
            </w:r>
          </w:p>
        </w:tc>
        <w:tc>
          <w:tcPr>
            <w:tcW w:w="140" w:type="dxa"/>
            <w:vAlign w:val="bottom"/>
          </w:tcPr>
          <w:p>
            <w:pPr>
              <w:spacing w:after="0"/>
              <w:rPr>
                <w:sz w:val="18"/>
                <w:szCs w:val="18"/>
                <w:color w:val="auto"/>
              </w:rPr>
            </w:pPr>
          </w:p>
        </w:tc>
        <w:tc>
          <w:tcPr>
            <w:tcW w:w="130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auto"/>
                <w:w w:val="98"/>
              </w:rPr>
              <w:t>Year Ended</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0"/>
        </w:trPr>
        <w:tc>
          <w:tcPr>
            <w:tcW w:w="2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auto"/>
                <w:w w:val="99"/>
              </w:rPr>
              <w:t>September 30,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rPr>
              <w:t>December 31,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34"/>
        </w:trPr>
        <w:tc>
          <w:tcPr>
            <w:tcW w:w="26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3"/>
          </w:tcPr>
          <w:p>
            <w:pPr>
              <w:jc w:val="center"/>
              <w:ind w:left="950"/>
              <w:spacing w:after="0"/>
              <w:rPr>
                <w:sz w:val="20"/>
                <w:szCs w:val="20"/>
                <w:color w:val="auto"/>
              </w:rPr>
            </w:pPr>
            <w:r>
              <w:rPr>
                <w:rFonts w:ascii="Times New Roman" w:cs="Times New Roman" w:eastAsia="Times New Roman" w:hAnsi="Times New Roman"/>
                <w:sz w:val="18"/>
                <w:szCs w:val="18"/>
                <w:color w:val="auto"/>
                <w:w w:val="99"/>
              </w:rPr>
              <w:t>2022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2021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20"/>
                <w:szCs w:val="20"/>
                <w:color w:val="auto"/>
              </w:rPr>
            </w:pPr>
          </w:p>
        </w:tc>
      </w:tr>
      <w:tr>
        <w:trPr>
          <w:trHeight w:val="209"/>
        </w:trPr>
        <w:tc>
          <w:tcPr>
            <w:tcW w:w="2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number of extensions granted per month</w:t>
            </w: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80" w:type="dxa"/>
            <w:vAlign w:val="bottom"/>
            <w:gridSpan w:val="4"/>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4,433</w:t>
            </w:r>
          </w:p>
        </w:tc>
        <w:tc>
          <w:tcPr>
            <w:tcW w:w="1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4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3,918</w:t>
            </w: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3,656</w:t>
            </w:r>
          </w:p>
        </w:tc>
      </w:tr>
      <w:tr>
        <w:trPr>
          <w:trHeight w:val="216"/>
        </w:trPr>
        <w:tc>
          <w:tcPr>
            <w:tcW w:w="38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number of outstanding accounts</w:t>
            </w: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80" w:type="dxa"/>
            <w:vAlign w:val="bottom"/>
            <w:gridSpan w:val="4"/>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w w:val="99"/>
              </w:rPr>
              <w:t>159,910</w:t>
            </w:r>
          </w:p>
        </w:tc>
        <w:tc>
          <w:tcPr>
            <w:tcW w:w="1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4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157,076</w:t>
            </w: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157,976</w:t>
            </w:r>
          </w:p>
        </w:tc>
      </w:tr>
      <w:tr>
        <w:trPr>
          <w:trHeight w:val="216"/>
        </w:trPr>
        <w:tc>
          <w:tcPr>
            <w:tcW w:w="3860" w:type="dxa"/>
            <w:vAlign w:val="bottom"/>
            <w:gridSpan w:val="2"/>
          </w:tcPr>
          <w:p>
            <w:pPr>
              <w:spacing w:after="0"/>
              <w:rPr>
                <w:sz w:val="18"/>
                <w:szCs w:val="18"/>
                <w:color w:val="auto"/>
              </w:rPr>
            </w:pPr>
          </w:p>
        </w:tc>
        <w:tc>
          <w:tcPr>
            <w:tcW w:w="46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gridSpan w:val="4"/>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monthly extensions as % of average outstandings</w:t>
            </w:r>
          </w:p>
        </w:tc>
        <w:tc>
          <w:tcPr>
            <w:tcW w:w="10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80" w:type="dxa"/>
            <w:vAlign w:val="bottom"/>
            <w:gridSpan w:val="4"/>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4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412"/>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556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Note: Table excludes portfolios originated and owned by third parties</w:t>
            </w: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2620" w:type="dxa"/>
            <w:vAlign w:val="bottom"/>
          </w:tcPr>
          <w:p>
            <w:pPr>
              <w:spacing w:after="0"/>
              <w:rPr>
                <w:sz w:val="24"/>
                <w:szCs w:val="24"/>
                <w:color w:val="auto"/>
              </w:rPr>
            </w:pPr>
          </w:p>
        </w:tc>
        <w:tc>
          <w:tcPr>
            <w:tcW w:w="29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September 30, 2022</w:t>
            </w:r>
          </w:p>
        </w:tc>
        <w:tc>
          <w:tcPr>
            <w:tcW w:w="420" w:type="dxa"/>
            <w:vAlign w:val="bottom"/>
          </w:tcPr>
          <w:p>
            <w:pPr>
              <w:spacing w:after="0"/>
              <w:rPr>
                <w:sz w:val="24"/>
                <w:szCs w:val="24"/>
                <w:color w:val="auto"/>
              </w:rPr>
            </w:pPr>
          </w:p>
        </w:tc>
        <w:tc>
          <w:tcPr>
            <w:tcW w:w="16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September 30, 2021</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191"/>
        </w:trPr>
        <w:tc>
          <w:tcPr>
            <w:tcW w:w="2620" w:type="dxa"/>
            <w:vAlign w:val="bottom"/>
          </w:tcPr>
          <w:p>
            <w:pPr>
              <w:spacing w:after="0"/>
              <w:rPr>
                <w:sz w:val="16"/>
                <w:szCs w:val="16"/>
                <w:color w:val="auto"/>
              </w:rPr>
            </w:pPr>
          </w:p>
        </w:tc>
        <w:tc>
          <w:tcPr>
            <w:tcW w:w="1500" w:type="dxa"/>
            <w:vAlign w:val="bottom"/>
            <w:tcBorders>
              <w:top w:val="single" w:sz="8" w:color="auto"/>
            </w:tcBorders>
            <w:gridSpan w:val="2"/>
          </w:tcPr>
          <w:p>
            <w:pPr>
              <w:jc w:val="right"/>
              <w:ind w:right="480"/>
              <w:spacing w:after="0" w:line="191" w:lineRule="exact"/>
              <w:rPr>
                <w:sz w:val="20"/>
                <w:szCs w:val="20"/>
                <w:color w:val="auto"/>
              </w:rPr>
            </w:pPr>
            <w:r>
              <w:rPr>
                <w:rFonts w:ascii="Times New Roman" w:cs="Times New Roman" w:eastAsia="Times New Roman" w:hAnsi="Times New Roman"/>
                <w:sz w:val="18"/>
                <w:szCs w:val="18"/>
                <w:color w:val="auto"/>
              </w:rPr>
              <w:t>Number of</w:t>
            </w: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Borders>
              <w:top w:val="single" w:sz="8" w:color="auto"/>
            </w:tcBorders>
            <w:gridSpan w:val="3"/>
          </w:tcPr>
          <w:p>
            <w:pPr>
              <w:jc w:val="center"/>
              <w:ind w:right="140"/>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Borders>
              <w:top w:val="single" w:sz="8" w:color="auto"/>
            </w:tcBorders>
            <w:gridSpan w:val="5"/>
          </w:tcPr>
          <w:p>
            <w:pPr>
              <w:jc w:val="right"/>
              <w:ind w:right="300"/>
              <w:spacing w:after="0" w:line="191" w:lineRule="exact"/>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620" w:type="dxa"/>
            <w:vAlign w:val="bottom"/>
          </w:tcPr>
          <w:p>
            <w:pPr>
              <w:spacing w:after="0"/>
              <w:rPr>
                <w:sz w:val="20"/>
                <w:szCs w:val="20"/>
                <w:color w:val="auto"/>
              </w:rPr>
            </w:pP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Contracts</w:t>
            </w:r>
          </w:p>
        </w:tc>
        <w:tc>
          <w:tcPr>
            <w:tcW w:w="20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14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8"/>
              </w:rPr>
              <w:t>Contracts</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color w:val="auto"/>
                <w:w w:val="98"/>
              </w:rPr>
              <w:t>Amount</w:t>
            </w:r>
          </w:p>
        </w:tc>
        <w:tc>
          <w:tcPr>
            <w:tcW w:w="140" w:type="dxa"/>
            <w:vAlign w:val="bottom"/>
          </w:tcPr>
          <w:p>
            <w:pPr>
              <w:spacing w:after="0"/>
              <w:rPr>
                <w:sz w:val="20"/>
                <w:szCs w:val="20"/>
                <w:color w:val="auto"/>
              </w:rPr>
            </w:pPr>
          </w:p>
        </w:tc>
        <w:tc>
          <w:tcPr>
            <w:tcW w:w="13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color w:val="auto"/>
              </w:rPr>
              <w:t>Contracts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Amount</w:t>
            </w:r>
          </w:p>
        </w:tc>
      </w:tr>
      <w:tr>
        <w:trPr>
          <w:trHeight w:val="228"/>
        </w:trPr>
        <w:tc>
          <w:tcPr>
            <w:tcW w:w="262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260" w:type="dxa"/>
            <w:vAlign w:val="bottom"/>
            <w:tcBorders>
              <w:top w:val="single" w:sz="8" w:color="auto"/>
            </w:tcBorders>
            <w:gridSpan w:val="8"/>
          </w:tcPr>
          <w:p>
            <w:pPr>
              <w:jc w:val="right"/>
              <w:ind w:right="450"/>
              <w:spacing w:after="0"/>
              <w:rPr>
                <w:sz w:val="20"/>
                <w:szCs w:val="20"/>
                <w:color w:val="auto"/>
              </w:rPr>
            </w:pPr>
            <w:r>
              <w:rPr>
                <w:rFonts w:ascii="Times New Roman" w:cs="Times New Roman" w:eastAsia="Times New Roman" w:hAnsi="Times New Roman"/>
                <w:sz w:val="18"/>
                <w:szCs w:val="18"/>
                <w:color w:val="auto"/>
              </w:rPr>
              <w:t>(Dollars in thousands)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2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r>
      <w:tr>
        <w:trPr>
          <w:trHeight w:val="216"/>
        </w:trPr>
        <w:tc>
          <w:tcPr>
            <w:tcW w:w="2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with one extension</w:t>
            </w:r>
          </w:p>
        </w:tc>
        <w:tc>
          <w:tcPr>
            <w:tcW w:w="15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30,516</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407,580</w:t>
            </w:r>
          </w:p>
        </w:tc>
        <w:tc>
          <w:tcPr>
            <w:tcW w:w="1400" w:type="dxa"/>
            <w:vAlign w:val="bottom"/>
            <w:gridSpan w:val="3"/>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24,260</w:t>
            </w:r>
          </w:p>
        </w:tc>
        <w:tc>
          <w:tcPr>
            <w:tcW w:w="360" w:type="dxa"/>
            <w:vAlign w:val="bottom"/>
            <w:gridSpan w:val="2"/>
            <w:shd w:val="clear" w:color="auto" w:fill="EEEEEE"/>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w w:val="99"/>
              </w:rPr>
              <w:t>326,770</w:t>
            </w:r>
          </w:p>
        </w:tc>
        <w:tc>
          <w:tcPr>
            <w:tcW w:w="1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680" w:type="dxa"/>
            <w:vAlign w:val="bottom"/>
            <w:gridSpan w:val="4"/>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24,337</w:t>
            </w:r>
          </w:p>
        </w:tc>
        <w:tc>
          <w:tcPr>
            <w:tcW w:w="3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335,864</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Contracts with two extensions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22,795</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310,724</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16,888</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9"/>
              </w:rPr>
              <w:t>216,878</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15,861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200,705</w:t>
            </w:r>
          </w:p>
        </w:tc>
      </w:tr>
      <w:tr>
        <w:trPr>
          <w:trHeight w:val="216"/>
        </w:trPr>
        <w:tc>
          <w:tcPr>
            <w:tcW w:w="2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with three extensions</w:t>
            </w:r>
          </w:p>
        </w:tc>
        <w:tc>
          <w:tcPr>
            <w:tcW w:w="15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17,058</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235,319</w:t>
            </w:r>
          </w:p>
        </w:tc>
        <w:tc>
          <w:tcPr>
            <w:tcW w:w="1400" w:type="dxa"/>
            <w:vAlign w:val="bottom"/>
            <w:gridSpan w:val="3"/>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12,155</w:t>
            </w:r>
          </w:p>
        </w:tc>
        <w:tc>
          <w:tcPr>
            <w:tcW w:w="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w w:val="99"/>
              </w:rPr>
              <w:t>144,035</w:t>
            </w:r>
          </w:p>
        </w:tc>
        <w:tc>
          <w:tcPr>
            <w:tcW w:w="1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680" w:type="dxa"/>
            <w:vAlign w:val="bottom"/>
            <w:gridSpan w:val="4"/>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11,755</w:t>
            </w: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136,970</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Contracts with four extensions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11,282</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155,514</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9,379</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97,391</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9,272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95,182</w:t>
            </w:r>
          </w:p>
        </w:tc>
      </w:tr>
      <w:tr>
        <w:trPr>
          <w:trHeight w:val="216"/>
        </w:trPr>
        <w:tc>
          <w:tcPr>
            <w:tcW w:w="2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with five extensions</w:t>
            </w:r>
          </w:p>
        </w:tc>
        <w:tc>
          <w:tcPr>
            <w:tcW w:w="15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6,332</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84,695</w:t>
            </w:r>
          </w:p>
        </w:tc>
        <w:tc>
          <w:tcPr>
            <w:tcW w:w="1400" w:type="dxa"/>
            <w:vAlign w:val="bottom"/>
            <w:gridSpan w:val="3"/>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6,782</w:t>
            </w:r>
          </w:p>
        </w:tc>
        <w:tc>
          <w:tcPr>
            <w:tcW w:w="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63,531</w:t>
            </w:r>
          </w:p>
        </w:tc>
        <w:tc>
          <w:tcPr>
            <w:tcW w:w="1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680" w:type="dxa"/>
            <w:vAlign w:val="bottom"/>
            <w:gridSpan w:val="4"/>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6,531</w:t>
            </w: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59,651</w:t>
            </w:r>
          </w:p>
        </w:tc>
      </w:tr>
      <w:tr>
        <w:trPr>
          <w:trHeight w:val="229"/>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Contracts with six extensions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3,345</w:t>
            </w: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41,669</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4,846</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40,149</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4,536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35,803</w:t>
            </w:r>
          </w:p>
        </w:tc>
      </w:tr>
      <w:tr>
        <w:trPr>
          <w:trHeight w:val="223"/>
        </w:trPr>
        <w:tc>
          <w:tcPr>
            <w:tcW w:w="2620" w:type="dxa"/>
            <w:vAlign w:val="bottom"/>
            <w:tcBorders>
              <w:top w:val="single" w:sz="8" w:color="EEEEEE"/>
              <w:bottom w:val="single" w:sz="8" w:color="EEEEEE"/>
            </w:tcBorders>
            <w:shd w:val="clear" w:color="auto" w:fill="EEEEEE"/>
          </w:tcPr>
          <w:p>
            <w:pPr>
              <w:spacing w:after="0"/>
              <w:rPr>
                <w:sz w:val="19"/>
                <w:szCs w:val="19"/>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91,328</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1,235,501</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24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74,310</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6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shd w:val="clear" w:color="auto" w:fill="EEEEEE"/>
          </w:tcPr>
          <w:p>
            <w:pPr>
              <w:spacing w:after="0"/>
              <w:rPr>
                <w:sz w:val="19"/>
                <w:szCs w:val="19"/>
                <w:color w:val="auto"/>
              </w:rPr>
            </w:pPr>
          </w:p>
        </w:tc>
        <w:tc>
          <w:tcPr>
            <w:tcW w:w="80" w:type="dxa"/>
            <w:vAlign w:val="bottom"/>
            <w:tcBorders>
              <w:top w:val="single" w:sz="8" w:color="auto"/>
              <w:bottom w:val="single" w:sz="8" w:color="auto"/>
            </w:tcBorders>
            <w:shd w:val="clear" w:color="auto" w:fill="EEEEEE"/>
          </w:tcPr>
          <w:p>
            <w:pPr>
              <w:spacing w:after="0"/>
              <w:rPr>
                <w:sz w:val="19"/>
                <w:szCs w:val="19"/>
                <w:color w:val="auto"/>
              </w:rPr>
            </w:pPr>
          </w:p>
        </w:tc>
        <w:tc>
          <w:tcPr>
            <w:tcW w:w="60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888,754</w:t>
            </w: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620" w:type="dxa"/>
            <w:vAlign w:val="bottom"/>
            <w:tcBorders>
              <w:top w:val="single" w:sz="8" w:color="auto"/>
              <w:bottom w:val="single" w:sz="8" w:color="auto"/>
            </w:tcBorders>
            <w:shd w:val="clear" w:color="auto" w:fill="EEEEEE"/>
          </w:tcPr>
          <w:p>
            <w:pPr>
              <w:spacing w:after="0"/>
              <w:rPr>
                <w:sz w:val="19"/>
                <w:szCs w:val="19"/>
                <w:color w:val="auto"/>
              </w:rPr>
            </w:pPr>
          </w:p>
        </w:tc>
        <w:tc>
          <w:tcPr>
            <w:tcW w:w="600" w:type="dxa"/>
            <w:vAlign w:val="bottom"/>
            <w:tcBorders>
              <w:top w:val="single" w:sz="8" w:color="auto"/>
              <w:bottom w:val="single" w:sz="8" w:color="auto"/>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72,292</w:t>
            </w: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864,175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6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262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Managed portfolio (excluding</w:t>
            </w:r>
          </w:p>
        </w:tc>
        <w:tc>
          <w:tcPr>
            <w:tcW w:w="1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26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originated and owned by 3rd</w:t>
            </w:r>
          </w:p>
        </w:tc>
        <w:tc>
          <w:tcPr>
            <w:tcW w:w="1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34"/>
        </w:trPr>
        <w:tc>
          <w:tcPr>
            <w:tcW w:w="26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parties)</w:t>
            </w:r>
          </w:p>
        </w:tc>
        <w:tc>
          <w:tcPr>
            <w:tcW w:w="15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166,370</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2,687,308</w:t>
            </w:r>
          </w:p>
        </w:tc>
        <w:tc>
          <w:tcPr>
            <w:tcW w:w="1400" w:type="dxa"/>
            <w:vAlign w:val="bottom"/>
            <w:gridSpan w:val="3"/>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156,456</w:t>
            </w:r>
          </w:p>
        </w:tc>
        <w:tc>
          <w:tcPr>
            <w:tcW w:w="360" w:type="dxa"/>
            <w:vAlign w:val="bottom"/>
            <w:gridSpan w:val="2"/>
            <w:shd w:val="clear" w:color="auto" w:fill="EEEEEE"/>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2,184,142</w:t>
            </w:r>
          </w:p>
        </w:tc>
        <w:tc>
          <w:tcPr>
            <w:tcW w:w="140" w:type="dxa"/>
            <w:vAlign w:val="bottom"/>
            <w:shd w:val="clear" w:color="auto" w:fill="EEEEEE"/>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680" w:type="dxa"/>
            <w:vAlign w:val="bottom"/>
            <w:gridSpan w:val="4"/>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w w:val="99"/>
              </w:rPr>
              <w:t>154,151</w:t>
            </w:r>
          </w:p>
        </w:tc>
        <w:tc>
          <w:tcPr>
            <w:tcW w:w="3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2,209,430</w:t>
            </w:r>
          </w:p>
        </w:tc>
      </w:tr>
      <w:tr>
        <w:trPr>
          <w:trHeight w:val="218"/>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8"/>
          <w:szCs w:val="18"/>
          <w:i w:val="1"/>
          <w:iCs w:val="1"/>
          <w:color w:val="auto"/>
        </w:rPr>
        <w:t>Note: Table excludes portfolios originated and owned by third parties</w:t>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2019, we have been able to reduce extensions by working with our servicing staff to be more selective in granting extensions including, where appropriate, to exhaust all possibilities of payment by the customer before granting an extension. However, as delinquency rates have risen, so has the average number of extensions granted for the nine month period ended September 30, 2022.</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Non-Accrual Receivables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not uncommon for our obligors to fall behind in their payments. However, with the diligent efforts of our Servicing staff and systems for managing our collection efforts, we regularly work with our customers to resolve delinquencies. Our staff are trained to employ a counseling approach to assist our customers with their cash flow management skills and help them to prioritize their payment obligations in order to avoid losing their vehicle to repossession. Through our experience, we have learned that once a customer becomes greater than 90 days past due, it is not likely that the delinquency will be resolved and will ultimately result in a charge-off. As a result, we do not recognize any interest income for contracts that are greater than 90 days past due.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 contract exceeds the 90 days past due threshold at the end of one period, and then makes the necessary payments such that it becomes less than or equal to 90 days delinquent at the end of a subsequent period, it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requires substantial cash to support our purchases of automobile contracts and other operating activities. Our primary sources of cash have been cash flows from the proceeds from term securitization transactions and other sales of automobile contracts, amounts borrowed under various revolving credit facilities (also sometimes known as warehouse credit facilities),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nine-month period ended September 30, 2022 was $164.7 million, an increase of $1.6 million, compared to net cash provided by operating activities for the nine-month period ended September 30, 2021 of $163.1 million. Net cash from operating activities is generally provided by net income from operations adjusted for significant non-cash items such as our provision for credit losses and marks to finance receivables measured at fair value.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$566.5 million for the nine months ended September 30, 2022. Net cash provided by investing activities for the nine-month period ended September 30, 2021 was $50.2 million. Cash provided by investing activities primarily results from principal payments and other proceeds received on finance receivables. Cash used in investing activities generally relates to purchases of automobile contracts. Purchases of finance receivables excluding acquisition fees were $1,426.3 million and $818.3 million during the first nine months of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0" w:name="page41"/>
    <w:bookmarkEnd w:id="40"/>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2022 was $397.9 million compared to net cash used in financing activities of $83.3 million in the prior year period. Cash provided by financing activities is primarily related to the issuance of securitization trust debt, reduced by the amount of repayment of securitization trust debt and net proceeds or repayments on our warehouse lines of credit and other debt. In the first nine months of 2022, we issued $1,104.0 million in new securitization trust debt compared to $761.5 million in the same period of 2021. We repaid $804.8 million in securitization trust debt in the nine months ended September 30, 2022 compared to repayments of securitization trust debt of $861.0 million in the prior year period. In the nine months ended September 30, 2022, we had net advances on warehouse lines of credit of $139.5 million, compared to net repayments of $22.1 million in the prior year’s period.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We have been dependent on warehouse credit facilities to purchase automobile contracts and our securitization transactions for long term financing of our contracts. In addition, we have accessed other sources, such as residual financings and subordinated debt in order to finance our continuing operations.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and may in the future be limited in our ability to purchase automobile contracts due to limits on our capital. As of September 30, 2022, we had unrestricted cash of $12.9 million and $157.6 million aggregate available borrowings under our two warehouse credit facilities (assuming the availability of sufficient eligible collateral). As of September 30, 2022, we had approximately $40.3 million of such eligible collateral. Our plans to manage our liquidity include maintaining our rate of automobile contract purchases at a level that matches our available capital, and, as appropriate, minimizing our operating costs. During the nine-month period ended September 30, 2022, we completed three securitizations aggregating $1,104.0 million of notes sold.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September 30, 2022, we were in compliance with all such financial covenants.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and will continue to have a substantial amount of indebtedness. At September 30, 2022, we had approximately $2,376.4 million of debt outstanding. Such debt consisted primarily of $2,057.1 million of securitization trust debt and $242.4 million of debt from warehouse lines of credit. Our securitization trust debt has increased by $297.1 million while our warehouse lines of credit debt has increased by $136.8 million since December 31, 2021 (each net of deferred financing costs). Since 2005, we have offered renewable subordinated notes to the public on a continuous basis, and such notes have maturities that range from six months to 10 years. We had $27.2 million and $26.5 million in subordinated renewable notes outstanding at September 30, 2022 and December 31, 2021, respectively. On June 30, 2021, we completed a $50.0 million securitization of residual interests from other previously issued securitizations. As of September 30, 2022, all $50.0 million of this debt remains outstanding.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1" w:name="page42"/>
    <w:bookmarkEnd w:id="41"/>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report on Form 10-Q includes certain “forward-looking statements.” Forward-looking statements may be identified by the use of words such as “anticipates,” “expects,” “plans,” “estimates,” or words of like meaning. Our provision for credit losses is a forward-looking statement, as it is dependent on our estimates as to future chargeoffs and recovery rates. Factors that could affect charge-offs and recovery rates include changes in the general economic climate, which could affect the willingness or ability of obligors to pay pursuant to the terms of automobile contracts, changes in laws respecting consumer finance, which could affect our ability to enforce rights under automobile contracts, and changes in the market for used vehicles, which could affect the levels of recoveries upon sale of repossessed vehicles. Our valuation of receivables measured at fair value is a forward-looking statement, as it is dependent, among other things, on our estimates of cash to be received in the future with respect to such receivables. Each of the factors listed above as affecting charge-offs and recovery rates could have a similar effect on cash to be received in the future with respect to receivables measured at fair value. Factors that could affect our revenues in the current year include the levels of cash releases from existing pools of automobile contracts, which would affect our ability to purchase automobile contracts, the terms on which we are able to finance such purchases, the willingness of dealers to sell automobile contracts to us on the terms that we offer, and the terms on which and whether we are able to complete term securitizations once automobile contracts are acquired. Factors that could affect our expenses in the current year include competitive conditions in the market for qualified personnel and interest rates (which affect the rates that we pay on notes issued in our securitizations). The factors identified in this and other reports as “Risk Factors” could affect our revenues, expenses, liquidity and financial condition, and the timing and amount of cash received with respect to our automobile contracts.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a system of internal controls and procedures designed to provide reasonable assurance as to the reliability of our published financial statements and other disclosures included in this report. As of the end of the period covered by this report, we evaluated the effectiveness of the design and operation of such disclosure controls and procedures. Based upon that evaluation, the principal executive officer (Charles E. Bradley, Jr.) and the principal financial officer (Denesh Bharwani) concluded that the disclosure controls and procedures are effective in recording, processing, summarizing and reporting, on a timely basis, material information relating to us that is required to be included in our reports filed under the Securities Exchange Act of 1934. There has been no change in our internal controls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information provided under the caption “Legal Proceedings,” Note 8 to the Unaudited Condensed Consolidated Financial Statements, included in Part I of this report,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remind the reader that risk factors are set forth in Item 1A of our report on Form 10-K, filed with the U.S. Securities and Exchange Commission on March 15, 2022. Where we are aware of material changes to such risk factors as previously disclosed, we set forth below an updated discussion of such risks. The reader should note that the other risks identified in our report on Form 10-K remain applicable.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have substantial indebtedness.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and will continue to have a substantial amount of indebtedness. At September 30, 2022, we had approximately $2,376.4 million of debt outstanding. Such debt consisted primarily of $2,057.1 million of securitization trust debt and $242.4 million of debt from warehouse lines of credit. Our securitization trust debt has increased by $297.1 million while our warehouse lines of credit debt has increased by $136.8 million since December 31, 2021 (each net of deferred financing costs). Since 2005, we have offered renewable subordinated notes to the public on a continuous basis, and such notes have maturities that range from six months to 10 years. We had $27.2 million and $26.5 million in subordinated renewable notes outstanding at September 30, 2022 and December 31, 2021, respectively. On June 30, 2021, we completed a $50.0 million securitization of residual interests from other previously issued securitizations. As of September 30, 2022, all $50.0 million of this debt remains outstanding.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substantial indebtedness could adversely affect our financial condition by, among other things:</w:t>
      </w:r>
    </w:p>
    <w:p>
      <w:pPr>
        <w:spacing w:after="0" w:line="225" w:lineRule="exact"/>
        <w:rPr>
          <w:sz w:val="20"/>
          <w:szCs w:val="20"/>
          <w:color w:val="auto"/>
        </w:rPr>
      </w:pPr>
    </w:p>
    <w:p>
      <w:pPr>
        <w:ind w:left="780" w:hanging="259"/>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225" w:lineRule="exact"/>
        <w:rPr>
          <w:rFonts w:ascii="Times New Roman" w:cs="Times New Roman" w:eastAsia="Times New Roman" w:hAnsi="Times New Roman"/>
          <w:sz w:val="18"/>
          <w:szCs w:val="18"/>
          <w:color w:val="auto"/>
        </w:rPr>
      </w:pPr>
    </w:p>
    <w:p>
      <w:pPr>
        <w:ind w:left="780" w:hanging="259"/>
        <w:spacing w:after="0" w:line="282"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payments on our indebtedness, thereby reducing amounts available for working capital, capital expenditures and other general corporate purposes;</w:t>
      </w:r>
    </w:p>
    <w:p>
      <w:pPr>
        <w:spacing w:after="0" w:line="161"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 in which we operate;</w:t>
      </w:r>
    </w:p>
    <w:p>
      <w:pPr>
        <w:spacing w:after="0" w:line="225"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less debt; and</w:t>
      </w:r>
    </w:p>
    <w:p>
      <w:pPr>
        <w:spacing w:after="0" w:line="225"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funds.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could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These forward-looking statements relate to, among other things, expectations of the business environment in which we operate, projections of future performance, perceived opportunities in the market and statements regarding our mission and vision. You can generally identify forward-looking statements as statements containing the words "will," "would," "believe," "may," "could," "expect," "anticipate," "intend," "estimate," "assume" or other similar expressions. Our actual results, performance and achievements may differ materially from the results, performance and achievements expressed or implied in such forward-looking statements. The discussion under "Risk Factors" identifies some of the factors that might cause such a difference, including the following:</w:t>
      </w:r>
    </w:p>
    <w:p>
      <w:pPr>
        <w:spacing w:after="0" w:line="189" w:lineRule="exact"/>
        <w:rPr>
          <w:sz w:val="20"/>
          <w:szCs w:val="20"/>
          <w:color w:val="auto"/>
        </w:rPr>
      </w:pPr>
    </w:p>
    <w:p>
      <w:pPr>
        <w:ind w:left="780" w:hanging="259"/>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w:t>
      </w:r>
    </w:p>
    <w:p>
      <w:pPr>
        <w:spacing w:after="0" w:line="27"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obtain necessary financing, and the terms of any such financing;</w:t>
      </w:r>
    </w:p>
    <w:p>
      <w:pPr>
        <w:spacing w:after="0" w:line="9"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especially as applicable to securitization trust debt;</w:t>
      </w:r>
    </w:p>
    <w:p>
      <w:pPr>
        <w:spacing w:after="0" w:line="9"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operating and financing cash flows;</w:t>
      </w:r>
    </w:p>
    <w:p>
      <w:pPr>
        <w:spacing w:after="0" w:line="9"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future provisioning for receivables losses;</w:t>
      </w:r>
    </w:p>
    <w:p>
      <w:pPr>
        <w:spacing w:after="0" w:line="9"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levels of actual losses on receivables; and</w:t>
      </w:r>
    </w:p>
    <w:p>
      <w:pPr>
        <w:spacing w:after="0" w:line="9"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Forward-looking statements in this report also include our recorded figures representing allowances for remaining expected lifetime credit losses, our markdown of the recorded value for the portion of our portfolio accounted for at fair value, our charge to the provision for credit losses for the our legacy portfolio, our estimates of fair value (most significantly for our receivables accounted for at fair value), our entries offsetting the preceding, and figures derived from any of the preceding. In each case, such figures are forward-looking statements because they are dependent on our estimates of cash to be received and losses to be incurred in the future. The accuracy of such estimates may be adversely affected by various factors, which include (in addition to risks relating to the COVD-19 pandemic and to the economy generally) the following: possible increased delinquencies; repossessions and losses on retail installment contracts; incorrect prepayment speed and/or discount rate assumptions; possible unavailability of qualified personnel, which could adversely affect our ability to service our portfolio; possible increases in the rate of consumer bankruptcy filings, which could adversely affect our rights to collect payments from our portfolio; other changes in government regulations affecting consumer credit; possible declines in the market price for used vehicles, which could adversely affect our realization upon repossessed vehicles; and economic conditions in geographic areas in which the Company's business is concentrated. The accuracy of such estimates may also be affected by the effects of the COVID-19 pandemic and of governmental responses to said pandemic, which have included prohibitions on certain means of enforcement of receivables, and may include additional restrictions, as yet unknown, in the future. Any or all of such factors also may affect our future financial results, as to which there can be no assurance. Any implication that past results or past consecutive earnings are indicative of future results or future earnings is disclaimed, and the reader should draw no such inference. Factors such as those identified above in relation to losses to be incurred in the future may affect future performance.</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Forward-looking statements are not guarantees of performance. They involve risks, uncertainties and assumptions. Actual results may differ from expectations due to many factors beyond our ability to control or predict, including those described herein, and in documents incorporated by reference in this report. For these statements, we claim the protection of the safe harbor for forward-looking statements contained in the Private Securities Litigation Reform Act of 1995.</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undertake no obligation to publicly update any forward-looking information. You are advised to consult any additional disclosure we make in our periodic reports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September 30, 2022, we repurchased 678,911 shares from existing shareholders, as reflected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Value of Shares</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as Total Number</w:t>
            </w:r>
          </w:p>
        </w:tc>
        <w:tc>
          <w:tcPr>
            <w:tcW w:w="10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that Approximate</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Dollar Value of</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Purchased as Part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 that May</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 Publicly</w:t>
            </w:r>
          </w:p>
        </w:tc>
        <w:tc>
          <w:tcPr>
            <w:tcW w:w="10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Yet be Purchased</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2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Average Price Paid</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Under the Plans</w:t>
            </w:r>
          </w:p>
        </w:tc>
        <w:tc>
          <w:tcPr>
            <w:tcW w:w="0" w:type="dxa"/>
            <w:vAlign w:val="bottom"/>
          </w:tcPr>
          <w:p>
            <w:pPr>
              <w:spacing w:after="0"/>
              <w:rPr>
                <w:sz w:val="1"/>
                <w:szCs w:val="1"/>
                <w:color w:val="auto"/>
              </w:rPr>
            </w:pPr>
          </w:p>
        </w:tc>
      </w:tr>
      <w:tr>
        <w:trPr>
          <w:trHeight w:val="238"/>
        </w:trPr>
        <w:tc>
          <w:tcPr>
            <w:tcW w:w="462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Period(1)</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or Programs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or Programs (2)</w:t>
            </w:r>
          </w:p>
        </w:tc>
        <w:tc>
          <w:tcPr>
            <w:tcW w:w="0" w:type="dxa"/>
            <w:vAlign w:val="bottom"/>
          </w:tcPr>
          <w:p>
            <w:pPr>
              <w:spacing w:after="0"/>
              <w:rPr>
                <w:sz w:val="1"/>
                <w:szCs w:val="1"/>
                <w:color w:val="auto"/>
              </w:rPr>
            </w:pPr>
          </w:p>
        </w:tc>
      </w:tr>
      <w:tr>
        <w:trPr>
          <w:trHeight w:val="209"/>
        </w:trPr>
        <w:tc>
          <w:tcPr>
            <w:tcW w:w="4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July 2022</w:t>
            </w:r>
          </w:p>
        </w:tc>
        <w:tc>
          <w:tcPr>
            <w:tcW w:w="160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400,011</w:t>
            </w:r>
          </w:p>
        </w:tc>
        <w:tc>
          <w:tcPr>
            <w:tcW w:w="340" w:type="dxa"/>
            <w:vAlign w:val="bottom"/>
            <w:gridSpan w:val="2"/>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11.23</w:t>
            </w:r>
          </w:p>
        </w:tc>
        <w:tc>
          <w:tcPr>
            <w:tcW w:w="15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400,011</w:t>
            </w:r>
          </w:p>
        </w:tc>
        <w:tc>
          <w:tcPr>
            <w:tcW w:w="2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15,599,147</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2022</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6,000</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15,531,377</w:t>
            </w:r>
          </w:p>
        </w:tc>
        <w:tc>
          <w:tcPr>
            <w:tcW w:w="0" w:type="dxa"/>
            <w:vAlign w:val="bottom"/>
          </w:tcPr>
          <w:p>
            <w:pPr>
              <w:spacing w:after="0"/>
              <w:rPr>
                <w:sz w:val="1"/>
                <w:szCs w:val="1"/>
                <w:color w:val="auto"/>
              </w:rPr>
            </w:pPr>
          </w:p>
        </w:tc>
      </w:tr>
      <w:tr>
        <w:trPr>
          <w:trHeight w:val="229"/>
        </w:trPr>
        <w:tc>
          <w:tcPr>
            <w:tcW w:w="46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September 2022</w:t>
            </w:r>
          </w:p>
        </w:tc>
        <w:tc>
          <w:tcPr>
            <w:tcW w:w="160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272,900</w:t>
            </w:r>
          </w:p>
        </w:tc>
        <w:tc>
          <w:tcPr>
            <w:tcW w:w="340" w:type="dxa"/>
            <w:vAlign w:val="bottom"/>
            <w:gridSpan w:val="2"/>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9.63</w:t>
            </w:r>
          </w:p>
        </w:tc>
        <w:tc>
          <w:tcPr>
            <w:tcW w:w="15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272,900</w:t>
            </w:r>
          </w:p>
        </w:tc>
        <w:tc>
          <w:tcPr>
            <w:tcW w:w="2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12,903,598</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678,911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2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678,911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120" w:type="dxa"/>
            <w:vAlign w:val="bottom"/>
            <w:vMerge w:val="restart"/>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Each monthly period is the calendar month.</w:t>
      </w:r>
    </w:p>
    <w:p>
      <w:pPr>
        <w:spacing w:after="0" w:line="9" w:lineRule="exact"/>
        <w:rPr>
          <w:rFonts w:ascii="Times New Roman" w:cs="Times New Roman" w:eastAsia="Times New Roman" w:hAnsi="Times New Roman"/>
          <w:sz w:val="18"/>
          <w:szCs w:val="18"/>
          <w:i w:val="1"/>
          <w:iCs w:val="1"/>
          <w:color w:val="auto"/>
        </w:rPr>
      </w:pPr>
    </w:p>
    <w:p>
      <w:pPr>
        <w:jc w:val="both"/>
        <w:ind w:left="660" w:hanging="328"/>
        <w:spacing w:after="0" w:line="253" w:lineRule="auto"/>
        <w:tabs>
          <w:tab w:leader="none" w:pos="66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board of directors authorized the purchase of an additional $5.0 million, $10.0 million and $20 million of our outstanding securities in January, March and July 2022, respectively. Through September 30, 2022, our board of directors had authorized the purchase of up to $103.2 million of our outstanding securities, under a program first announced in our annual report for the year 2002, filed on June 26, 2003. All purchases described in the table above were under the program announced in June 2003, which has no fixed expiration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below are filed with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5"/>
              </w:rPr>
              <w:t>4.14</w:t>
            </w:r>
          </w:p>
        </w:tc>
        <w:tc>
          <w:tcPr>
            <w:tcW w:w="10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Instruments defining the rights of holders of long-term debt of certain consolidated subsidiaries of the registrant are omitted pursuant to the</w:t>
            </w:r>
          </w:p>
        </w:tc>
      </w:tr>
      <w:tr>
        <w:trPr>
          <w:trHeight w:val="216"/>
        </w:trPr>
        <w:tc>
          <w:tcPr>
            <w:tcW w:w="1020" w:type="dxa"/>
            <w:vAlign w:val="bottom"/>
          </w:tcPr>
          <w:p>
            <w:pPr>
              <w:spacing w:after="0"/>
              <w:rPr>
                <w:sz w:val="18"/>
                <w:szCs w:val="18"/>
                <w:color w:val="auto"/>
              </w:rPr>
            </w:pPr>
          </w:p>
        </w:tc>
        <w:tc>
          <w:tcPr>
            <w:tcW w:w="10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exclusion set forth in subdivisions (b)(iv)(iii)(A) and (b)(v) of Item 601 of Regulation S-K (17 CFR 229.601).  The registrant agrees to</w:t>
            </w:r>
          </w:p>
        </w:tc>
      </w:tr>
      <w:tr>
        <w:trPr>
          <w:trHeight w:val="216"/>
        </w:trPr>
        <w:tc>
          <w:tcPr>
            <w:tcW w:w="1020" w:type="dxa"/>
            <w:vAlign w:val="bottom"/>
          </w:tcPr>
          <w:p>
            <w:pPr>
              <w:spacing w:after="0"/>
              <w:rPr>
                <w:sz w:val="18"/>
                <w:szCs w:val="18"/>
                <w:color w:val="auto"/>
              </w:rPr>
            </w:pPr>
          </w:p>
        </w:tc>
        <w:tc>
          <w:tcPr>
            <w:tcW w:w="10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provide copies of such instruments to the United States Securities and Exchange Commission upon request.</w:t>
            </w:r>
          </w:p>
        </w:tc>
      </w:tr>
      <w:tr>
        <w:trPr>
          <w:trHeight w:val="194"/>
        </w:trPr>
        <w:tc>
          <w:tcPr>
            <w:tcW w:w="1020" w:type="dxa"/>
            <w:vAlign w:val="bottom"/>
          </w:tcPr>
          <w:p>
            <w:pPr>
              <w:jc w:val="right"/>
              <w:ind w:right="610"/>
              <w:spacing w:after="0" w:line="194" w:lineRule="exact"/>
              <w:rPr>
                <w:sz w:val="20"/>
                <w:szCs w:val="20"/>
                <w:color w:val="auto"/>
              </w:rPr>
            </w:pPr>
            <w:r>
              <w:rPr>
                <w:rFonts w:ascii="Times New Roman" w:cs="Times New Roman" w:eastAsia="Times New Roman" w:hAnsi="Times New Roman"/>
                <w:sz w:val="18"/>
                <w:szCs w:val="18"/>
                <w:color w:val="auto"/>
                <w:w w:val="95"/>
              </w:rPr>
              <w:t>31.1</w:t>
            </w:r>
          </w:p>
        </w:tc>
        <w:tc>
          <w:tcPr>
            <w:tcW w:w="550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9"/>
              </w:rPr>
              <w:t>Rule 13a-14(a) Certification of the Chief Executive Officer of the registrant.</w:t>
            </w:r>
          </w:p>
        </w:tc>
        <w:tc>
          <w:tcPr>
            <w:tcW w:w="4720" w:type="dxa"/>
            <w:vAlign w:val="bottom"/>
          </w:tcPr>
          <w:p>
            <w:pPr>
              <w:spacing w:after="0"/>
              <w:rPr>
                <w:sz w:val="16"/>
                <w:szCs w:val="16"/>
                <w:color w:val="auto"/>
              </w:rPr>
            </w:pPr>
          </w:p>
        </w:tc>
      </w:tr>
      <w:tr>
        <w:trPr>
          <w:trHeight w:val="196"/>
        </w:trPr>
        <w:tc>
          <w:tcPr>
            <w:tcW w:w="1020" w:type="dxa"/>
            <w:vAlign w:val="bottom"/>
          </w:tcPr>
          <w:p>
            <w:pPr>
              <w:jc w:val="right"/>
              <w:ind w:right="610"/>
              <w:spacing w:after="0" w:line="196" w:lineRule="exact"/>
              <w:rPr>
                <w:sz w:val="20"/>
                <w:szCs w:val="20"/>
                <w:color w:val="auto"/>
              </w:rPr>
            </w:pPr>
            <w:r>
              <w:rPr>
                <w:rFonts w:ascii="Times New Roman" w:cs="Times New Roman" w:eastAsia="Times New Roman" w:hAnsi="Times New Roman"/>
                <w:sz w:val="18"/>
                <w:szCs w:val="18"/>
                <w:color w:val="auto"/>
                <w:w w:val="95"/>
              </w:rPr>
              <w:t>31.2</w:t>
            </w:r>
          </w:p>
        </w:tc>
        <w:tc>
          <w:tcPr>
            <w:tcW w:w="102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Rule 13a-14(a) Certification of the Chief Financial Officer of the registrant.</w:t>
            </w:r>
          </w:p>
        </w:tc>
      </w:tr>
      <w:tr>
        <w:trPr>
          <w:trHeight w:val="20"/>
        </w:trPr>
        <w:tc>
          <w:tcPr>
            <w:tcW w:w="1020" w:type="dxa"/>
            <w:vAlign w:val="bottom"/>
          </w:tcPr>
          <w:p>
            <w:pPr>
              <w:spacing w:after="0" w:line="20" w:lineRule="exact"/>
              <w:rPr>
                <w:sz w:val="1"/>
                <w:szCs w:val="1"/>
                <w:color w:val="auto"/>
              </w:rPr>
            </w:pPr>
          </w:p>
        </w:tc>
        <w:tc>
          <w:tcPr>
            <w:tcW w:w="5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bl>
    <w:p>
      <w:pPr>
        <w:spacing w:after="0" w:line="9" w:lineRule="exact"/>
        <w:rPr>
          <w:sz w:val="20"/>
          <w:szCs w:val="20"/>
          <w:color w:val="auto"/>
        </w:rPr>
      </w:pPr>
    </w:p>
    <w:p>
      <w:pPr>
        <w:ind w:left="1020" w:hanging="1012"/>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1350 Certifications.</w:t>
      </w:r>
      <w:r>
        <w:rPr>
          <w:rFonts w:ascii="Times New Roman" w:cs="Times New Roman" w:eastAsia="Times New Roman" w:hAnsi="Times New Roman"/>
          <w:sz w:val="18"/>
          <w:szCs w:val="18"/>
          <w:color w:val="000000"/>
        </w:rPr>
        <w:t>*</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r>
      <w:tr>
        <w:trPr>
          <w:trHeight w:val="216"/>
        </w:trPr>
        <w:tc>
          <w:tcPr>
            <w:tcW w:w="860" w:type="dxa"/>
            <w:vAlign w:val="bottom"/>
          </w:tcPr>
          <w:p>
            <w:pPr>
              <w:spacing w:after="0"/>
              <w:rPr>
                <w:sz w:val="18"/>
                <w:szCs w:val="18"/>
                <w:color w:val="auto"/>
              </w:rPr>
            </w:pPr>
          </w:p>
        </w:tc>
        <w:tc>
          <w:tcPr>
            <w:tcW w:w="10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020" w:hanging="1012"/>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included in exhibit 101).</w:t>
      </w:r>
    </w:p>
    <w:p>
      <w:pPr>
        <w:spacing w:after="0" w:line="233" w:lineRule="exact"/>
        <w:rPr>
          <w:rFonts w:ascii="Times New Roman" w:cs="Times New Roman" w:eastAsia="Times New Roman" w:hAnsi="Times New Roman"/>
          <w:sz w:val="18"/>
          <w:szCs w:val="18"/>
          <w:color w:val="auto"/>
        </w:rPr>
      </w:pPr>
    </w:p>
    <w:p>
      <w:pPr>
        <w:jc w:val="both"/>
        <w:ind w:firstLine="64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These Certifications shall not be deemed “filed” for purposes of Section 18 of the Securities Exchange Act of 1934, as amended, or otherwise subject to the liability of that section. These Certifications shall not be deemed to be incorporated by reference into any filing under the Securities Act of 1933, as amended, or the Exchange Act, except to the extent that the registration statement specifically states that such Certifications are incorporated therein.</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2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duly caused this report to be signed on its behalf by the undersigned thereunto duly authorized.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CONSUMER PORTFOLIO SERVICES,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2022</w:t>
      </w:r>
    </w:p>
    <w:p>
      <w:pPr>
        <w:spacing w:after="0" w:line="225" w:lineRule="exact"/>
        <w:rPr>
          <w:sz w:val="20"/>
          <w:szCs w:val="20"/>
          <w:color w:val="auto"/>
        </w:rPr>
      </w:pPr>
    </w:p>
    <w:p>
      <w:pPr>
        <w:ind w:left="2260"/>
        <w:spacing w:after="0"/>
        <w:tabs>
          <w:tab w:leader="none" w:pos="2680" w:val="left"/>
        </w:tabs>
        <w:rPr>
          <w:sz w:val="20"/>
          <w:szCs w:val="20"/>
          <w:color w:val="auto"/>
        </w:rPr>
      </w:pPr>
      <w:r>
        <w:rPr>
          <w:rFonts w:ascii="Times New Roman" w:cs="Times New Roman" w:eastAsia="Times New Roman" w:hAnsi="Times New Roman"/>
          <w:sz w:val="18"/>
          <w:szCs w:val="18"/>
          <w:color w:val="auto"/>
        </w:rPr>
        <w:t>By:</w:t>
        <w:tab/>
        <w:t>/s/  CHARLES E. BRADLEY, JR.</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Charles E. Bradley, Jr.</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2022</w:t>
      </w:r>
    </w:p>
    <w:p>
      <w:pPr>
        <w:spacing w:after="0" w:line="225" w:lineRule="exact"/>
        <w:rPr>
          <w:sz w:val="20"/>
          <w:szCs w:val="20"/>
          <w:color w:val="auto"/>
        </w:rPr>
      </w:pPr>
    </w:p>
    <w:p>
      <w:pPr>
        <w:ind w:left="2260"/>
        <w:spacing w:after="0"/>
        <w:tabs>
          <w:tab w:leader="none" w:pos="2680" w:val="left"/>
        </w:tabs>
        <w:rPr>
          <w:sz w:val="20"/>
          <w:szCs w:val="20"/>
          <w:color w:val="auto"/>
        </w:rPr>
      </w:pPr>
      <w:r>
        <w:rPr>
          <w:rFonts w:ascii="Times New Roman" w:cs="Times New Roman" w:eastAsia="Times New Roman" w:hAnsi="Times New Roman"/>
          <w:sz w:val="18"/>
          <w:szCs w:val="18"/>
          <w:color w:val="auto"/>
        </w:rPr>
        <w:t>By:</w:t>
        <w:tab/>
        <w:t>/s/  DENESH BHARWANI</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Denesh Bharwani</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6" w:name="page47"/>
    <w:bookmarkEnd w:id="46"/>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E. Bradley, Jr., certify that:</w:t>
      </w:r>
    </w:p>
    <w:p>
      <w:pPr>
        <w:spacing w:after="0" w:line="225"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2022 of Consumer Portfolio Services,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1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93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0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744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E. Bradley, Jr. Chief Executive Officer</w:t>
      </w:r>
    </w:p>
    <w:p>
      <w:pPr>
        <w:sectPr>
          <w:pgSz w:w="11900" w:h="16838" w:orient="portrait"/>
          <w:cols w:equalWidth="0" w:num="1">
            <w:col w:w="11240"/>
          </w:cols>
          <w:pgMar w:left="320" w:top="117" w:right="339" w:bottom="1440" w:gutter="0" w:footer="0" w:header="0"/>
        </w:sectPr>
      </w:pPr>
    </w:p>
    <w:bookmarkStart w:id="47" w:name="page48"/>
    <w:bookmarkEnd w:id="47"/>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Denesh Bharwani, certify that:</w:t>
      </w:r>
    </w:p>
    <w:p>
      <w:pPr>
        <w:spacing w:after="0" w:line="225"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2022 of Consumer Portfolio Services,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1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93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0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DENESH BHARWANI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744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Denesh Bharwani, Chief Financial Officer</w:t>
      </w:r>
    </w:p>
    <w:p>
      <w:pPr>
        <w:sectPr>
          <w:pgSz w:w="11900" w:h="16838" w:orient="portrait"/>
          <w:cols w:equalWidth="0" w:num="1">
            <w:col w:w="11240"/>
          </w:cols>
          <w:pgMar w:left="320" w:top="11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Consumer Portfolio Services, Inc. (the “Company”) for the quarterly period ended September 30, 2022, as filed with the Securities and Exchange Commission on the date hereof (the “Report”), Charles E. Bradley, Jr., as Chief Executive Officer of the Company, and Denesh Bharwani, as Chief Financial Officer of the Company, each hereby certifies, pursuant to 18 U.S.C. §1350, as adopted pursuant to §906 of the Sarbanes-Oxley Act of 2002, that:</w:t>
      </w:r>
    </w:p>
    <w:p>
      <w:pPr>
        <w:spacing w:after="0" w:line="180" w:lineRule="exact"/>
        <w:rPr>
          <w:sz w:val="20"/>
          <w:szCs w:val="20"/>
          <w:color w:val="auto"/>
        </w:rPr>
      </w:pPr>
    </w:p>
    <w:p>
      <w:pPr>
        <w:ind w:left="1000" w:hanging="344"/>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744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E. Bradley, Jr.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DENESH BHARWANI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744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Denesh Bharwani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lowerRoman"/>
      <w:start w:val="3"/>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1)"/>
      <w:numFmt w:val="decimal"/>
      <w:start w:val="3"/>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4"/>
    </w:lvl>
  </w:abstractNum>
  <w:abstractNum w:abstractNumId="8">
    <w:nsid w:val="4E6AFB66"/>
    <w:multiLevelType w:val="hybridMultilevel"/>
    <w:lvl w:ilvl="0">
      <w:lvlJc w:val="left"/>
      <w:lvlText w:val="(%1)"/>
      <w:numFmt w:val="decimal"/>
      <w:start w:val="6"/>
    </w:lvl>
  </w:abstractNum>
  <w:abstractNum w:abstractNumId="9">
    <w:nsid w:val="25E45D32"/>
    <w:multiLevelType w:val="hybridMultilevel"/>
    <w:lvl w:ilvl="0">
      <w:lvlJc w:val="left"/>
      <w:lvlText w:val="(%1)"/>
      <w:numFmt w:val="decimal"/>
      <w:start w:val="7"/>
    </w:lvl>
  </w:abstractNum>
  <w:abstractNum w:abstractNumId="10">
    <w:nsid w:val="519B500D"/>
    <w:multiLevelType w:val="hybridMultilevel"/>
    <w:lvl w:ilvl="0">
      <w:lvlJc w:val="left"/>
      <w:lvlText w:val="(%1)"/>
      <w:numFmt w:val="decimal"/>
      <w:start w:val="8"/>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2"/>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32"/>
    </w:lvl>
  </w:abstractNum>
  <w:abstractNum w:abstractNumId="20">
    <w:nsid w:val="2443A858"/>
    <w:multiLevelType w:val="hybridMultilevel"/>
    <w:lvl w:ilvl="0">
      <w:lvlJc w:val="left"/>
      <w:lvlText w:val="%1"/>
      <w:numFmt w:val="decimal"/>
      <w:start w:val="104"/>
    </w:lvl>
    <w:lvl w:ilvl="1">
      <w:lvlJc w:val="left"/>
      <w:lvlText w:val="*"/>
      <w:numFmt w:val="bullet"/>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2022-11-14T08:35:44Z</dcterms:created>
  <dcterms:modified xsi:type="dcterms:W3CDTF">2022-11-14T08:35:44Z</dcterms:modified>
</cp:coreProperties>
</file>