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spacing w:after="0"/>
              <w:rPr>
                <w:sz w:val="24"/>
                <w:szCs w:val="24"/>
                <w:color w:val="auto"/>
              </w:rPr>
            </w:pP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594" w:right="239" w:bottom="1440" w:gutter="0" w:footer="0" w:header="0"/>
        </w:sectPr>
      </w:pPr>
    </w:p>
    <w:p>
      <w:pPr>
        <w:spacing w:after="0" w:line="17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Large Accelerated Filer [</w:t>
      </w:r>
    </w:p>
    <w:p>
      <w:pPr>
        <w:spacing w:after="0" w:line="46"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120"/>
        <w:spacing w:after="0"/>
        <w:tabs>
          <w:tab w:leader="none" w:pos="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4"/>
          <w:szCs w:val="24"/>
          <w:color w:val="auto"/>
        </w:rPr>
      </w:pPr>
    </w:p>
    <w:p>
      <w:pPr>
        <w:sectPr>
          <w:pgSz w:w="11900" w:h="16838" w:orient="portrait"/>
          <w:cols w:equalWidth="0" w:num="3">
            <w:col w:w="5600" w:space="20"/>
            <w:col w:w="2180" w:space="140"/>
            <w:col w:w="3480"/>
          </w:cols>
          <w:pgMar w:left="240" w:top="594"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27, 2016 the registrant had 23,841,970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7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PART I. FINANCIAL INFORMATION</w:t>
            </w:r>
          </w:p>
        </w:tc>
        <w:tc>
          <w:tcPr>
            <w:tcW w:w="700" w:type="dxa"/>
            <w:vAlign w:val="bottom"/>
            <w:gridSpan w:val="3"/>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Financial Statements</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Unaudited Condensed Consolidated Balance Sheets as of September 30, 2016 and December 31, 2015</w:t>
            </w:r>
          </w:p>
        </w:tc>
        <w:tc>
          <w:tcPr>
            <w:tcW w:w="60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976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1"/>
              </w:rPr>
              <w:t>Unaudited Condensed Consolidated Statements of Operations for the three-month and nine-month periods ended September 30,</w:t>
            </w:r>
          </w:p>
        </w:tc>
        <w:tc>
          <w:tcPr>
            <w:tcW w:w="2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9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2016 and 2015</w:t>
            </w:r>
          </w:p>
        </w:tc>
        <w:tc>
          <w:tcPr>
            <w:tcW w:w="60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976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3"/>
              </w:rPr>
              <w:t>Unaudited Condensed Consolidated Statements of Comprehensive Income for the three-month and nine-month periods ended</w:t>
            </w:r>
          </w:p>
        </w:tc>
        <w:tc>
          <w:tcPr>
            <w:tcW w:w="2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9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September 30, 2016 and 2015</w:t>
            </w:r>
          </w:p>
        </w:tc>
        <w:tc>
          <w:tcPr>
            <w:tcW w:w="60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2"/>
              </w:rPr>
              <w:t>Unaudited Condensed Consolidated Statements of Cash Flows for the nine-month periods ended September 30, 2016 and 2015</w:t>
            </w:r>
          </w:p>
        </w:tc>
        <w:tc>
          <w:tcPr>
            <w:tcW w:w="60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Notes to Unaudited Condensed Consolidated Financial Statements</w:t>
            </w:r>
          </w:p>
        </w:tc>
        <w:tc>
          <w:tcPr>
            <w:tcW w:w="60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tcPr>
          <w:p>
            <w:pPr>
              <w:jc w:val="center"/>
              <w:ind w:right="150"/>
              <w:spacing w:after="0"/>
              <w:rPr>
                <w:sz w:val="20"/>
                <w:szCs w:val="20"/>
                <w:color w:val="auto"/>
              </w:rPr>
            </w:pPr>
            <w:r>
              <w:rPr>
                <w:rFonts w:ascii="Arial" w:cs="Arial" w:eastAsia="Arial" w:hAnsi="Arial"/>
                <w:sz w:val="18"/>
                <w:szCs w:val="18"/>
                <w:b w:val="1"/>
                <w:bCs w:val="1"/>
                <w:color w:val="auto"/>
              </w:rPr>
              <w:t>PART II. OTHER INFORMATION</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76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760" w:type="dxa"/>
            <w:vAlign w:val="bottom"/>
          </w:tcPr>
          <w:p>
            <w:pPr>
              <w:ind w:left="300"/>
              <w:spacing w:after="0"/>
              <w:rPr>
                <w:sz w:val="20"/>
                <w:szCs w:val="20"/>
                <w:color w:val="auto"/>
              </w:rPr>
            </w:pPr>
            <w:r>
              <w:rPr>
                <w:rFonts w:ascii="Arial" w:cs="Arial" w:eastAsia="Arial" w:hAnsi="Arial"/>
                <w:sz w:val="18"/>
                <w:szCs w:val="18"/>
                <w:color w:val="auto"/>
              </w:rPr>
              <w:t>Exhibits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Signatures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79"/>
              </w:rPr>
              <w:t>2</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11,494</w:t>
            </w:r>
          </w:p>
        </w:tc>
        <w:tc>
          <w:tcPr>
            <w:tcW w:w="20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116,403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2,257,151</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1,985,093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(96,843)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(75,603)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2,160,308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1,909,490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1,918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43,197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33,078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22,630</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2,389,035</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2,128,925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33,563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81,683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6,856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2,073,409</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1,720,021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14,353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2,209,864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1,967,766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value;authorized 4,998,130 shares; none issued</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Series A preferred stock, $1 par value;authorized 5,000,000 shares; none issued</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Series B preferred stock, $1 par value;authorized 1,870 shares; none issued</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23,765,798 and 25,616,460 shares issued</w:t>
            </w: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and outstanding at September 30, 2016 and December 31. 2015, respectively</w:t>
            </w:r>
          </w:p>
        </w:tc>
        <w:tc>
          <w:tcPr>
            <w:tcW w:w="16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77,514</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108,307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86,472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(6,650)</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179,171</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161,159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2,389,035</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2,128,925</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60" w:type="dxa"/>
            <w:vAlign w:val="bottom"/>
            <w:gridSpan w:val="6"/>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105,376</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90,584</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303,748</w:t>
            </w:r>
          </w:p>
        </w:tc>
        <w:tc>
          <w:tcPr>
            <w:tcW w:w="540" w:type="dxa"/>
            <w:vAlign w:val="bottom"/>
            <w:gridSpan w:val="2"/>
            <w:shd w:val="clear" w:color="auto" w:fill="EEEEEE"/>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257,843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Servicing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3,114</w:t>
            </w:r>
          </w:p>
        </w:tc>
        <w:tc>
          <w:tcPr>
            <w:tcW w:w="3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3,334</w:t>
            </w:r>
          </w:p>
        </w:tc>
        <w:tc>
          <w:tcPr>
            <w:tcW w:w="24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10,278</w:t>
            </w: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108,516</w:t>
            </w:r>
          </w:p>
        </w:tc>
        <w:tc>
          <w:tcPr>
            <w:tcW w:w="3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93,991</w:t>
            </w:r>
          </w:p>
        </w:tc>
        <w:tc>
          <w:tcPr>
            <w:tcW w:w="3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314,099</w:t>
            </w:r>
          </w:p>
        </w:tc>
        <w:tc>
          <w:tcPr>
            <w:tcW w:w="1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268,341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16,688</w:t>
            </w: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15,254</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47,510</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5,005</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18,216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20,893</w:t>
            </w: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14,848</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58,442</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46,262</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37,411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134,881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Marketing</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4,463</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4,608</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13,864</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3,608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202</w:t>
            </w:r>
          </w:p>
        </w:tc>
        <w:tc>
          <w:tcPr>
            <w:tcW w:w="3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96,061</w:t>
            </w:r>
          </w:p>
        </w:tc>
        <w:tc>
          <w:tcPr>
            <w:tcW w:w="3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78,342</w:t>
            </w:r>
          </w:p>
        </w:tc>
        <w:tc>
          <w:tcPr>
            <w:tcW w:w="3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277,089</w:t>
            </w:r>
          </w:p>
        </w:tc>
        <w:tc>
          <w:tcPr>
            <w:tcW w:w="1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222,743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12,455</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15,649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37,010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45,598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5,107</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6,806</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15,175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7,348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8,843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21,835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25,713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0.31</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0.89</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0.26</w:t>
            </w: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0.75</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23,894</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26,093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24,574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28,503</w:t>
            </w:r>
          </w:p>
        </w:tc>
        <w:tc>
          <w:tcPr>
            <w:tcW w:w="3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31,476</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29,253</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60" w:type="dxa"/>
            <w:vAlign w:val="bottom"/>
            <w:gridSpan w:val="7"/>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7,348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8,843</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21,835</w:t>
            </w:r>
          </w:p>
        </w:tc>
        <w:tc>
          <w:tcPr>
            <w:tcW w:w="380" w:type="dxa"/>
            <w:vAlign w:val="bottom"/>
            <w:gridSpan w:val="2"/>
            <w:shd w:val="clear" w:color="auto" w:fill="EEEEEE"/>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25,713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Other comprehensive income/(loss); change in funded status of pension</w:t>
            </w: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plan</w:t>
            </w:r>
          </w:p>
        </w:tc>
        <w:tc>
          <w:tcPr>
            <w:tcW w:w="24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8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21,835</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deferred acquisition fees and origination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(2,686)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6,214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134,881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106,533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4,004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(5,600)</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(2,627)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4,054</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159,132</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138,037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(873,499)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490,486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3,136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Change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(10,349)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(390,943</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(418,544</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980,650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(2,088)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repayments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(112,725)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(2,186)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(625,499)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(7,645)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(8,013)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223,983</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283,563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(7,828)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3,056</w:t>
            </w:r>
          </w:p>
        </w:tc>
      </w:tr>
      <w:tr>
        <w:trPr>
          <w:trHeight w:val="431"/>
        </w:trPr>
        <w:tc>
          <w:tcPr>
            <w:tcW w:w="6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19,322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17,859</w:t>
            </w:r>
          </w:p>
        </w:tc>
      </w:tr>
      <w:tr>
        <w:trPr>
          <w:trHeight w:val="223"/>
        </w:trPr>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26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2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36,372</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33,915</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16,900</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13,690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 month period ended September 30, 2016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primary components of Other Income for the three-month and nine-month periods ending September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040" w:type="dxa"/>
            <w:vAlign w:val="bottom"/>
            <w:gridSpan w:val="2"/>
            <w:shd w:val="clear" w:color="auto" w:fill="EEEEEE"/>
          </w:tcPr>
          <w:p>
            <w:pPr>
              <w:jc w:val="right"/>
              <w:ind w:right="7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2,080</w:t>
            </w:r>
          </w:p>
        </w:tc>
        <w:tc>
          <w:tcPr>
            <w:tcW w:w="920" w:type="dxa"/>
            <w:vAlign w:val="bottom"/>
            <w:shd w:val="clear" w:color="auto" w:fill="EEEEEE"/>
          </w:tcPr>
          <w:p>
            <w:pPr>
              <w:jc w:val="right"/>
              <w:ind w:right="7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7"/>
              </w:rPr>
              <w:t>2,416</w:t>
            </w:r>
          </w:p>
        </w:tc>
        <w:tc>
          <w:tcPr>
            <w:tcW w:w="48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7,302</w:t>
            </w:r>
          </w:p>
        </w:tc>
        <w:tc>
          <w:tcPr>
            <w:tcW w:w="3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8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6,935</w:t>
            </w:r>
          </w:p>
        </w:tc>
        <w:tc>
          <w:tcPr>
            <w:tcW w:w="100" w:type="dxa"/>
            <w:vAlign w:val="bottom"/>
            <w:shd w:val="clear" w:color="auto" w:fill="EEEEEE"/>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520</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w w:val="93"/>
              </w:rPr>
              <w:t>Recoveries on previously charged-off contracts</w:t>
            </w: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268</w:t>
            </w:r>
          </w:p>
        </w:tc>
        <w:tc>
          <w:tcPr>
            <w:tcW w:w="9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634</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EEEEEE"/>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Sales tax refunds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r>
      <w:tr>
        <w:trPr>
          <w:trHeight w:val="230"/>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w:t>
            </w:r>
          </w:p>
        </w:tc>
        <w:tc>
          <w:tcPr>
            <w:tcW w:w="9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EEEEEE"/>
          </w:tcPr>
          <w:p>
            <w:pPr>
              <w:spacing w:after="0"/>
              <w:rPr>
                <w:sz w:val="19"/>
                <w:szCs w:val="19"/>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3,114</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September 30, 2016.</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2016, we recorded stock-based compensation costs in the amount of $1.4 million and $4.0 million, respectively. These stock-based compensation costs were $1.4 million and $3.6 million for the three and nine months ended September 30, 2015. As of September 30, 2016, unrecognized stock-based compensation costs to be recognized over future periods equaled $11.5 million. This amount will be recognized as expense over a weighted-average period of 2.3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nine months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9"/>
                <w:szCs w:val="19"/>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Exercise Price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11,228</w:t>
            </w:r>
          </w:p>
        </w:tc>
        <w:tc>
          <w:tcPr>
            <w:tcW w:w="8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4.66</w:t>
            </w:r>
          </w:p>
        </w:tc>
        <w:tc>
          <w:tcPr>
            <w:tcW w:w="24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5.55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12,961</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5.10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4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7,646</w:t>
            </w:r>
          </w:p>
        </w:tc>
        <w:tc>
          <w:tcPr>
            <w:tcW w:w="240" w:type="dxa"/>
            <w:vAlign w:val="bottom"/>
            <w:shd w:val="clear" w:color="auto" w:fill="EEEEEE"/>
          </w:tcPr>
          <w:p>
            <w:pPr>
              <w:spacing w:after="0"/>
              <w:rPr>
                <w:sz w:val="21"/>
                <w:szCs w:val="21"/>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EEEEEE"/>
          </w:tcPr>
          <w:p>
            <w:pPr>
              <w:spacing w:after="0"/>
              <w:rPr>
                <w:sz w:val="21"/>
                <w:szCs w:val="21"/>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4.47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5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2016, the aggregate intrinsic value of options outstanding and exercisable was $10.8 million and $9.6 million, respectively. There were 127,350 options exercised for the nine months ended September 30, 2016 compared to 1,033,000 for the comparable period in 2015. The total intrinsic value of options exercised was $379,000 and $7.1 million for the nine-month periods ended September 30, 2016 and 2015. There were 3.6 million shares available for future stock option grants under existing plans as of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nine-month period ended September 30, 2016, we purchased 2.0 million shares of our stock in the open market at an average price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$4.05.</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nine-month period ended September 30, 2015, we purchased 545,521 shares of our common stock, at an average price of $6.21. We purchased 468,948 shares of our stock in the open market at an average price of $6.07. The remaining purchases of 75,573 shares were related to net exercises of outstanding options and warrants. In transactions during the nine-month period ended September 30, 2015, the holders of options and warrants to purchase 392,200 shares of our common stock paid the aggregate $535,000 exercise price by surrender to us of 75,573 of such 392,200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2016,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recorded a liability as of September 30, 2016, which represents our best estimate of probable incurred losses for legal contingencies. The amount of losses that may ultimately be incurred cannot be estimated with 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2016, the FASB issued Accounting Standards Update (“ASU”) 2016-15 - Statement of Cash Flows (Topic 230): Classification of Certain Cash Receipts and Cash Payments. ASU 2016-15 provides cash flow statement classification guidance for certain transactions including how the predominance principle should be applied when cash receipts and cash payments have aspects of more than one class of cash flows. The guidance is effective for fiscal years beginning after December 15, 2017, and interim periods within those fiscal years and should be applied retrospectively. Early adoption is permitted, including adoption in an interim period. The Company is assessing ASU 2016-15 but does not expect a significant impact on its accounting and disclosures.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2016, the FASB issued Accounting Standards Update ("ASU") 2016-13 - Financial Instruments - Credit Losses (Topic 326): Measurement of Credit Losses on Financial Instruments. The revised accounting guidance will remove all recognition thresholds and will require a company to recognize an allowance for credit losses for the difference between the amortized cost basis of a financial instrument and the amount of amortized cost that the company expects to collect over the instrument's contractual life. It also amends the credit loss measurement guidance for beneficial interests in securitized financial assets. This new accounting guidance will be effective for interim and annual reporting periods beginning after December 15, 2019. The Company is currently evaluating the provisions of ASU No. 2016-13 to determine the potential impact the new standard will have on the Company's Consolidated Financial Statements.</w:t>
      </w:r>
    </w:p>
    <w:p>
      <w:pPr>
        <w:spacing w:after="0" w:line="18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9"/>
                <w:szCs w:val="19"/>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2,256,894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1,990,913</w:t>
            </w:r>
          </w:p>
        </w:tc>
        <w:tc>
          <w:tcPr>
            <w:tcW w:w="100" w:type="dxa"/>
            <w:vAlign w:val="bottom"/>
          </w:tcPr>
          <w:p>
            <w:pPr>
              <w:spacing w:after="0"/>
              <w:rPr>
                <w:sz w:val="18"/>
                <w:szCs w:val="18"/>
                <w:color w:val="auto"/>
              </w:rPr>
            </w:pPr>
          </w:p>
        </w:tc>
      </w:tr>
      <w:tr>
        <w:trPr>
          <w:trHeight w:val="230"/>
        </w:trPr>
        <w:tc>
          <w:tcPr>
            <w:tcW w:w="5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Unearned acquisition fees and originations costs</w:t>
            </w: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(5,820)</w:t>
            </w:r>
          </w:p>
        </w:tc>
      </w:tr>
      <w:tr>
        <w:trPr>
          <w:trHeight w:val="223"/>
        </w:trPr>
        <w:tc>
          <w:tcPr>
            <w:tcW w:w="5500" w:type="dxa"/>
            <w:vAlign w:val="bottom"/>
          </w:tcPr>
          <w:p>
            <w:pPr>
              <w:ind w:left="180"/>
              <w:spacing w:after="0"/>
              <w:rPr>
                <w:sz w:val="20"/>
                <w:szCs w:val="20"/>
                <w:color w:val="auto"/>
              </w:rPr>
            </w:pPr>
            <w:r>
              <w:rPr>
                <w:rFonts w:ascii="Arial" w:cs="Arial" w:eastAsia="Arial" w:hAnsi="Arial"/>
                <w:sz w:val="18"/>
                <w:szCs w:val="18"/>
                <w:color w:val="auto"/>
              </w:rPr>
              <w:t>Finance Receivables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2,257,151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1,985,093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2016 and December 31, 2015: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2,051,087</w:t>
            </w:r>
          </w:p>
        </w:tc>
        <w:tc>
          <w:tcPr>
            <w:tcW w:w="30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1,836,267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32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119,283</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70,036</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3240" w:type="dxa"/>
            <w:vAlign w:val="bottom"/>
          </w:tcPr>
          <w:p>
            <w:pPr>
              <w:ind w:left="20"/>
              <w:spacing w:after="0"/>
              <w:rPr>
                <w:sz w:val="20"/>
                <w:szCs w:val="20"/>
                <w:color w:val="auto"/>
              </w:rPr>
            </w:pPr>
            <w:r>
              <w:rPr>
                <w:rFonts w:ascii="Arial" w:cs="Arial" w:eastAsia="Arial" w:hAnsi="Arial"/>
                <w:sz w:val="18"/>
                <w:szCs w:val="18"/>
                <w:color w:val="auto"/>
              </w:rPr>
              <w:t>- 90 days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41,136</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32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04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36,276</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43,474</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2,256,894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1,990,913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receivables totaling $36.3 million and $43.5 million at September 30, 2016 and December 31, 2015,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19"/>
                <w:szCs w:val="19"/>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w w:val="97"/>
              </w:rPr>
              <w:t>Balance at beginning of period</w:t>
            </w:r>
          </w:p>
        </w:tc>
        <w:tc>
          <w:tcPr>
            <w:tcW w:w="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90,168</w:t>
            </w:r>
          </w:p>
        </w:tc>
        <w:tc>
          <w:tcPr>
            <w:tcW w:w="600" w:type="dxa"/>
            <w:vAlign w:val="bottom"/>
            <w:gridSpan w:val="2"/>
            <w:shd w:val="clear" w:color="auto" w:fill="EEEEEE"/>
          </w:tcPr>
          <w:p>
            <w:pPr>
              <w:jc w:val="right"/>
              <w:ind w:right="3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74,541</w:t>
            </w:r>
          </w:p>
        </w:tc>
        <w:tc>
          <w:tcPr>
            <w:tcW w:w="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75,603</w:t>
            </w:r>
          </w:p>
        </w:tc>
        <w:tc>
          <w:tcPr>
            <w:tcW w:w="600" w:type="dxa"/>
            <w:vAlign w:val="bottom"/>
            <w:gridSpan w:val="2"/>
            <w:shd w:val="clear" w:color="auto" w:fill="EEEEEE"/>
          </w:tcPr>
          <w:p>
            <w:pPr>
              <w:jc w:val="right"/>
              <w:ind w:right="3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61,460</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Provision for credit losses on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finance receivables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46,262</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37,411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134,881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106,533</w:t>
            </w: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(46,839)</w:t>
            </w: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(38,608)</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(134,674)</w:t>
            </w: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(105,273)</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5,415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21,033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16,039</w:t>
            </w:r>
          </w:p>
        </w:tc>
      </w:tr>
      <w:tr>
        <w:trPr>
          <w:trHeight w:val="223"/>
        </w:trPr>
        <w:tc>
          <w:tcPr>
            <w:tcW w:w="23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96,843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78,759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96,843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3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78,759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33,781</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39,728</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16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(24,143)</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(26,954)</w:t>
            </w:r>
          </w:p>
        </w:tc>
      </w:tr>
      <w:tr>
        <w:trPr>
          <w:trHeight w:val="223"/>
        </w:trPr>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9,638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12,774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Final</w:t>
            </w:r>
          </w:p>
        </w:tc>
        <w:tc>
          <w:tcPr>
            <w:tcW w:w="1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Receivables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Outstanding</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85"/>
              </w:rPr>
              <w:t>Scheduled</w:t>
            </w:r>
          </w:p>
        </w:tc>
        <w:tc>
          <w:tcPr>
            <w:tcW w:w="12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Pledged at</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Principal at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Principal at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 Rate at</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Payment</w:t>
            </w:r>
          </w:p>
        </w:tc>
        <w:tc>
          <w:tcPr>
            <w:tcW w:w="120" w:type="dxa"/>
            <w:vAlign w:val="bottom"/>
          </w:tcPr>
          <w:p>
            <w:pPr>
              <w:spacing w:after="0"/>
              <w:rPr>
                <w:sz w:val="19"/>
                <w:szCs w:val="19"/>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Initial</w:t>
            </w:r>
          </w:p>
        </w:tc>
        <w:tc>
          <w:tcPr>
            <w:tcW w:w="12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December 31,</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580" w:type="dxa"/>
            <w:vAlign w:val="bottom"/>
            <w:gridSpan w:val="3"/>
          </w:tcPr>
          <w:p>
            <w:pPr>
              <w:ind w:left="420"/>
              <w:spacing w:after="0"/>
              <w:rPr>
                <w:sz w:val="20"/>
                <w:szCs w:val="20"/>
                <w:color w:val="auto"/>
              </w:rPr>
            </w:pPr>
            <w:r>
              <w:rPr>
                <w:rFonts w:ascii="Arial" w:cs="Arial" w:eastAsia="Arial" w:hAnsi="Arial"/>
                <w:sz w:val="18"/>
                <w:szCs w:val="18"/>
                <w:b w:val="1"/>
                <w:bCs w:val="1"/>
                <w:color w:val="auto"/>
              </w:rPr>
              <w:t>Series</w:t>
            </w: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Date (1)</w:t>
            </w:r>
          </w:p>
        </w:tc>
        <w:tc>
          <w:tcPr>
            <w:tcW w:w="12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2016 (2)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3"/>
              </w:rPr>
              <w:t>(Dollars in thousands)</w:t>
            </w:r>
          </w:p>
        </w:tc>
        <w:tc>
          <w:tcPr>
            <w:tcW w:w="1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2011-B</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87"/>
              </w:rPr>
              <w:t>September 2018</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109,936</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10,023</w:t>
            </w: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2011-C</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March 2019</w:t>
            </w: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119,400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14,785</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2012-A</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2019</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16,795</w:t>
            </w: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2012-B</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87"/>
              </w:rPr>
              <w:t>September 2019</w:t>
            </w: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15,515</w:t>
            </w: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141,500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14,918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26,758</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2012-C</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0"/>
              </w:rPr>
              <w:t>December 2019</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18,088</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147,000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17,616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30,653</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2012-D</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March 2020</w:t>
            </w: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22,993</w:t>
            </w: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37,464</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2013-A</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2020</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35,972</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185,000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34,612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56,583</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2013-B</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87"/>
              </w:rPr>
              <w:t>September 2020</w:t>
            </w: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46,858</w:t>
            </w: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44,329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70,332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2013-C</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0"/>
              </w:rPr>
              <w:t>December 2020</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55,188</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54,212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82,851</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2013-D</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March 2021</w:t>
            </w: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55,371</w:t>
            </w: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183,000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53,924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82,337</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2014-A</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2021</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64,327</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62,490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92,571</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2014-B</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87"/>
              </w:rPr>
              <w:t>September 2021</w:t>
            </w: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84,990</w:t>
            </w: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202,500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84,231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2014-C</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0"/>
              </w:rPr>
              <w:t>December 2021</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131,011</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273,000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130,485</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183,802</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2014-D</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March 2022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142,752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267,500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141,862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198,533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2015-A</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2022</w:t>
            </w: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149,850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245,000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148,903</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201,527</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2015-B</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87"/>
              </w:rPr>
              <w:t>September 2022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170,369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169,038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221,587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2015-C</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0"/>
              </w:rPr>
              <w:t>December 2022</w:t>
            </w: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229,347</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226,754</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283,482</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spacing w:after="0"/>
              <w:rPr>
                <w:sz w:val="20"/>
                <w:szCs w:val="20"/>
                <w:color w:val="auto"/>
              </w:rPr>
            </w:pPr>
            <w:r>
              <w:rPr>
                <w:rFonts w:ascii="Arial" w:cs="Arial" w:eastAsia="Arial" w:hAnsi="Arial"/>
                <w:sz w:val="18"/>
                <w:szCs w:val="18"/>
                <w:color w:val="auto"/>
              </w:rPr>
              <w:t>CPS 2016-A</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March 2023</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288,216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329,460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273,762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2016-B</w:t>
            </w:r>
          </w:p>
        </w:tc>
        <w:tc>
          <w:tcPr>
            <w:tcW w:w="14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2023</w:t>
            </w: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315,174</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332,690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302,687</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spacing w:after="0"/>
              <w:rPr>
                <w:sz w:val="20"/>
                <w:szCs w:val="20"/>
                <w:color w:val="auto"/>
              </w:rPr>
            </w:pPr>
            <w:r>
              <w:rPr>
                <w:rFonts w:ascii="Arial" w:cs="Arial" w:eastAsia="Arial" w:hAnsi="Arial"/>
                <w:sz w:val="18"/>
                <w:szCs w:val="18"/>
                <w:color w:val="auto"/>
              </w:rPr>
              <w:t>CPS 2016-C</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87"/>
              </w:rPr>
              <w:t>September 2023</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312,077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318,500</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305,021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4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2,138,098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4,309,486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2,086,769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ind w:left="60"/>
              <w:spacing w:after="0"/>
              <w:rPr>
                <w:sz w:val="20"/>
                <w:szCs w:val="20"/>
                <w:color w:val="auto"/>
              </w:rPr>
            </w:pPr>
            <w:r>
              <w:rPr>
                <w:rFonts w:ascii="Arial" w:cs="Arial" w:eastAsia="Arial" w:hAnsi="Arial"/>
                <w:sz w:val="18"/>
                <w:szCs w:val="18"/>
                <w:color w:val="auto"/>
                <w:w w:val="88"/>
              </w:rPr>
              <w:t>_________________</w:t>
            </w: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gridSpan w:val="3"/>
            <w:vMerge w:val="continue"/>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4"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$217.2 million in 2016, $770.2 million in 2017, $536.4 million in 2018, $320.2 million in 2019, $171.1 million in 2020, $54.9 million in 2021 and 3.4 million in 2022.</w:t>
      </w:r>
    </w:p>
    <w:p>
      <w:pPr>
        <w:spacing w:after="0" w:line="189"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$13.4 million and $11.6 million as of September 30, 2016 and December 31, 2015,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2016,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2016, restricted cash under the various agreements totaled approximately $116.4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September 30, 2016 and December 31, 2015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7"/>
          </w:tcPr>
          <w:p>
            <w:pPr>
              <w:ind w:left="94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3"/>
              </w:rPr>
              <w:t>Description</w:t>
            </w:r>
          </w:p>
        </w:tc>
        <w:tc>
          <w:tcPr>
            <w:tcW w:w="24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Interest Rate</w:t>
            </w:r>
          </w:p>
        </w:tc>
        <w:tc>
          <w:tcPr>
            <w:tcW w:w="2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6"/>
              </w:rPr>
              <w:t>Maturity</w:t>
            </w:r>
          </w:p>
        </w:tc>
        <w:tc>
          <w:tcPr>
            <w:tcW w:w="240" w:type="dxa"/>
            <w:vAlign w:val="bottom"/>
          </w:tcPr>
          <w:p>
            <w:pPr>
              <w:spacing w:after="0"/>
              <w:rPr>
                <w:sz w:val="19"/>
                <w:szCs w:val="19"/>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Warehouse lines of credit</w:t>
            </w: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3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6"/>
              </w:rPr>
              <w:t>April 2019</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EEEEEE"/>
          </w:tcPr>
          <w:p>
            <w:pPr>
              <w:jc w:val="right"/>
              <w:ind w:right="320"/>
              <w:spacing w:after="0" w:line="201" w:lineRule="exact"/>
              <w:rPr>
                <w:sz w:val="20"/>
                <w:szCs w:val="20"/>
                <w:color w:val="auto"/>
              </w:rPr>
            </w:pPr>
            <w:r>
              <w:rPr>
                <w:rFonts w:ascii="Arial" w:cs="Arial" w:eastAsia="Arial" w:hAnsi="Arial"/>
                <w:sz w:val="18"/>
                <w:szCs w:val="18"/>
                <w:color w:val="auto"/>
              </w:rPr>
              <w:t>56,197</w:t>
            </w:r>
          </w:p>
        </w:tc>
        <w:tc>
          <w:tcPr>
            <w:tcW w:w="420" w:type="dxa"/>
            <w:vAlign w:val="bottom"/>
            <w:gridSpan w:val="2"/>
            <w:shd w:val="clear" w:color="auto" w:fill="EEEEEE"/>
          </w:tcPr>
          <w:p>
            <w:pPr>
              <w:jc w:val="right"/>
              <w:ind w:right="245"/>
              <w:spacing w:after="0" w:line="201"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20"/>
              <w:spacing w:after="0" w:line="201" w:lineRule="exact"/>
              <w:rPr>
                <w:sz w:val="20"/>
                <w:szCs w:val="20"/>
                <w:color w:val="auto"/>
              </w:rPr>
            </w:pPr>
            <w:r>
              <w:rPr>
                <w:rFonts w:ascii="Arial" w:cs="Arial" w:eastAsia="Arial" w:hAnsi="Arial"/>
                <w:sz w:val="18"/>
                <w:szCs w:val="18"/>
                <w:color w:val="auto"/>
              </w:rPr>
              <w:t>91,504</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6.50%)</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3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2"/>
              </w:rPr>
              <w:t>August 2019</w:t>
            </w:r>
          </w:p>
        </w:tc>
        <w:tc>
          <w:tcPr>
            <w:tcW w:w="24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6.25%)</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14,539</w:t>
            </w: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73,940</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6.75% over a commercial</w:t>
            </w:r>
          </w:p>
        </w:tc>
        <w:tc>
          <w:tcPr>
            <w:tcW w:w="23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2"/>
              </w:rPr>
              <w:t>November 2019</w:t>
            </w:r>
          </w:p>
        </w:tc>
        <w:tc>
          <w:tcPr>
            <w:tcW w:w="24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paper rate (Minimum 7.75%)</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13,000</w:t>
            </w: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31,017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11.75% over one month Libor</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April 2018</w:t>
            </w:r>
          </w:p>
        </w:tc>
        <w:tc>
          <w:tcPr>
            <w:tcW w:w="24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6,856</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9,042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8"/>
              </w:rPr>
              <w:t>Subordinated renewable notes</w:t>
            </w:r>
          </w:p>
        </w:tc>
        <w:tc>
          <w:tcPr>
            <w:tcW w:w="24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 average rate of</w:t>
            </w:r>
          </w:p>
        </w:tc>
        <w:tc>
          <w:tcPr>
            <w:tcW w:w="23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Weighted average maturity</w:t>
            </w:r>
          </w:p>
        </w:tc>
        <w:tc>
          <w:tcPr>
            <w:tcW w:w="240" w:type="dxa"/>
            <w:vAlign w:val="bottom"/>
          </w:tcPr>
          <w:p>
            <w:pPr>
              <w:spacing w:after="0"/>
              <w:rPr>
                <w:sz w:val="17"/>
                <w:szCs w:val="17"/>
                <w:color w:val="auto"/>
              </w:rPr>
            </w:pPr>
          </w:p>
        </w:tc>
        <w:tc>
          <w:tcPr>
            <w:tcW w:w="20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14,353</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15,138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8.01% and 9.04% at</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of July 2018 and October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 2016 and</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2017 at September 30, 2016</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 2015 ,</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and December 31, 2015,</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respectively</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respectively</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70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spacing w:after="0"/>
              <w:rPr>
                <w:sz w:val="19"/>
                <w:szCs w:val="19"/>
                <w:color w:val="auto"/>
              </w:rPr>
            </w:pPr>
          </w:p>
        </w:tc>
        <w:tc>
          <w:tcPr>
            <w:tcW w:w="15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$2.1 million and $2.4 million as of September 30, 2016 and December 31, 2015, respectively, have been excluded from the table above. These debt issuance costs are presented as a direct deduction to the carrying amount of the Warehouse lines of credit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i w:val="1"/>
                <w:iCs w:val="1"/>
                <w:color w:val="auto"/>
              </w:rPr>
              <w:t>Interest Income and Interest Expense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00" w:type="dxa"/>
            <w:vAlign w:val="bottom"/>
          </w:tcPr>
          <w:p>
            <w:pPr>
              <w:ind w:left="640"/>
              <w:spacing w:after="0"/>
              <w:rPr>
                <w:sz w:val="20"/>
                <w:szCs w:val="20"/>
                <w:color w:val="auto"/>
              </w:rPr>
            </w:pPr>
            <w:r>
              <w:rPr>
                <w:rFonts w:ascii="Arial" w:cs="Arial" w:eastAsia="Arial" w:hAnsi="Arial"/>
                <w:sz w:val="18"/>
                <w:szCs w:val="18"/>
                <w:color w:val="auto"/>
                <w:w w:val="98"/>
              </w:rPr>
              <w:t>The following table presents the components of interest income: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4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(In thousands)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105,296</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90,564</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303,548</w:t>
            </w:r>
          </w:p>
        </w:tc>
        <w:tc>
          <w:tcPr>
            <w:tcW w:w="380" w:type="dxa"/>
            <w:vAlign w:val="bottom"/>
            <w:gridSpan w:val="2"/>
            <w:shd w:val="clear" w:color="auto" w:fill="EEEEEE"/>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257,757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24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3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105,376</w:t>
            </w: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90,584</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303,748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Subordinated renewable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9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6979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1" w:lineRule="exact"/>
        <w:rPr>
          <w:sz w:val="20"/>
          <w:szCs w:val="20"/>
          <w:color w:val="auto"/>
        </w:rPr>
      </w:pPr>
    </w:p>
    <w:p>
      <w:pPr>
        <w:ind w:left="400"/>
        <w:spacing w:after="0"/>
        <w:tabs>
          <w:tab w:leader="none" w:pos="190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16979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18,228</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12,466</w:t>
            </w:r>
          </w:p>
        </w:tc>
      </w:tr>
      <w:tr>
        <w:trPr>
          <w:trHeight w:val="216"/>
        </w:trPr>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2,111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1,644</w:t>
            </w:r>
          </w:p>
        </w:tc>
      </w:tr>
      <w:tr>
        <w:trPr>
          <w:trHeight w:val="230"/>
        </w:trPr>
        <w:tc>
          <w:tcPr>
            <w:tcW w:w="3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3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327</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20,893</w:t>
            </w: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-736600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-462280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-179705</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646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82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646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49,867</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35,012</w:t>
            </w:r>
          </w:p>
        </w:tc>
      </w:tr>
      <w:tr>
        <w:trPr>
          <w:trHeight w:val="216"/>
        </w:trPr>
        <w:tc>
          <w:tcPr>
            <w:tcW w:w="3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6,777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4,376</w:t>
            </w:r>
          </w:p>
        </w:tc>
      </w:tr>
      <w:tr>
        <w:trPr>
          <w:trHeight w:val="230"/>
        </w:trPr>
        <w:tc>
          <w:tcPr>
            <w:tcW w:w="3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30"/>
        </w:trPr>
        <w:tc>
          <w:tcPr>
            <w:tcW w:w="3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3">
            <w:col w:w="5000" w:space="720"/>
            <w:col w:w="2680" w:space="320"/>
            <w:col w:w="2700"/>
          </w:cols>
          <w:pgMar w:left="240" w:top="580" w:right="239" w:bottom="1440" w:gutter="0" w:footer="0" w:header="0"/>
          <w:type w:val="continuous"/>
        </w:sectPr>
      </w:pPr>
    </w:p>
    <w:p>
      <w:pPr>
        <w:spacing w:after="0" w:line="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and nine-month periods ended September 30, 2016 and 2015 were calculated using the weighted average number of shares outstanding for the related period. The following table reconciles the number of shares used in the computations of basic and diluted earnings per share for the three-month and nine-month periods ended September 30, 2016 and 2015:</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170" w:lineRule="exact"/>
        <w:rPr>
          <w:sz w:val="20"/>
          <w:szCs w:val="20"/>
          <w:color w:val="auto"/>
        </w:rPr>
      </w:pPr>
    </w:p>
    <w:p>
      <w:pPr>
        <w:ind w:left="180" w:right="40" w:hanging="179"/>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180" w:right="400" w:hanging="179"/>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6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19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rPr>
                <w:sz w:val="19"/>
                <w:szCs w:val="19"/>
                <w:color w:val="auto"/>
              </w:rPr>
            </w:pPr>
          </w:p>
        </w:tc>
      </w:tr>
      <w:tr>
        <w:trPr>
          <w:trHeight w:val="228"/>
        </w:trPr>
        <w:tc>
          <w:tcPr>
            <w:tcW w:w="19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(In thousands)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9"/>
                <w:szCs w:val="19"/>
                <w:color w:val="auto"/>
              </w:rPr>
            </w:pPr>
          </w:p>
        </w:tc>
      </w:tr>
      <w:tr>
        <w:trPr>
          <w:trHeight w:val="414"/>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23,894</w:t>
            </w:r>
          </w:p>
        </w:tc>
        <w:tc>
          <w:tcPr>
            <w:tcW w:w="38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26,093</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24,574</w:t>
            </w:r>
          </w:p>
        </w:tc>
        <w:tc>
          <w:tcPr>
            <w:tcW w:w="3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25,989</w:t>
            </w:r>
          </w:p>
        </w:tc>
      </w:tr>
      <w:tr>
        <w:trPr>
          <w:trHeight w:val="662"/>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3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5,807</w:t>
            </w:r>
          </w:p>
        </w:tc>
      </w:tr>
      <w:tr>
        <w:trPr>
          <w:trHeight w:val="669"/>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28,503</w:t>
            </w:r>
          </w:p>
        </w:tc>
        <w:tc>
          <w:tcPr>
            <w:tcW w:w="38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31,476</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29,253</w:t>
            </w:r>
          </w:p>
        </w:tc>
        <w:tc>
          <w:tcPr>
            <w:tcW w:w="3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31,796</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-1156970</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-745490</wp:posOffset>
            </wp:positionV>
            <wp:extent cx="724662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-316865</wp:posOffset>
            </wp:positionV>
            <wp:extent cx="724662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300"/>
            <w:col w:w="5700"/>
          </w:cols>
          <w:pgMar w:left="240" w:top="580" w:right="239" w:bottom="1440" w:gutter="0" w:footer="0" w:header="0"/>
          <w:type w:val="continuous"/>
        </w:sectPr>
      </w:pP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nine-month periods ended September 30, 2016 would have included an additional 8.6 million and 7.7 million shares, respectively attributable to the exercise of outstanding options and warrants. For the three-month and nine-month periods ended September 30, 2015, an additional 6.7 million and 5.8 million shares, respectively, would be included in the diluted earnings per share calculation.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2012.</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2016 and December 31, 2015,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$43.2 million as of September 30, 2016 is more likely than not based on forecasted future net earnings. Our net deferred tax asset of $43.2 million consists of approximately $34.8 million of net U.S. federal deferred tax assets and $8.4 million of net state deferred tax assets.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was $5.1 million and $15.2 million for the three months and nine months ended September 30, 2016 and represents an effective income tax rate of 41%, compared to income tax expense of $6.8 million and $19.9 million for the three and nine months ended September 30, 2015, and represents an effective income tax rate of 43% and 44%, respectively.</w:t>
      </w:r>
    </w:p>
    <w:p>
      <w:pPr>
        <w:spacing w:after="0" w:line="18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subject to one such class action, which has been settled by agreement with the plaintiffs. The settlement remains subject to final court approval. The court has approved the settlement, but an objecting member of the settlement class took an appeal of that approval. The appeal was denied on October 18, 2016, and we expect the settlement to proceed as previously agreed.</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most part, we have legal and factual defenses to consumer claims, which we routinely contest or settle (for immaterial amounts) depending on the particular circumstances of each case. We have recorded a liability as of September 30, 2016 with respect to such matters, in the aggregate.</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required information relating to the underwriting criteria used to originate these automobile contracts and the representations and warranties relating to those underwriting criteria that were made in connection with the securitization of the automobile contracts. We provided responsive documents in March 2015, provided additional documents on September 30, 2016, and are unaware of any subsequent material developments in the government’s investigation, other than its initiation.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the matters referenced above. We have recorded a liability as of September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September 30, 2016, and in excess of the liability we have recorded, is from $0 to $250,000.</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7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nine-month periods ended September 30, 2016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3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5"/>
          </w:tcPr>
          <w:p>
            <w:pPr>
              <w:jc w:val="center"/>
              <w:ind w:left="396"/>
              <w:spacing w:after="0"/>
              <w:rPr>
                <w:sz w:val="20"/>
                <w:szCs w:val="20"/>
                <w:color w:val="auto"/>
              </w:rPr>
            </w:pPr>
            <w:r>
              <w:rPr>
                <w:rFonts w:ascii="Arial" w:cs="Arial" w:eastAsia="Arial" w:hAnsi="Arial"/>
                <w:sz w:val="18"/>
                <w:szCs w:val="18"/>
                <w:b w:val="1"/>
                <w:bCs w:val="1"/>
                <w:color w:val="auto"/>
                <w:w w:val="91"/>
              </w:rPr>
              <w:t>Nine Months Ended</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7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0"/>
              </w:rPr>
              <w:t>(In thousands)</w:t>
            </w: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8"/>
                <w:szCs w:val="18"/>
                <w:b w:val="1"/>
                <w:bCs w:val="1"/>
                <w:color w:val="auto"/>
                <w:w w:val="90"/>
              </w:rPr>
              <w:t>(In thousands)</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78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6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57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510"/>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221</w:t>
            </w:r>
          </w:p>
        </w:tc>
        <w:tc>
          <w:tcPr>
            <w:tcW w:w="7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211</w:t>
            </w:r>
          </w:p>
        </w:tc>
        <w:tc>
          <w:tcPr>
            <w:tcW w:w="7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663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7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9"/>
              </w:rPr>
              <w:t>(300)</w:t>
            </w:r>
          </w:p>
        </w:tc>
        <w:tc>
          <w:tcPr>
            <w:tcW w:w="7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9"/>
              </w:rPr>
              <w:t>(377)</w:t>
            </w:r>
          </w:p>
        </w:tc>
        <w:tc>
          <w:tcPr>
            <w:tcW w:w="7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(900)</w:t>
            </w:r>
          </w:p>
        </w:tc>
        <w:tc>
          <w:tcPr>
            <w:tcW w:w="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w w:val="94"/>
              </w:rPr>
              <w:t>(1,131)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7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78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138</w:t>
            </w:r>
          </w:p>
        </w:tc>
        <w:tc>
          <w:tcPr>
            <w:tcW w:w="7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87</w:t>
            </w:r>
          </w:p>
        </w:tc>
        <w:tc>
          <w:tcPr>
            <w:tcW w:w="74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414</w:t>
            </w:r>
          </w:p>
        </w:tc>
        <w:tc>
          <w:tcPr>
            <w:tcW w:w="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140"/>
              <w:spacing w:after="0"/>
              <w:rPr>
                <w:sz w:val="20"/>
                <w:szCs w:val="20"/>
                <w:color w:val="auto"/>
              </w:rPr>
            </w:pPr>
            <w:r>
              <w:rPr>
                <w:rFonts w:ascii="Arial" w:cs="Arial" w:eastAsia="Arial" w:hAnsi="Arial"/>
                <w:sz w:val="18"/>
                <w:szCs w:val="18"/>
                <w:color w:val="auto"/>
              </w:rPr>
              <w:t>Net periodic cost (benefit)</w:t>
            </w:r>
          </w:p>
        </w:tc>
        <w:tc>
          <w:tcPr>
            <w:tcW w:w="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ind w:right="62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tcBorders>
          </w:tcPr>
          <w:p>
            <w:pPr>
              <w:jc w:val="right"/>
              <w:ind w:right="57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did not make any contributions to the Plan during the nine-month periods ended September 30, 2016 and 2015. We do not anticipate making any contributions for the remainder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2016 the finance receivables related to the repossessed vehicles in inventory totaled $33.8 million. We have applied a valuation adjustment, or loss allowance, of $24.1 million, which is based on a recovery rate of approximately 29%, resulting in an estimated fair value and carrying amount of $9.6 million. The fair value and carrying amount of the repossessed inventory at December 31, 2015 was $12.8 million after applying a valuation adjustment of $27.0 million.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nine months ended September 30, 2016 and 2015. We have no material level 3 assets that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September 30, 2016 and December 31,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b w:val="1"/>
                <w:bCs w:val="1"/>
                <w:color w:val="auto"/>
                <w:w w:val="88"/>
              </w:rPr>
              <w:t>As of September 30, 2016</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11,494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11,494</w:t>
            </w:r>
          </w:p>
        </w:tc>
        <w:tc>
          <w:tcPr>
            <w:tcW w:w="1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116,403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116,403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116,403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2,160,308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2,105,195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2,105,195</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33,078</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33,078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81,683</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81,683</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81,683</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6,856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6,856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2,073,409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2,125,859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2,125,859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14,353</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14,353</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14,353</w:t>
            </w:r>
          </w:p>
        </w:tc>
        <w:tc>
          <w:tcPr>
            <w:tcW w:w="0" w:type="dxa"/>
            <w:vAlign w:val="bottom"/>
          </w:tcPr>
          <w:p>
            <w:pPr>
              <w:spacing w:after="0"/>
              <w:rPr>
                <w:sz w:val="1"/>
                <w:szCs w:val="1"/>
                <w:color w:val="auto"/>
              </w:rPr>
            </w:pPr>
          </w:p>
        </w:tc>
      </w:tr>
      <w:tr>
        <w:trPr>
          <w:trHeight w:val="716"/>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19,322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19,322</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106,054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106,054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1,909,490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1,879,510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1,879,510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31,547</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31,547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194,056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194,056</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194,056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9,042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1,720,021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1,718,418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1,718,418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15,138</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15,138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September 30, 2016 and December 31, 2015,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September 30, 2016, we have purchased a total of approximately $13.3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75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Contract Purchases and Outstanding Managed Portfolio</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ind w:left="66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Contracts</w:t>
            </w: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Managed</w:t>
            </w:r>
          </w:p>
        </w:tc>
        <w:tc>
          <w:tcPr>
            <w:tcW w:w="100" w:type="dxa"/>
            <w:vAlign w:val="bottom"/>
          </w:tcPr>
          <w:p>
            <w:pPr>
              <w:spacing w:after="0"/>
              <w:rPr>
                <w:sz w:val="16"/>
                <w:szCs w:val="16"/>
                <w:color w:val="auto"/>
              </w:rPr>
            </w:pPr>
          </w:p>
        </w:tc>
      </w:tr>
      <w:tr>
        <w:trPr>
          <w:trHeight w:val="216"/>
        </w:trPr>
        <w:tc>
          <w:tcPr>
            <w:tcW w:w="6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Purchased in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Portfolio</w:t>
            </w:r>
          </w:p>
        </w:tc>
      </w:tr>
      <w:tr>
        <w:trPr>
          <w:trHeight w:val="234"/>
        </w:trPr>
        <w:tc>
          <w:tcPr>
            <w:tcW w:w="61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w:t>
            </w:r>
          </w:p>
        </w:tc>
        <w:tc>
          <w:tcPr>
            <w:tcW w:w="30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61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18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1,194,722</w:t>
            </w: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113,023</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00" w:type="dxa"/>
            <w:vAlign w:val="bottom"/>
            <w:shd w:val="clear" w:color="auto" w:fill="EEEEEE"/>
          </w:tcPr>
          <w:p>
            <w:pPr>
              <w:spacing w:after="0"/>
              <w:rPr>
                <w:sz w:val="18"/>
                <w:szCs w:val="18"/>
                <w:color w:val="auto"/>
              </w:rPr>
            </w:pPr>
          </w:p>
        </w:tc>
      </w:tr>
      <w:tr>
        <w:trPr>
          <w:trHeight w:val="216"/>
        </w:trPr>
        <w:tc>
          <w:tcPr>
            <w:tcW w:w="6180" w:type="dxa"/>
            <w:vAlign w:val="bottom"/>
          </w:tcPr>
          <w:p>
            <w:pPr>
              <w:jc w:val="center"/>
              <w:spacing w:after="0"/>
              <w:rPr>
                <w:sz w:val="20"/>
                <w:szCs w:val="20"/>
                <w:color w:val="auto"/>
              </w:rPr>
            </w:pPr>
            <w:r>
              <w:rPr>
                <w:rFonts w:ascii="Arial" w:cs="Arial" w:eastAsia="Arial" w:hAnsi="Arial"/>
                <w:sz w:val="18"/>
                <w:szCs w:val="18"/>
                <w:color w:val="333333"/>
                <w:w w:val="89"/>
              </w:rPr>
              <w:t>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284,236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794,649</w:t>
            </w: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00" w:type="dxa"/>
            <w:vAlign w:val="bottom"/>
            <w:shd w:val="clear" w:color="auto" w:fill="EEEEEE"/>
          </w:tcPr>
          <w:p>
            <w:pPr>
              <w:spacing w:after="0"/>
              <w:rPr>
                <w:sz w:val="18"/>
                <w:szCs w:val="18"/>
                <w:color w:val="auto"/>
              </w:rPr>
            </w:pPr>
          </w:p>
        </w:tc>
      </w:tr>
      <w:tr>
        <w:trPr>
          <w:trHeight w:val="216"/>
        </w:trPr>
        <w:tc>
          <w:tcPr>
            <w:tcW w:w="618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764,087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1,231,422</w:t>
            </w: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944,944</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00" w:type="dxa"/>
            <w:vAlign w:val="bottom"/>
            <w:shd w:val="clear" w:color="auto" w:fill="EEEEEE"/>
          </w:tcPr>
          <w:p>
            <w:pPr>
              <w:spacing w:after="0"/>
              <w:rPr>
                <w:sz w:val="18"/>
                <w:szCs w:val="18"/>
                <w:color w:val="auto"/>
              </w:rPr>
            </w:pPr>
          </w:p>
        </w:tc>
      </w:tr>
      <w:tr>
        <w:trPr>
          <w:trHeight w:val="216"/>
        </w:trPr>
        <w:tc>
          <w:tcPr>
            <w:tcW w:w="61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1,060,538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2,031,136</w:t>
            </w: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Nine months ended September 30, 2016</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873,499</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2,291,865</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programs we offer to dealers are intended to serve a wide range of sub-prime customers, primarily through franchised new car dealers.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1994 we have conducted 71 term securitizations (generally quarterly) of automobile contracts that we purchased from dealers under our regular programs. As of September 30, 2016, 17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We also completed securitizations in April, July and October 2016.</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580" w:type="dxa"/>
            <w:vAlign w:val="bottom"/>
            <w:gridSpan w:val="3"/>
          </w:tcPr>
          <w:p>
            <w:pPr>
              <w:spacing w:after="0"/>
              <w:rPr>
                <w:sz w:val="20"/>
                <w:szCs w:val="20"/>
                <w:color w:val="auto"/>
              </w:rPr>
            </w:pPr>
            <w:r>
              <w:rPr>
                <w:rFonts w:ascii="Arial" w:cs="Arial" w:eastAsia="Arial" w:hAnsi="Arial"/>
                <w:sz w:val="18"/>
                <w:szCs w:val="18"/>
                <w:color w:val="auto"/>
              </w:rPr>
              <w:t>Our recent history of term securitizations is summarized in the table below:</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500" w:type="dxa"/>
            <w:vAlign w:val="bottom"/>
          </w:tcPr>
          <w:p>
            <w:pPr>
              <w:spacing w:after="0"/>
              <w:rPr>
                <w:sz w:val="24"/>
                <w:szCs w:val="24"/>
                <w:color w:val="auto"/>
              </w:rPr>
            </w:pPr>
          </w:p>
        </w:tc>
        <w:tc>
          <w:tcPr>
            <w:tcW w:w="738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Recent Asset-Backed Term Securitizations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9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5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Receivables</w:t>
            </w:r>
          </w:p>
        </w:tc>
        <w:tc>
          <w:tcPr>
            <w:tcW w:w="1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Number of Term</w:t>
            </w:r>
          </w:p>
        </w:tc>
        <w:tc>
          <w:tcPr>
            <w:tcW w:w="3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Pledged in Term</w:t>
            </w:r>
          </w:p>
        </w:tc>
      </w:tr>
      <w:tr>
        <w:trPr>
          <w:trHeight w:val="234"/>
        </w:trPr>
        <w:tc>
          <w:tcPr>
            <w:tcW w:w="500" w:type="dxa"/>
            <w:vAlign w:val="bottom"/>
          </w:tcPr>
          <w:p>
            <w:pPr>
              <w:spacing w:after="0"/>
              <w:rPr>
                <w:sz w:val="20"/>
                <w:szCs w:val="20"/>
                <w:color w:val="auto"/>
              </w:rPr>
            </w:pPr>
          </w:p>
        </w:tc>
        <w:tc>
          <w:tcPr>
            <w:tcW w:w="6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Securitizations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500" w:type="dxa"/>
            <w:vAlign w:val="bottom"/>
          </w:tcPr>
          <w:p>
            <w:pPr>
              <w:spacing w:after="0"/>
              <w:rPr>
                <w:sz w:val="18"/>
                <w:szCs w:val="18"/>
                <w:color w:val="auto"/>
              </w:rPr>
            </w:pPr>
          </w:p>
        </w:tc>
        <w:tc>
          <w:tcPr>
            <w:tcW w:w="58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Borders>
              <w:top w:val="single" w:sz="8" w:color="EEEEEE"/>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30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1,118,097</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509,022</w:t>
            </w:r>
          </w:p>
        </w:tc>
        <w:tc>
          <w:tcPr>
            <w:tcW w:w="100" w:type="dxa"/>
            <w:vAlign w:val="bottom"/>
            <w:shd w:val="clear" w:color="auto" w:fill="EEEEEE"/>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20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58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103,772</w:t>
            </w:r>
          </w:p>
        </w:tc>
        <w:tc>
          <w:tcPr>
            <w:tcW w:w="100" w:type="dxa"/>
            <w:vAlign w:val="bottom"/>
            <w:shd w:val="clear" w:color="auto" w:fill="EEEEEE"/>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333333"/>
                <w:w w:val="84"/>
              </w:rPr>
              <w:t>2011</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335,593</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603,500</w:t>
            </w:r>
          </w:p>
        </w:tc>
        <w:tc>
          <w:tcPr>
            <w:tcW w:w="100" w:type="dxa"/>
            <w:vAlign w:val="bottom"/>
            <w:shd w:val="clear" w:color="auto" w:fill="EEEEEE"/>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778,000</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923,000</w:t>
            </w:r>
          </w:p>
        </w:tc>
        <w:tc>
          <w:tcPr>
            <w:tcW w:w="100" w:type="dxa"/>
            <w:vAlign w:val="bottom"/>
            <w:shd w:val="clear" w:color="auto" w:fill="EEEEEE"/>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333333"/>
                <w:w w:val="89"/>
              </w:rPr>
              <w:t>2015</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0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333333"/>
                <w:w w:val="89"/>
              </w:rPr>
              <w:t>Nine months ended September 30, 2016</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1,004,997</w:t>
            </w: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we have one such residual interest financing outstanding.</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December 2011, our securitizations have included a pre-funding feature in which a portion of the receivables to be sold to the trust were not delivered until after the initial closing. As a result, our restricted cash balance at September 30, 2015 included $102.1 million from the proceeds of the sale of the asset-backed notes that were held by the trustee pending delivery of the remaining receivables. In October 2015, the requisite additional receivables were delivered to the trust and we received the related restricted cash, most of which was used to repay amounts owed under our warehouse credit facilities. Since we have changed the timing of our securitizations to generally occur at the beginning rather than the end of the calendar quarter, there was no related amount of restricted cash representing the pre-funding proceeds at September 30, 2016.</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new $100 million facility, with a revolving period extending to April 2017, followed by an amortization period to April 2019. In November 2015, we entered into a third $100 million facility, with a revolving period extending to November 2017, followed by an amortization period to November 2019.</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2016 we were in compliance with all such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September 30, 2016 with the three months ended September 30, 2015</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three months ended September 30, 2016, our revenues were $108.5 million, an increase of $14.5 million, or 15.5%,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 revenue of $94.0 million. The primary reason for the increase in revenues is an increase in interest income. Interest income for the three months ended September 30, 2016 increased $14.8 million, or 16.3%, to $105.4 million from $90.6 million in the prior year. The primary reason for the increase in interest income is the increase in finance receivables held by consolidated subsidiaries. The table below shows the outstanding and average balances of our portfolio held by consolidated subsidiaries for the three months ended September 30, 2016 and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September 30, 2016</w:t>
            </w: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 2015</w:t>
            </w:r>
          </w:p>
        </w:tc>
      </w:tr>
      <w:tr>
        <w:trPr>
          <w:trHeight w:val="210"/>
        </w:trPr>
        <w:tc>
          <w:tcPr>
            <w:tcW w:w="55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(in millions)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5500" w:type="dxa"/>
            <w:vAlign w:val="bottom"/>
            <w:shd w:val="clear" w:color="auto" w:fill="EEEEEE"/>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Finance Receivables Owned by</w:t>
            </w: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r>
      <w:tr>
        <w:trPr>
          <w:trHeight w:val="234"/>
        </w:trPr>
        <w:tc>
          <w:tcPr>
            <w:tcW w:w="5500" w:type="dxa"/>
            <w:vAlign w:val="bottom"/>
            <w:shd w:val="clear" w:color="auto" w:fill="EEEEEE"/>
          </w:tcPr>
          <w:p>
            <w:pPr>
              <w:jc w:val="center"/>
              <w:ind w:right="130"/>
              <w:spacing w:after="0"/>
              <w:rPr>
                <w:sz w:val="20"/>
                <w:szCs w:val="20"/>
                <w:color w:val="auto"/>
              </w:rPr>
            </w:pPr>
            <w:r>
              <w:rPr>
                <w:rFonts w:ascii="Arial" w:cs="Arial" w:eastAsia="Arial" w:hAnsi="Arial"/>
                <w:sz w:val="18"/>
                <w:szCs w:val="18"/>
                <w:b w:val="1"/>
                <w:bCs w:val="1"/>
                <w:color w:val="auto"/>
                <w:w w:val="88"/>
              </w:rPr>
              <w:t>Consolidated Subsidiaries</w:t>
            </w:r>
          </w:p>
        </w:tc>
        <w:tc>
          <w:tcPr>
            <w:tcW w:w="280" w:type="dxa"/>
            <w:vAlign w:val="bottom"/>
            <w:shd w:val="clear" w:color="auto" w:fill="EEEEEE"/>
          </w:tcPr>
          <w:p>
            <w:pPr>
              <w:spacing w:after="0"/>
              <w:rPr>
                <w:sz w:val="20"/>
                <w:szCs w:val="20"/>
                <w:color w:val="auto"/>
              </w:rPr>
            </w:pPr>
          </w:p>
        </w:tc>
        <w:tc>
          <w:tcPr>
            <w:tcW w:w="13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Average balance for the three-month period</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2,281.5</w:t>
            </w: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1,902.4</w:t>
            </w:r>
          </w:p>
        </w:tc>
      </w:tr>
      <w:tr>
        <w:trPr>
          <w:trHeight w:val="216"/>
        </w:trPr>
        <w:tc>
          <w:tcPr>
            <w:tcW w:w="5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Ending balance for the period</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2,291.7</w:t>
            </w: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1,939.8</w:t>
            </w:r>
          </w:p>
        </w:tc>
      </w:tr>
    </w:tbl>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Servicing fees totaling $26,000 for the three months ended September 30, 2016 decreased $47,000, or 64.4%, from $72,000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The aggregate balance of portfolios generating servicing fees decreased to $143,000 at September 30, 2016 from $598,000 at September 30, 2015.</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three months ended September 30, 2016, other income of $3.1 million decreased by $220,000, or 6.6% compared to the prior year. The three-month period ended September 30, 2016 includes a decrease of $336,000 in revenue associated with direct mail and other related products and services that we offer to our dealers and a decrease of $60,000 in payments from third-party providers of convenience fees paid by our customers for web based and other electronic payments. The decreases were somewhat offset by an increase of $66,000 in sales tax refunds and a net increase of $110,000 on payments to us for our interest in certain sold charge off portfolios and acquired third-party portfolios.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Total operating expenses were $96.1 million for the three months ended September 30, 2016, compared to $78.3 million for the prior year, an increase of $17.7 million, or 22.6%. The increase is primarily due the increase in our consolidated portfolio and associated servicing costs, and the related increases in interest expense and in our provision for credit losses.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$1.4 million or 9.4%, to $16.7 million during the three months ended September 30, 2016, representing 17.4% of total operating expenses, from $15.3 million for the prior year, or 17.1% of total operating expenses. Since 2010, we have added employees in our Originations and Marketing departments in conjunction with the increase in contract purchases. Since 2013, we have also added Servicing staff to accommodate the increase in the number of accounts in our managed portfolio. The table below summarizes our employees by category as well as contract purchases and units in our managed portfolio as of, and for the three-month periods ended, September 30, 2016 and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 30, 2016</w:t>
            </w:r>
          </w:p>
        </w:tc>
        <w:tc>
          <w:tcPr>
            <w:tcW w:w="18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September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242.1</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14,706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2,291.9</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1,940.6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167,636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143,036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$6.3 million, an increase of $1.3 million, or 26.1% compared to the previous year and represented 6.6%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three months ended September 30, 2016 increased by $6.0 million to $20.9 million, or 40.7% and represented 21.7% of total operating expenses, compared to $14.8 million in the previous year, when it was 21.1% of total operating expenses.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on securitization trust debt increased by $5.8 million, or 46.2%, for the three months ended September 30, 2016 compared to the prior year. The average balance of securitization trust debt increased 22.5% to $2,154.4 million at September 30, 2016 compared to $1,758.4 million at September 30, 2015. In addition, the blended interest rates on new term securitizations have generally increased since June 2014. As a result, the cost of securitization debt during the three month period ended September 30, 2016 was 3.4%, compared to 2.8%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Period</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6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7"/>
              </w:rPr>
              <w:t>June 2014</w:t>
            </w:r>
          </w:p>
        </w:tc>
        <w:tc>
          <w:tcPr>
            <w:tcW w:w="380" w:type="dxa"/>
            <w:vAlign w:val="bottom"/>
            <w:tcBorders>
              <w:top w:val="single" w:sz="8" w:color="EEEEEE"/>
            </w:tcBorders>
            <w:shd w:val="clear" w:color="auto" w:fill="EEEEEE"/>
          </w:tcPr>
          <w:p>
            <w:pPr>
              <w:spacing w:after="0"/>
              <w:rPr>
                <w:sz w:val="18"/>
                <w:szCs w:val="18"/>
                <w:color w:val="auto"/>
              </w:rPr>
            </w:pPr>
          </w:p>
        </w:tc>
        <w:tc>
          <w:tcPr>
            <w:tcW w:w="2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2.37%</w:t>
            </w:r>
          </w:p>
        </w:tc>
      </w:tr>
      <w:tr>
        <w:trPr>
          <w:trHeight w:val="216"/>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333333"/>
                <w:w w:val="88"/>
              </w:rPr>
              <w:t>September 2014</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2.71%</w:t>
            </w:r>
          </w:p>
        </w:tc>
      </w:tr>
      <w:tr>
        <w:trPr>
          <w:trHeight w:val="216"/>
        </w:trPr>
        <w:tc>
          <w:tcPr>
            <w:tcW w:w="302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333333"/>
                <w:w w:val="88"/>
              </w:rPr>
              <w:t>December 2014</w:t>
            </w: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3.07%</w:t>
            </w:r>
          </w:p>
        </w:tc>
      </w:tr>
      <w:tr>
        <w:trPr>
          <w:trHeight w:val="216"/>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333333"/>
                <w:w w:val="90"/>
              </w:rPr>
              <w:t>March 2015</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3.04%</w:t>
            </w:r>
          </w:p>
        </w:tc>
      </w:tr>
      <w:tr>
        <w:trPr>
          <w:trHeight w:val="216"/>
        </w:trPr>
        <w:tc>
          <w:tcPr>
            <w:tcW w:w="302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333333"/>
                <w:w w:val="87"/>
              </w:rPr>
              <w:t>June 2015</w:t>
            </w: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3.18%</w:t>
            </w:r>
          </w:p>
        </w:tc>
      </w:tr>
      <w:tr>
        <w:trPr>
          <w:trHeight w:val="216"/>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333333"/>
                <w:w w:val="88"/>
              </w:rPr>
              <w:t>September 2015</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3.78%</w:t>
            </w:r>
          </w:p>
        </w:tc>
      </w:tr>
      <w:tr>
        <w:trPr>
          <w:trHeight w:val="216"/>
        </w:trPr>
        <w:tc>
          <w:tcPr>
            <w:tcW w:w="302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333333"/>
                <w:w w:val="89"/>
              </w:rPr>
              <w:t>January 2016</w:t>
            </w: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r>
      <w:tr>
        <w:trPr>
          <w:trHeight w:val="216"/>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333333"/>
                <w:w w:val="96"/>
              </w:rPr>
              <w:t>April 2016</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4.65%</w:t>
            </w:r>
          </w:p>
        </w:tc>
      </w:tr>
      <w:tr>
        <w:trPr>
          <w:trHeight w:val="216"/>
        </w:trPr>
        <w:tc>
          <w:tcPr>
            <w:tcW w:w="302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90"/>
              </w:rPr>
              <w:t>July 2016</w:t>
            </w: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r>
      <w:tr>
        <w:trPr>
          <w:trHeight w:val="230"/>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October 2016</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3.66%</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$73,000, or 18.3%. The decrease is due to a decrease in the average yield on our subordinated renewable notes to 8.9% for the three-month period ended September 30, 2016 compared to the prior year when the average yield on our subordinated renewable notes was 10.6%. In addition, the average balance decreased to $14.7 million for the three-month period ended September 30, 2016 compared to $15.1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6"/>
          <w:szCs w:val="16"/>
          <w:color w:val="auto"/>
        </w:rPr>
        <w:t>Interest expense on warehouse debt increased by $467,000, or 28.4%, for the three months ended September 30, 2016 compared to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When possible, we hold contracts with our own cash rather than pledging them to one of our warehouse facilities to minimize interest expense.</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September 30,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3"/>
              </w:rPr>
              <w:t>Three Months Ended September 30,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Annualized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Balance (1)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Interest</w:t>
            </w:r>
          </w:p>
        </w:tc>
        <w:tc>
          <w:tcPr>
            <w:tcW w:w="30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Balance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Interest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EEEEEE"/>
            </w:tcBorders>
            <w:shd w:val="clear" w:color="auto" w:fill="EEEEEE"/>
          </w:tcPr>
          <w:p>
            <w:pPr>
              <w:spacing w:after="0"/>
              <w:rPr>
                <w:sz w:val="14"/>
                <w:szCs w:val="14"/>
                <w:color w:val="auto"/>
              </w:rPr>
            </w:pPr>
          </w:p>
        </w:tc>
        <w:tc>
          <w:tcPr>
            <w:tcW w:w="2720" w:type="dxa"/>
            <w:vAlign w:val="bottom"/>
            <w:tcBorders>
              <w:top w:val="single" w:sz="8" w:color="EEEEEE"/>
            </w:tcBorders>
            <w:gridSpan w:val="2"/>
            <w:shd w:val="clear" w:color="auto" w:fill="EEEEEE"/>
          </w:tcPr>
          <w:p>
            <w:pPr>
              <w:spacing w:after="0" w:line="170" w:lineRule="exact"/>
              <w:rPr>
                <w:sz w:val="20"/>
                <w:szCs w:val="20"/>
                <w:color w:val="auto"/>
              </w:rPr>
            </w:pPr>
            <w:r>
              <w:rPr>
                <w:rFonts w:ascii="Arial" w:cs="Arial" w:eastAsia="Arial" w:hAnsi="Arial"/>
                <w:sz w:val="18"/>
                <w:szCs w:val="18"/>
                <w:b w:val="1"/>
                <w:bCs w:val="1"/>
                <w:color w:val="auto"/>
              </w:rPr>
              <w:t>Interest Earning Assets</w:t>
            </w:r>
          </w:p>
        </w:tc>
        <w:tc>
          <w:tcPr>
            <w:tcW w:w="104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80" w:type="dxa"/>
            <w:vAlign w:val="bottom"/>
            <w:tcBorders>
              <w:top w:val="single" w:sz="8" w:color="auto"/>
            </w:tcBorders>
            <w:shd w:val="clear" w:color="auto" w:fill="EEEEEE"/>
          </w:tcPr>
          <w:p>
            <w:pPr>
              <w:spacing w:after="0"/>
              <w:rPr>
                <w:sz w:val="14"/>
                <w:szCs w:val="14"/>
                <w:color w:val="auto"/>
              </w:rPr>
            </w:pPr>
          </w:p>
        </w:tc>
        <w:tc>
          <w:tcPr>
            <w:tcW w:w="60" w:type="dxa"/>
            <w:vAlign w:val="bottom"/>
            <w:tcBorders>
              <w:top w:val="single" w:sz="8" w:color="EEEEEE"/>
            </w:tcBorders>
            <w:shd w:val="clear" w:color="auto" w:fill="EEEEEE"/>
          </w:tcPr>
          <w:p>
            <w:pPr>
              <w:spacing w:after="0"/>
              <w:rPr>
                <w:sz w:val="14"/>
                <w:szCs w:val="14"/>
                <w:color w:val="auto"/>
              </w:rPr>
            </w:pPr>
          </w:p>
        </w:tc>
        <w:tc>
          <w:tcPr>
            <w:tcW w:w="300" w:type="dxa"/>
            <w:vAlign w:val="bottom"/>
            <w:tcBorders>
              <w:top w:val="single" w:sz="8" w:color="EEEEEE"/>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Finance receivables gross (2)</w:t>
            </w: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   2,247,917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105,376</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18.8%</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   1,876,688</w:t>
            </w:r>
          </w:p>
        </w:tc>
        <w:tc>
          <w:tcPr>
            <w:tcW w:w="2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90,584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00" w:right="239" w:bottom="1440" w:gutter="0" w:footer="0" w:header="0"/>
        </w:sect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28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Interest Bearing Liabilities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40" w:type="dxa"/>
            <w:vAlign w:val="bottom"/>
            <w:gridSpan w:val="3"/>
          </w:tcPr>
          <w:p>
            <w:pPr>
              <w:spacing w:after="0"/>
              <w:rPr>
                <w:sz w:val="20"/>
                <w:szCs w:val="20"/>
                <w:color w:val="auto"/>
              </w:rPr>
            </w:pPr>
            <w:r>
              <w:rPr>
                <w:rFonts w:ascii="Arial" w:cs="Arial" w:eastAsia="Arial" w:hAnsi="Arial"/>
                <w:sz w:val="18"/>
                <w:szCs w:val="18"/>
                <w:color w:val="auto"/>
              </w:rPr>
              <w:t>Warehouse lines of credit (3)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74,602</w:t>
            </w:r>
          </w:p>
        </w:tc>
        <w:tc>
          <w:tcPr>
            <w:tcW w:w="3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2,111</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7,055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2,154,424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18,228</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4"/>
        </w:trPr>
        <w:tc>
          <w:tcPr>
            <w:tcW w:w="3440" w:type="dxa"/>
            <w:vAlign w:val="bottom"/>
            <w:gridSpan w:val="3"/>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14,739</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2,250,820</w:t>
            </w:r>
          </w:p>
        </w:tc>
        <w:tc>
          <w:tcPr>
            <w:tcW w:w="3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20,893</w:t>
            </w: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4"/>
        </w:trPr>
        <w:tc>
          <w:tcPr>
            <w:tcW w:w="3440" w:type="dxa"/>
            <w:vAlign w:val="bottom"/>
            <w:gridSpan w:val="3"/>
          </w:tcPr>
          <w:p>
            <w:pPr>
              <w:spacing w:after="0" w:line="196" w:lineRule="exact"/>
              <w:rPr>
                <w:sz w:val="20"/>
                <w:szCs w:val="20"/>
                <w:color w:val="auto"/>
              </w:rPr>
            </w:pPr>
            <w:r>
              <w:rPr>
                <w:rFonts w:ascii="Arial" w:cs="Arial" w:eastAsia="Arial" w:hAnsi="Arial"/>
                <w:sz w:val="18"/>
                <w:szCs w:val="18"/>
                <w:color w:val="auto"/>
              </w:rPr>
              <w:t>Net interest income/spread</w:t>
            </w:r>
          </w:p>
        </w:tc>
        <w:tc>
          <w:tcPr>
            <w:tcW w:w="20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84,483</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Arial" w:cs="Arial" w:eastAsia="Arial" w:hAnsi="Arial"/>
                <w:sz w:val="18"/>
                <w:szCs w:val="18"/>
                <w:color w:val="auto"/>
              </w:rPr>
              <w:t>Net interest yield (4)</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182"/>
        </w:trPr>
        <w:tc>
          <w:tcPr>
            <w:tcW w:w="34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Ratio of average interest earning assets to</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180"/>
              <w:spacing w:after="0"/>
              <w:rPr>
                <w:sz w:val="20"/>
                <w:szCs w:val="20"/>
                <w:color w:val="auto"/>
              </w:rPr>
            </w:pPr>
            <w:r>
              <w:rPr>
                <w:rFonts w:ascii="Arial" w:cs="Arial" w:eastAsia="Arial" w:hAnsi="Arial"/>
                <w:sz w:val="18"/>
                <w:szCs w:val="18"/>
                <w:color w:val="auto"/>
              </w:rPr>
              <w:t>average interest bearing liabilities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2466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77"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Average balances are based on month end balances except for warehouse lines o , which are based on daily balances.</w:t>
      </w:r>
    </w:p>
    <w:p>
      <w:pPr>
        <w:spacing w:after="0" w:line="11" w:lineRule="exact"/>
        <w:rPr>
          <w:rFonts w:ascii="Arial" w:cs="Arial" w:eastAsia="Arial" w:hAnsi="Arial"/>
          <w:sz w:val="13"/>
          <w:szCs w:val="13"/>
          <w:color w:val="auto"/>
        </w:rPr>
      </w:pPr>
    </w:p>
    <w:p>
      <w:pPr>
        <w:ind w:left="240" w:hanging="232"/>
        <w:spacing w:after="0" w:line="221" w:lineRule="auto"/>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240" w:hanging="232"/>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Interest expense includes deferred financing costs and non-utilization fees.</w:t>
      </w:r>
    </w:p>
    <w:p>
      <w:pPr>
        <w:spacing w:after="0" w:line="16" w:lineRule="exact"/>
        <w:rPr>
          <w:rFonts w:ascii="Arial" w:cs="Arial" w:eastAsia="Arial" w:hAnsi="Arial"/>
          <w:sz w:val="14"/>
          <w:szCs w:val="14"/>
          <w:color w:val="auto"/>
        </w:rPr>
      </w:pPr>
    </w:p>
    <w:p>
      <w:pPr>
        <w:ind w:left="240" w:hanging="232"/>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Annualized net interest income divided by average interest earning assets.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67,698</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1,644</w:t>
            </w: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10,905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1,758,434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12,466</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15,102</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1,852,139</w:t>
            </w:r>
          </w:p>
        </w:tc>
        <w:tc>
          <w:tcPr>
            <w:tcW w:w="3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14,848</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75,736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044" w:lineRule="exact"/>
        <w:rPr>
          <w:sz w:val="20"/>
          <w:szCs w:val="20"/>
          <w:color w:val="auto"/>
        </w:rPr>
      </w:pPr>
    </w:p>
    <w:p>
      <w:pPr>
        <w:sectPr>
          <w:pgSz w:w="11900" w:h="16838" w:orient="portrait"/>
          <w:cols w:equalWidth="0" w:num="2">
            <w:col w:w="7260" w:space="360"/>
            <w:col w:w="3800"/>
          </w:cols>
          <w:pgMar w:left="240" w:top="800" w:right="239" w:bottom="1440" w:gutter="0" w:footer="0" w:header="0"/>
          <w:type w:val="continuous"/>
        </w:sect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4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1"/>
              </w:rPr>
              <w:t>Three Months Ended September 30, 2016</w:t>
            </w:r>
          </w:p>
        </w:tc>
        <w:tc>
          <w:tcPr>
            <w:tcW w:w="0" w:type="dxa"/>
            <w:vAlign w:val="bottom"/>
          </w:tcPr>
          <w:p>
            <w:pPr>
              <w:spacing w:after="0"/>
              <w:rPr>
                <w:sz w:val="1"/>
                <w:szCs w:val="1"/>
                <w:color w:val="auto"/>
              </w:rPr>
            </w:pPr>
          </w:p>
        </w:tc>
      </w:tr>
      <w:tr>
        <w:trPr>
          <w:trHeight w:val="234"/>
        </w:trPr>
        <w:tc>
          <w:tcPr>
            <w:tcW w:w="1560" w:type="dxa"/>
            <w:vAlign w:val="bottom"/>
            <w:gridSpan w:val="2"/>
            <w:vMerge w:val="restart"/>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4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0"/>
              </w:rPr>
              <w:t>Compared to September 30, 2015</w:t>
            </w:r>
          </w:p>
        </w:tc>
        <w:tc>
          <w:tcPr>
            <w:tcW w:w="0" w:type="dxa"/>
            <w:vAlign w:val="bottom"/>
          </w:tcPr>
          <w:p>
            <w:pPr>
              <w:spacing w:after="0"/>
              <w:rPr>
                <w:sz w:val="1"/>
                <w:szCs w:val="1"/>
                <w:color w:val="auto"/>
              </w:rPr>
            </w:pPr>
          </w:p>
        </w:tc>
      </w:tr>
      <w:tr>
        <w:trPr>
          <w:trHeight w:val="205"/>
        </w:trPr>
        <w:tc>
          <w:tcPr>
            <w:tcW w:w="15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68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1"/>
              </w:rPr>
              <w:t>Change Due</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93"/>
              </w:rPr>
              <w:t>Change Due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to Volume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20" w:type="dxa"/>
            <w:vAlign w:val="bottom"/>
            <w:tcBorders>
              <w:bottom w:val="single" w:sz="8" w:color="EEEEEE"/>
            </w:tcBorders>
            <w:shd w:val="clear" w:color="auto" w:fill="EEEEEE"/>
          </w:tcPr>
          <w:p>
            <w:pPr>
              <w:spacing w:after="0"/>
              <w:rPr>
                <w:sz w:val="17"/>
                <w:szCs w:val="17"/>
                <w:color w:val="auto"/>
              </w:rPr>
            </w:pPr>
          </w:p>
        </w:tc>
        <w:tc>
          <w:tcPr>
            <w:tcW w:w="17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0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2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2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Finance receivables gross</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14,792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17,918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6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Residual interest financing</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5,762</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Subordinated renewable notes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6,045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2,863</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2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8,747</w:t>
            </w:r>
          </w:p>
        </w:tc>
        <w:tc>
          <w:tcPr>
            <w:tcW w:w="2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15,055</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three months ended September 30, 2016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 for credit losses was $46.3 million for the three months ended September 30, 2016, an increase of $8.9 million, or 23.7% compared to the prior year and represented 48.2%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2" w:name="page23"/>
    <w:bookmarkEnd w:id="22"/>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decreased by $145,000, or 3.1%, to $4.5 million during the three months ended September 30, 2016, compared to $4.6 million in the prior year period, and represented 4.6% of total operating expenses. For the three months ended September 30, 2016, we purchased 14,706 contracts representing $242.1 million in receivables compared to 17,019 contracts representing $287.5 million in receivables in the prior year. In addition, the number of employees in our marketing department decreased from 134 at September 30 2015 to 98 at September 30, 2016.</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Occupancy expenses increased by $191,000 or 18.2%, to $1.2 million compared to $1.0 million in the previous year and represented 1.3% of total operating expenses. In July 2015, we entered into a lease for additional office space in Irvine, California. We then occupied that space, and incurred incremental occupancy expense, in phases. The first phase was in July 2015 and the second and final phase was in April 2016.</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$32,000 or 18.8%, to $202,000 compared to $170,000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September 30, 2016, we recorded income tax expense of $5.1 million, representing a 41.0% effective income tax rate. In the prior year period, we recorded $6.8 million in income tax expense, representing a 43.5%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nine months ended September 30, 2016 with the nine months ended September 30, 2015</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nine months ended September 30, 2016, our revenues were $314.1 million, an increase of $45.8 million, or 17.1%,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 revenue of $268.3 million. The primary reason for the increase in revenues is an increase in interest income. Interest income for the nine months ended September 30, 2016 increased $45.9 million, or 17.8%, to $303.7 million from $257.8 million in the prior year. The primary reason for the increase in interest income is the increase in finance receivables held by consolidated subsidiaries. The table below shows the outstanding and average balances of our portfolio held by consolidated subsidiaries for the nine months ended September 30, 2016 and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 30, 2016</w:t>
            </w:r>
          </w:p>
        </w:tc>
        <w:tc>
          <w:tcPr>
            <w:tcW w:w="340" w:type="dxa"/>
            <w:vAlign w:val="bottom"/>
          </w:tcPr>
          <w:p>
            <w:pPr>
              <w:spacing w:after="0"/>
              <w:rPr>
                <w:sz w:val="20"/>
                <w:szCs w:val="20"/>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September 30, 2015</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4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8"/>
              </w:rPr>
              <w:t>Finance Receivables Owned by</w:t>
            </w:r>
          </w:p>
        </w:tc>
        <w:tc>
          <w:tcPr>
            <w:tcW w:w="28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Consolidated Subsidiaries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Average balance for the nine-month period</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2,157.3</w:t>
            </w:r>
          </w:p>
        </w:tc>
        <w:tc>
          <w:tcPr>
            <w:tcW w:w="7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Ending balance for the period</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2,291.7</w:t>
            </w:r>
          </w:p>
        </w:tc>
        <w:tc>
          <w:tcPr>
            <w:tcW w:w="76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1,939.8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Servicing fees totaling $73,000 for the nine months ended September 30, 2016 decreased $210,000, or 74.1%, from $283,000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The aggregate balance of portfolios generating servicing fees decreased to $143,000 at September 30, 2016 from $598,000 at September 30, 2015.</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nine months ended September 30, 2016, other income of $10.3 million increased by $63,000, or 0.6% compared to the prior year. The nine-month period ended September 30, 2016 includes increases of $367,000 in revenue associated with direct mail and other related products and services that we offer to our dealers and an increase of $173,000 in sales tax refunds. The increases were somewhat offset by a net decrease of $42,000 on payments to us for our interest in certain sold charge off portfolios and acquired third-party portfolios and a decrease of $435,000 in payments from third-party providers of convenience fees paid by our customers for web based and other electronic payments.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were $277.1 million for the nine months ended September 30, 2016, compared to $222.7 million for the prior year, an increase of $54.3 million, or 24.4%. The increase is primarily due to costs associated with the increase in the amount of new contracts we purchased, the resulting increase in our consolidated portfolio and associated servicing costs, and the related increases in interest expense and in our provision for credit losses.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Employee costs increased by $4.6 million or 10.8%, to $47.5 million during the nine months ended September 30, 2016, representing 17.1% of total operating expenses, from $42.9 million for the prior year, or 19.3% of total operating expenses. Since 2010, we have generally added employees in our Originations and Marketing departments in conjunction with the increase in contract purchases, although more recently our Marketing and Originations departments have not grown. Since 2013, we have also added Servicing staff to accommodate the increase in the number of accounts in our managed portfolio. The table below summarizes our employees by category as well as contract purchases and units in our managed portfolio as of, and for the nine-month periods ended, September 30, 2016 and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September 30, 2016</w:t>
            </w:r>
          </w:p>
        </w:tc>
        <w:tc>
          <w:tcPr>
            <w:tcW w:w="174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September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873.5</w:t>
            </w:r>
          </w:p>
        </w:tc>
        <w:tc>
          <w:tcPr>
            <w:tcW w:w="440" w:type="dxa"/>
            <w:vAlign w:val="bottom"/>
            <w:shd w:val="clear" w:color="auto" w:fill="EEEEEE"/>
          </w:tcPr>
          <w:p>
            <w:pPr>
              <w:jc w:val="right"/>
              <w:ind w:right="28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791.3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53,244</w:t>
            </w:r>
          </w:p>
        </w:tc>
        <w:tc>
          <w:tcPr>
            <w:tcW w:w="44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48,046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2,291.9</w:t>
            </w:r>
          </w:p>
        </w:tc>
        <w:tc>
          <w:tcPr>
            <w:tcW w:w="440" w:type="dxa"/>
            <w:vAlign w:val="bottom"/>
            <w:shd w:val="clear" w:color="auto" w:fill="EEEEEE"/>
          </w:tcPr>
          <w:p>
            <w:pPr>
              <w:jc w:val="right"/>
              <w:ind w:right="28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1,940.6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167,636</w:t>
            </w:r>
          </w:p>
        </w:tc>
        <w:tc>
          <w:tcPr>
            <w:tcW w:w="4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145,036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521</w:t>
            </w:r>
          </w:p>
        </w:tc>
        <w:tc>
          <w:tcPr>
            <w:tcW w:w="4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$18.2 million, an increase of $3.3 million, or 21.9% compared to the previous year and represented 6.6%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nine months ended September 30, 2016 increased by $16.7 million to $58.4 million, or 40.1% and represented 21.1% of total operating expenses, compared to $41.7 million in the previous year, when it was 18.7% of total operating expenses.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jc w:val="both"/>
        <w:ind w:firstLine="648"/>
        <w:spacing w:after="0" w:line="253" w:lineRule="auto"/>
        <w:rPr>
          <w:sz w:val="20"/>
          <w:szCs w:val="20"/>
          <w:color w:val="auto"/>
        </w:rPr>
      </w:pPr>
      <w:r>
        <w:rPr>
          <w:rFonts w:ascii="Arial" w:cs="Arial" w:eastAsia="Arial" w:hAnsi="Arial"/>
          <w:sz w:val="18"/>
          <w:szCs w:val="18"/>
          <w:color w:val="auto"/>
        </w:rPr>
        <w:t>Interest on securitization trust debt increased by $14.9 million, or 42.4%, for the nine months ended September 30, 2016 compared to the prior year. The average balance of securitization trust debt increased 22.6% to $2,046.8 million at September 30, 2016 compared to $1,668.9 million at September 30, 2015. In addition, the blended interest rates on new term securitizations have generally increased since June 2014. As a result, the cost of securitization debt during the three month period ended September 30, 2016 was 3.4%, compared to 2.8%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Period</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6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7"/>
              </w:rPr>
              <w:t>June 2014</w:t>
            </w:r>
          </w:p>
        </w:tc>
        <w:tc>
          <w:tcPr>
            <w:tcW w:w="380" w:type="dxa"/>
            <w:vAlign w:val="bottom"/>
            <w:tcBorders>
              <w:top w:val="single" w:sz="8" w:color="EEEEEE"/>
            </w:tcBorders>
            <w:shd w:val="clear" w:color="auto" w:fill="EEEEEE"/>
          </w:tcPr>
          <w:p>
            <w:pPr>
              <w:spacing w:after="0"/>
              <w:rPr>
                <w:sz w:val="18"/>
                <w:szCs w:val="18"/>
                <w:color w:val="auto"/>
              </w:rPr>
            </w:pPr>
          </w:p>
        </w:tc>
        <w:tc>
          <w:tcPr>
            <w:tcW w:w="2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2.37%</w:t>
            </w:r>
          </w:p>
        </w:tc>
      </w:tr>
      <w:tr>
        <w:trPr>
          <w:trHeight w:val="216"/>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333333"/>
                <w:w w:val="88"/>
              </w:rPr>
              <w:t>September 2014</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2.71%</w:t>
            </w:r>
          </w:p>
        </w:tc>
      </w:tr>
      <w:tr>
        <w:trPr>
          <w:trHeight w:val="216"/>
        </w:trPr>
        <w:tc>
          <w:tcPr>
            <w:tcW w:w="302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333333"/>
                <w:w w:val="88"/>
              </w:rPr>
              <w:t>December 2014</w:t>
            </w: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3.07%</w:t>
            </w:r>
          </w:p>
        </w:tc>
      </w:tr>
      <w:tr>
        <w:trPr>
          <w:trHeight w:val="216"/>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333333"/>
                <w:w w:val="90"/>
              </w:rPr>
              <w:t>March 2015</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3.04%</w:t>
            </w:r>
          </w:p>
        </w:tc>
      </w:tr>
      <w:tr>
        <w:trPr>
          <w:trHeight w:val="216"/>
        </w:trPr>
        <w:tc>
          <w:tcPr>
            <w:tcW w:w="302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333333"/>
                <w:w w:val="87"/>
              </w:rPr>
              <w:t>June 2015</w:t>
            </w: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3.18%</w:t>
            </w:r>
          </w:p>
        </w:tc>
      </w:tr>
      <w:tr>
        <w:trPr>
          <w:trHeight w:val="216"/>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333333"/>
                <w:w w:val="88"/>
              </w:rPr>
              <w:t>September 2015</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3.78%</w:t>
            </w:r>
          </w:p>
        </w:tc>
      </w:tr>
      <w:tr>
        <w:trPr>
          <w:trHeight w:val="216"/>
        </w:trPr>
        <w:tc>
          <w:tcPr>
            <w:tcW w:w="302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333333"/>
                <w:w w:val="89"/>
              </w:rPr>
              <w:t>January 2016</w:t>
            </w: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r>
      <w:tr>
        <w:trPr>
          <w:trHeight w:val="216"/>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333333"/>
                <w:w w:val="96"/>
              </w:rPr>
              <w:t>April 2016</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4.65%</w:t>
            </w:r>
          </w:p>
        </w:tc>
      </w:tr>
      <w:tr>
        <w:trPr>
          <w:trHeight w:val="216"/>
        </w:trPr>
        <w:tc>
          <w:tcPr>
            <w:tcW w:w="302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90"/>
              </w:rPr>
              <w:t>July 2016</w:t>
            </w: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r>
      <w:tr>
        <w:trPr>
          <w:trHeight w:val="230"/>
        </w:trPr>
        <w:tc>
          <w:tcPr>
            <w:tcW w:w="30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October 2016</w:t>
            </w: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3.66%</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$156,000, or 12.9%. The decrease is due to a decrease in the average yield on our subordinated renewable notes to 9.3% for the nine-month period ended September 30, 2016 compared to the prior year when the average yield on our subordinated renewable notes was 10.7%. The decrease in the yield offset an increase in the average balance to $15.2 million for the nine-month period ended September 30, 2016 compared to $15.1 million in the prior year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on warehouse debt increased by $2.4 million, or 54.9% for the nine months ended September 30, 2016 compared to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increased our contract purchases to $873.5 million for the nine months ended September 30, 2016 compared to $791.3 million in the prior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However, when possible, we hold contracts with our own cash rather than pledging them to one of our warehouse facilities to minimize interest expense.</w:t>
      </w:r>
    </w:p>
    <w:p>
      <w:pPr>
        <w:spacing w:after="0" w:line="2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nine-month periods ended September 30, 2016 and 2015:</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8"/>
                <w:szCs w:val="18"/>
                <w:b w:val="1"/>
                <w:bCs w:val="1"/>
                <w:color w:val="auto"/>
                <w:w w:val="90"/>
              </w:rPr>
              <w:t>Nine Months Ended September 30,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260" w:type="dxa"/>
            <w:vAlign w:val="bottom"/>
          </w:tcPr>
          <w:p>
            <w:pPr>
              <w:spacing w:after="0"/>
              <w:rPr>
                <w:sz w:val="19"/>
                <w:szCs w:val="19"/>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(Dollars 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Balance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Interest</w:t>
            </w:r>
          </w:p>
        </w:tc>
        <w:tc>
          <w:tcPr>
            <w:tcW w:w="2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Yield/Rate</w:t>
            </w:r>
          </w:p>
        </w:tc>
        <w:tc>
          <w:tcPr>
            <w:tcW w:w="18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Balance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EEEEEE"/>
            </w:tcBorders>
            <w:shd w:val="clear" w:color="auto" w:fill="EEEEEE"/>
          </w:tcPr>
          <w:p>
            <w:pPr>
              <w:spacing w:after="0"/>
              <w:rPr>
                <w:sz w:val="14"/>
                <w:szCs w:val="14"/>
                <w:color w:val="auto"/>
              </w:rPr>
            </w:pPr>
          </w:p>
        </w:tc>
        <w:tc>
          <w:tcPr>
            <w:tcW w:w="2720" w:type="dxa"/>
            <w:vAlign w:val="bottom"/>
            <w:tcBorders>
              <w:top w:val="single" w:sz="8" w:color="EEEEEE"/>
            </w:tcBorders>
            <w:gridSpan w:val="3"/>
            <w:shd w:val="clear" w:color="auto" w:fill="EEEEEE"/>
          </w:tcPr>
          <w:p>
            <w:pPr>
              <w:jc w:val="center"/>
              <w:ind w:right="940"/>
              <w:spacing w:after="0" w:line="170" w:lineRule="exact"/>
              <w:rPr>
                <w:sz w:val="20"/>
                <w:szCs w:val="20"/>
                <w:color w:val="auto"/>
              </w:rPr>
            </w:pPr>
            <w:r>
              <w:rPr>
                <w:rFonts w:ascii="Arial" w:cs="Arial" w:eastAsia="Arial" w:hAnsi="Arial"/>
                <w:sz w:val="18"/>
                <w:szCs w:val="18"/>
                <w:b w:val="1"/>
                <w:bCs w:val="1"/>
                <w:color w:val="auto"/>
                <w:w w:val="88"/>
              </w:rPr>
              <w:t>Interest Earning Assets</w:t>
            </w:r>
          </w:p>
        </w:tc>
        <w:tc>
          <w:tcPr>
            <w:tcW w:w="140" w:type="dxa"/>
            <w:vAlign w:val="bottom"/>
            <w:tcBorders>
              <w:top w:val="single" w:sz="8" w:color="auto"/>
            </w:tcBorders>
            <w:shd w:val="clear" w:color="auto" w:fill="EEEEEE"/>
          </w:tcPr>
          <w:p>
            <w:pPr>
              <w:spacing w:after="0"/>
              <w:rPr>
                <w:sz w:val="14"/>
                <w:szCs w:val="14"/>
                <w:color w:val="auto"/>
              </w:rPr>
            </w:pPr>
          </w:p>
        </w:tc>
        <w:tc>
          <w:tcPr>
            <w:tcW w:w="90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8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260" w:type="dxa"/>
            <w:vAlign w:val="bottom"/>
            <w:tcBorders>
              <w:top w:val="single" w:sz="8" w:color="EEEEEE"/>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880" w:type="dxa"/>
            <w:vAlign w:val="bottom"/>
            <w:tcBorders>
              <w:top w:val="single" w:sz="8" w:color="auto"/>
            </w:tcBorders>
            <w:shd w:val="clear" w:color="auto" w:fill="EEEEEE"/>
          </w:tcPr>
          <w:p>
            <w:pPr>
              <w:spacing w:after="0"/>
              <w:rPr>
                <w:sz w:val="14"/>
                <w:szCs w:val="14"/>
                <w:color w:val="auto"/>
              </w:rPr>
            </w:pPr>
          </w:p>
        </w:tc>
        <w:tc>
          <w:tcPr>
            <w:tcW w:w="20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2,162,357</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303,748</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18.7%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1,771,237</w:t>
            </w:r>
          </w:p>
        </w:tc>
        <w:tc>
          <w:tcPr>
            <w:tcW w:w="2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257,843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5"/>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85,364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6,777</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58,974</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4,376</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7,811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11,512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1,111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2,046,847</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49,867</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1,668,934</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35,012</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480" w:type="dxa"/>
            <w:vAlign w:val="bottom"/>
            <w:gridSpan w:val="3"/>
            <w:vMerge w:val="restart"/>
            <w:shd w:val="clear" w:color="auto" w:fill="EEEEEE"/>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vMerge w:val="restart"/>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7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8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2,155,177</w:t>
            </w:r>
          </w:p>
        </w:tc>
        <w:tc>
          <w:tcPr>
            <w:tcW w:w="1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980" w:type="dxa"/>
            <w:vAlign w:val="bottom"/>
            <w:tcBorders>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58,442</w:t>
            </w:r>
          </w:p>
        </w:tc>
        <w:tc>
          <w:tcPr>
            <w:tcW w:w="1480" w:type="dxa"/>
            <w:vAlign w:val="bottom"/>
            <w:tcBorders>
              <w:bottom w:val="single" w:sz="8" w:color="EEEEEE"/>
            </w:tcBorders>
            <w:gridSpan w:val="3"/>
            <w:vMerge w:val="continue"/>
            <w:shd w:val="clear" w:color="auto" w:fill="EEEEEE"/>
          </w:tcPr>
          <w:p>
            <w:pPr>
              <w:spacing w:after="0"/>
              <w:rPr>
                <w:sz w:val="19"/>
                <w:szCs w:val="19"/>
                <w:color w:val="auto"/>
              </w:rPr>
            </w:pPr>
          </w:p>
        </w:tc>
        <w:tc>
          <w:tcPr>
            <w:tcW w:w="180" w:type="dxa"/>
            <w:vAlign w:val="bottom"/>
            <w:tcBorders>
              <w:bottom w:val="single" w:sz="8" w:color="EEEEEE"/>
            </w:tcBorders>
            <w:vMerge w:val="continue"/>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1,754,521</w:t>
            </w: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1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41,709</w:t>
            </w:r>
          </w:p>
        </w:tc>
        <w:tc>
          <w:tcPr>
            <w:tcW w:w="1120" w:type="dxa"/>
            <w:vAlign w:val="bottom"/>
            <w:tcBorders>
              <w:bottom w:val="single" w:sz="8" w:color="EEEEEE"/>
            </w:tcBorders>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6"/>
            <w:vMerge w:val="restart"/>
          </w:tcPr>
          <w:p>
            <w:pPr>
              <w:spacing w:after="0"/>
              <w:rPr>
                <w:sz w:val="20"/>
                <w:szCs w:val="20"/>
                <w:color w:val="auto"/>
              </w:rPr>
            </w:pPr>
            <w:r>
              <w:rPr>
                <w:rFonts w:ascii="Arial" w:cs="Arial" w:eastAsia="Arial" w:hAnsi="Arial"/>
                <w:sz w:val="18"/>
                <w:szCs w:val="18"/>
                <w:color w:val="auto"/>
              </w:rPr>
              <w:t>Net interest income/spread</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40" w:type="dxa"/>
            <w:vAlign w:val="bottom"/>
            <w:gridSpan w:val="6"/>
            <w:vMerge w:val="continue"/>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245,306</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216,134</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20" w:type="dxa"/>
            <w:vAlign w:val="bottom"/>
            <w:tcBorders>
              <w:top w:val="single" w:sz="8" w:color="EEEEEE"/>
            </w:tcBorders>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140" w:type="dxa"/>
            <w:vAlign w:val="bottom"/>
            <w:tcBorders>
              <w:top w:val="single" w:sz="8" w:color="EEEEEE"/>
            </w:tcBorders>
            <w:shd w:val="clear" w:color="auto" w:fill="EEEEEE"/>
          </w:tcPr>
          <w:p>
            <w:pPr>
              <w:spacing w:after="0"/>
              <w:rPr>
                <w:sz w:val="17"/>
                <w:szCs w:val="17"/>
                <w:color w:val="auto"/>
              </w:rPr>
            </w:pPr>
          </w:p>
        </w:tc>
        <w:tc>
          <w:tcPr>
            <w:tcW w:w="90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480" w:type="dxa"/>
            <w:vAlign w:val="bottom"/>
            <w:tcBorders>
              <w:top w:val="single" w:sz="8" w:color="EEEEEE"/>
            </w:tcBorders>
            <w:gridSpan w:val="3"/>
            <w:shd w:val="clear" w:color="auto" w:fill="EEEEEE"/>
          </w:tcPr>
          <w:p>
            <w:pPr>
              <w:jc w:val="right"/>
              <w:ind w:right="180"/>
              <w:spacing w:after="0" w:line="196" w:lineRule="exact"/>
              <w:rPr>
                <w:sz w:val="20"/>
                <w:szCs w:val="20"/>
                <w:color w:val="auto"/>
              </w:rPr>
            </w:pPr>
            <w:r>
              <w:rPr>
                <w:rFonts w:ascii="Arial" w:cs="Arial" w:eastAsia="Arial" w:hAnsi="Arial"/>
                <w:sz w:val="18"/>
                <w:szCs w:val="18"/>
                <w:color w:val="auto"/>
              </w:rPr>
              <w:t>15.1%</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8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8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5"/>
          </w:tcPr>
          <w:p>
            <w:pPr>
              <w:spacing w:after="0" w:line="201" w:lineRule="exact"/>
              <w:rPr>
                <w:sz w:val="20"/>
                <w:szCs w:val="20"/>
                <w:color w:val="auto"/>
              </w:rPr>
            </w:pPr>
            <w:r>
              <w:rPr>
                <w:rFonts w:ascii="Arial" w:cs="Arial" w:eastAsia="Arial" w:hAnsi="Arial"/>
                <w:sz w:val="18"/>
                <w:szCs w:val="18"/>
                <w:color w:val="auto"/>
              </w:rPr>
              <w:t>Ratio of average interest earning assets to</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Arial" w:cs="Arial" w:eastAsia="Arial" w:hAnsi="Arial"/>
                <w:sz w:val="18"/>
                <w:szCs w:val="18"/>
                <w:color w:val="auto"/>
              </w:rPr>
              <w:t>average interest bearing liabilities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240" w:hanging="232"/>
        <w:spacing w:after="0" w:line="221"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240" w:hanging="232"/>
        <w:spacing w:after="0" w:line="221"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Interest expense includes deferred financing costs and non-utilization fees.</w:t>
      </w:r>
    </w:p>
    <w:p>
      <w:pPr>
        <w:ind w:left="240" w:hanging="232"/>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Annualized net interest income divided by average interest earning assets.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20" w:type="dxa"/>
            <w:vAlign w:val="bottom"/>
            <w:gridSpan w:val="10"/>
          </w:tcPr>
          <w:p>
            <w:pPr>
              <w:jc w:val="center"/>
              <w:ind w:right="280"/>
              <w:spacing w:after="0"/>
              <w:rPr>
                <w:sz w:val="20"/>
                <w:szCs w:val="20"/>
                <w:color w:val="auto"/>
              </w:rPr>
            </w:pPr>
            <w:r>
              <w:rPr>
                <w:rFonts w:ascii="Arial" w:cs="Arial" w:eastAsia="Arial" w:hAnsi="Arial"/>
                <w:sz w:val="18"/>
                <w:szCs w:val="18"/>
                <w:b w:val="1"/>
                <w:bCs w:val="1"/>
                <w:color w:val="auto"/>
                <w:w w:val="90"/>
              </w:rPr>
              <w:t>Nine Months Ended September 30, 2016</w:t>
            </w:r>
          </w:p>
        </w:tc>
        <w:tc>
          <w:tcPr>
            <w:tcW w:w="0" w:type="dxa"/>
            <w:vAlign w:val="bottom"/>
          </w:tcPr>
          <w:p>
            <w:pPr>
              <w:spacing w:after="0"/>
              <w:rPr>
                <w:sz w:val="1"/>
                <w:szCs w:val="1"/>
                <w:color w:val="auto"/>
              </w:rPr>
            </w:pPr>
          </w:p>
        </w:tc>
      </w:tr>
      <w:tr>
        <w:trPr>
          <w:trHeight w:val="234"/>
        </w:trPr>
        <w:tc>
          <w:tcPr>
            <w:tcW w:w="1560" w:type="dxa"/>
            <w:vAlign w:val="bottom"/>
            <w:gridSpan w:val="2"/>
            <w:vMerge w:val="restart"/>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8"/>
                <w:szCs w:val="18"/>
                <w:b w:val="1"/>
                <w:bCs w:val="1"/>
                <w:color w:val="auto"/>
                <w:w w:val="90"/>
              </w:rPr>
              <w:t>Compared to September 30, 2015</w:t>
            </w:r>
          </w:p>
        </w:tc>
        <w:tc>
          <w:tcPr>
            <w:tcW w:w="0" w:type="dxa"/>
            <w:vAlign w:val="bottom"/>
          </w:tcPr>
          <w:p>
            <w:pPr>
              <w:spacing w:after="0"/>
              <w:rPr>
                <w:sz w:val="1"/>
                <w:szCs w:val="1"/>
                <w:color w:val="auto"/>
              </w:rPr>
            </w:pPr>
          </w:p>
        </w:tc>
      </w:tr>
      <w:tr>
        <w:trPr>
          <w:trHeight w:val="205"/>
        </w:trPr>
        <w:tc>
          <w:tcPr>
            <w:tcW w:w="15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62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97"/>
              </w:rPr>
              <w:t>Change Due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Change</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to Volume</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680" w:type="dxa"/>
            <w:vAlign w:val="bottom"/>
            <w:tcBorders>
              <w:bottom w:val="single" w:sz="8" w:color="EEEEEE"/>
            </w:tcBorders>
            <w:gridSpan w:val="2"/>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0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rPr>
              <w:t>Finance receivables gross</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45,905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60,405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20" w:type="dxa"/>
            <w:vAlign w:val="bottom"/>
            <w:gridSpan w:val="4"/>
          </w:tcPr>
          <w:p>
            <w:pPr>
              <w:jc w:val="center"/>
              <w:ind w:right="15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2,401</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14,855</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5,677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16,733</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7,202</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9,531</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29,172</w:t>
            </w:r>
          </w:p>
        </w:tc>
        <w:tc>
          <w:tcPr>
            <w:tcW w:w="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53,203</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nine months ended September 30, 2016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 for credit losses was $134.9 million for the nine months ended September 30, 2016, an increase of $28.3 million, or 26.6% compared to the prior year and represented 47.7%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$617,000, or 4.7%, to $13.9 million during the nine months ended September 30, 2016, compared to $13.2 million in the prior year period, and represented 5.0% of total operating expenses. For the nine months ended September 30, 2016, we purchased 53,244 contracts representing $873.5 million in receivables compared to 48,046 contracts representing $791.3 million in receivables in the prior year.</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Occupancy expenses increased by $658,000 or 22.3%, to $3.6 million compared to $3.0 million in the previous year and represented 1.3% of total operating expenses. In July 2015, we entered into a lease for additional office space in Irvine, California. We then occupied that space, and incurred incremental occupancy expense, in phases. The first phase was in July 2015 and the second and final phase was in April 2016.</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$97,000 or 20.5%, to $568,000 compared to $471,000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nine months ended September 30, 2016, we recorded income tax expense of $15.2 million, representing a 41.0% effective income tax rate. In the prior year period, we recorded $19.9 million in income tax expense, representing a 43.6%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entered into a consent decree with the FTC that required us to make certain procedural changes in our servicing practices, which we believe have contributed to somewhat higher delinquencies and extensions compared to prior periods.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14"/>
                <w:szCs w:val="14"/>
                <w:color w:val="auto"/>
              </w:rPr>
            </w:pPr>
          </w:p>
        </w:tc>
        <w:tc>
          <w:tcPr>
            <w:tcW w:w="28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4"/>
                <w:szCs w:val="14"/>
                <w:color w:val="auto"/>
              </w:rPr>
            </w:pPr>
          </w:p>
        </w:tc>
        <w:tc>
          <w:tcPr>
            <w:tcW w:w="2600" w:type="dxa"/>
            <w:vAlign w:val="bottom"/>
            <w:gridSpan w:val="7"/>
          </w:tcPr>
          <w:p>
            <w:pPr>
              <w:ind w:left="6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Contracts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5"/>
          </w:tcPr>
          <w:p>
            <w:pPr>
              <w:ind w:left="4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Delinquency Experience</w:t>
            </w: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Gross servicing portfolio (1)</w:t>
            </w:r>
          </w:p>
        </w:tc>
        <w:tc>
          <w:tcPr>
            <w:tcW w:w="15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167,629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2,291,854</w:t>
            </w:r>
          </w:p>
        </w:tc>
        <w:tc>
          <w:tcPr>
            <w:tcW w:w="360" w:type="dxa"/>
            <w:vAlign w:val="bottom"/>
          </w:tcPr>
          <w:p>
            <w:pPr>
              <w:spacing w:after="0"/>
              <w:rPr>
                <w:sz w:val="12"/>
                <w:szCs w:val="12"/>
                <w:color w:val="auto"/>
              </w:rPr>
            </w:pPr>
          </w:p>
        </w:tc>
        <w:tc>
          <w:tcPr>
            <w:tcW w:w="14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142,913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1,940,311</w:t>
            </w:r>
          </w:p>
        </w:tc>
        <w:tc>
          <w:tcPr>
            <w:tcW w:w="14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149,138</w:t>
            </w:r>
          </w:p>
        </w:tc>
        <w:tc>
          <w:tcPr>
            <w:tcW w:w="200" w:type="dxa"/>
            <w:vAlign w:val="bottom"/>
            <w:gridSpan w:val="2"/>
          </w:tcPr>
          <w:p>
            <w:pPr>
              <w:jc w:val="right"/>
              <w:ind w:right="114"/>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2,031,099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Period of delinquency (2)</w:t>
            </w: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00"/>
              <w:spacing w:after="0" w:line="149" w:lineRule="exact"/>
              <w:rPr>
                <w:sz w:val="20"/>
                <w:szCs w:val="20"/>
                <w:color w:val="auto"/>
              </w:rPr>
            </w:pPr>
            <w:r>
              <w:rPr>
                <w:rFonts w:ascii="Arial" w:cs="Arial" w:eastAsia="Arial" w:hAnsi="Arial"/>
                <w:sz w:val="14"/>
                <w:szCs w:val="14"/>
                <w:color w:val="auto"/>
              </w:rPr>
              <w:t>31-60 days</w:t>
            </w:r>
          </w:p>
        </w:tc>
        <w:tc>
          <w:tcPr>
            <w:tcW w:w="15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8,843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119,283</w:t>
            </w:r>
          </w:p>
        </w:tc>
        <w:tc>
          <w:tcPr>
            <w:tcW w:w="14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5,504</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69,608</w:t>
            </w:r>
          </w:p>
        </w:tc>
        <w:tc>
          <w:tcPr>
            <w:tcW w:w="14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5,375</w:t>
            </w:r>
          </w:p>
        </w:tc>
        <w:tc>
          <w:tcPr>
            <w:tcW w:w="200" w:type="dxa"/>
            <w:vAlign w:val="bottom"/>
            <w:gridSpan w:val="2"/>
          </w:tcPr>
          <w:p>
            <w:pPr>
              <w:jc w:val="right"/>
              <w:ind w:right="114"/>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70,041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61-90 days</w:t>
            </w:r>
          </w:p>
        </w:tc>
        <w:tc>
          <w:tcPr>
            <w:tcW w:w="1520" w:type="dxa"/>
            <w:vAlign w:val="bottom"/>
            <w:gridSpan w:val="3"/>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3,882</w:t>
            </w:r>
          </w:p>
        </w:tc>
        <w:tc>
          <w:tcPr>
            <w:tcW w:w="200" w:type="dxa"/>
            <w:vAlign w:val="bottom"/>
            <w:shd w:val="clear" w:color="auto" w:fill="EEEEEE"/>
          </w:tcPr>
          <w:p>
            <w:pPr>
              <w:spacing w:after="0"/>
              <w:rPr>
                <w:sz w:val="12"/>
                <w:szCs w:val="12"/>
                <w:color w:val="auto"/>
              </w:rPr>
            </w:pPr>
          </w:p>
        </w:tc>
        <w:tc>
          <w:tcPr>
            <w:tcW w:w="132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50,248</w:t>
            </w:r>
          </w:p>
        </w:tc>
        <w:tc>
          <w:tcPr>
            <w:tcW w:w="1480" w:type="dxa"/>
            <w:vAlign w:val="bottom"/>
            <w:gridSpan w:val="3"/>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3,129</w:t>
            </w:r>
          </w:p>
        </w:tc>
        <w:tc>
          <w:tcPr>
            <w:tcW w:w="20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38,940</w:t>
            </w:r>
          </w:p>
        </w:tc>
        <w:tc>
          <w:tcPr>
            <w:tcW w:w="1460" w:type="dxa"/>
            <w:vAlign w:val="bottom"/>
            <w:gridSpan w:val="3"/>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3,140</w:t>
            </w: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41,142</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91+ days</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2,780</w:t>
            </w:r>
          </w:p>
        </w:tc>
        <w:tc>
          <w:tcPr>
            <w:tcW w:w="2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36,277</w:t>
            </w:r>
          </w:p>
        </w:tc>
        <w:tc>
          <w:tcPr>
            <w:tcW w:w="1480" w:type="dxa"/>
            <w:vAlign w:val="bottom"/>
            <w:gridSpan w:val="3"/>
          </w:tcPr>
          <w:p>
            <w:pPr>
              <w:jc w:val="right"/>
              <w:ind w:right="320"/>
              <w:spacing w:after="0"/>
              <w:rPr>
                <w:sz w:val="20"/>
                <w:szCs w:val="20"/>
                <w:color w:val="auto"/>
              </w:rPr>
            </w:pPr>
            <w:r>
              <w:rPr>
                <w:rFonts w:ascii="Arial" w:cs="Arial" w:eastAsia="Arial" w:hAnsi="Arial"/>
                <w:sz w:val="14"/>
                <w:szCs w:val="14"/>
                <w:color w:val="auto"/>
              </w:rPr>
              <w:t>2,456</w:t>
            </w: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33,124</w:t>
            </w:r>
          </w:p>
        </w:tc>
        <w:tc>
          <w:tcPr>
            <w:tcW w:w="1460" w:type="dxa"/>
            <w:vAlign w:val="bottom"/>
            <w:gridSpan w:val="3"/>
          </w:tcPr>
          <w:p>
            <w:pPr>
              <w:jc w:val="right"/>
              <w:ind w:right="320"/>
              <w:spacing w:after="0"/>
              <w:rPr>
                <w:sz w:val="20"/>
                <w:szCs w:val="20"/>
                <w:color w:val="auto"/>
              </w:rPr>
            </w:pPr>
            <w:r>
              <w:rPr>
                <w:rFonts w:ascii="Arial" w:cs="Arial" w:eastAsia="Arial" w:hAnsi="Arial"/>
                <w:sz w:val="14"/>
                <w:szCs w:val="14"/>
                <w:color w:val="auto"/>
              </w:rPr>
              <w:t>3,364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43,484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Total delinquencies (2)</w:t>
            </w:r>
          </w:p>
        </w:tc>
        <w:tc>
          <w:tcPr>
            <w:tcW w:w="118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15,505</w:t>
            </w:r>
          </w:p>
        </w:tc>
        <w:tc>
          <w:tcPr>
            <w:tcW w:w="34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205,808</w:t>
            </w:r>
          </w:p>
        </w:tc>
        <w:tc>
          <w:tcPr>
            <w:tcW w:w="360" w:type="dxa"/>
            <w:vAlign w:val="bottom"/>
            <w:tcBorders>
              <w:top w:val="single" w:sz="8" w:color="EEEEEE"/>
            </w:tcBorders>
            <w:shd w:val="clear" w:color="auto" w:fill="EEEEEE"/>
          </w:tcPr>
          <w:p>
            <w:pPr>
              <w:spacing w:after="0"/>
              <w:rPr>
                <w:sz w:val="12"/>
                <w:szCs w:val="12"/>
                <w:color w:val="auto"/>
              </w:rPr>
            </w:pPr>
          </w:p>
        </w:tc>
        <w:tc>
          <w:tcPr>
            <w:tcW w:w="116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11,089</w:t>
            </w:r>
          </w:p>
        </w:tc>
        <w:tc>
          <w:tcPr>
            <w:tcW w:w="3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141,672</w:t>
            </w:r>
          </w:p>
        </w:tc>
        <w:tc>
          <w:tcPr>
            <w:tcW w:w="32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11,879</w:t>
            </w:r>
          </w:p>
        </w:tc>
        <w:tc>
          <w:tcPr>
            <w:tcW w:w="320" w:type="dxa"/>
            <w:vAlign w:val="bottom"/>
            <w:tcBorders>
              <w:top w:val="single" w:sz="8" w:color="EEEEEE"/>
            </w:tcBorders>
            <w:shd w:val="clear" w:color="auto" w:fill="EEEEEE"/>
          </w:tcPr>
          <w:p>
            <w:pPr>
              <w:spacing w:after="0"/>
              <w:rPr>
                <w:sz w:val="12"/>
                <w:szCs w:val="12"/>
                <w:color w:val="auto"/>
              </w:rPr>
            </w:pPr>
          </w:p>
        </w:tc>
        <w:tc>
          <w:tcPr>
            <w:tcW w:w="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154,667</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Amount in repossession (3)</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2,632</w:t>
            </w:r>
          </w:p>
        </w:tc>
        <w:tc>
          <w:tcPr>
            <w:tcW w:w="2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33,837</w:t>
            </w:r>
          </w:p>
        </w:tc>
        <w:tc>
          <w:tcPr>
            <w:tcW w:w="1480" w:type="dxa"/>
            <w:vAlign w:val="bottom"/>
            <w:gridSpan w:val="3"/>
          </w:tcPr>
          <w:p>
            <w:pPr>
              <w:jc w:val="right"/>
              <w:ind w:right="320"/>
              <w:spacing w:after="0"/>
              <w:rPr>
                <w:sz w:val="20"/>
                <w:szCs w:val="20"/>
                <w:color w:val="auto"/>
              </w:rPr>
            </w:pPr>
            <w:r>
              <w:rPr>
                <w:rFonts w:ascii="Arial" w:cs="Arial" w:eastAsia="Arial" w:hAnsi="Arial"/>
                <w:sz w:val="14"/>
                <w:szCs w:val="14"/>
                <w:color w:val="auto"/>
              </w:rPr>
              <w:t>2,335</w:t>
            </w: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29,247</w:t>
            </w:r>
          </w:p>
        </w:tc>
        <w:tc>
          <w:tcPr>
            <w:tcW w:w="1460" w:type="dxa"/>
            <w:vAlign w:val="bottom"/>
            <w:gridSpan w:val="3"/>
          </w:tcPr>
          <w:p>
            <w:pPr>
              <w:jc w:val="right"/>
              <w:ind w:right="320"/>
              <w:spacing w:after="0"/>
              <w:rPr>
                <w:sz w:val="20"/>
                <w:szCs w:val="20"/>
                <w:color w:val="auto"/>
              </w:rPr>
            </w:pPr>
            <w:r>
              <w:rPr>
                <w:rFonts w:ascii="Arial" w:cs="Arial" w:eastAsia="Arial" w:hAnsi="Arial"/>
                <w:sz w:val="14"/>
                <w:szCs w:val="14"/>
                <w:color w:val="auto"/>
              </w:rPr>
              <w:t>3,138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38,939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Borders>
              <w:top w:val="single" w:sz="8" w:color="EEEEEE"/>
            </w:tcBorders>
            <w:shd w:val="clear" w:color="auto" w:fill="EEEEEE"/>
          </w:tcPr>
          <w:p>
            <w:pPr>
              <w:spacing w:after="0" w:line="110" w:lineRule="exact"/>
              <w:rPr>
                <w:sz w:val="20"/>
                <w:szCs w:val="20"/>
                <w:color w:val="auto"/>
              </w:rPr>
            </w:pPr>
            <w:r>
              <w:rPr>
                <w:rFonts w:ascii="Arial" w:cs="Arial" w:eastAsia="Arial" w:hAnsi="Arial"/>
                <w:sz w:val="12"/>
                <w:szCs w:val="12"/>
                <w:color w:val="auto"/>
              </w:rPr>
              <w:t>Total delinquencies and amount in</w:t>
            </w:r>
          </w:p>
        </w:tc>
        <w:tc>
          <w:tcPr>
            <w:tcW w:w="140" w:type="dxa"/>
            <w:vAlign w:val="bottom"/>
            <w:tcBorders>
              <w:top w:val="single" w:sz="8" w:color="auto"/>
            </w:tcBorders>
            <w:shd w:val="clear" w:color="auto" w:fill="EEEEEE"/>
          </w:tcPr>
          <w:p>
            <w:pPr>
              <w:spacing w:after="0"/>
              <w:rPr>
                <w:sz w:val="9"/>
                <w:szCs w:val="9"/>
                <w:color w:val="auto"/>
              </w:rPr>
            </w:pPr>
          </w:p>
        </w:tc>
        <w:tc>
          <w:tcPr>
            <w:tcW w:w="1040" w:type="dxa"/>
            <w:vAlign w:val="bottom"/>
            <w:tcBorders>
              <w:top w:val="single" w:sz="8" w:color="auto"/>
            </w:tcBorders>
            <w:shd w:val="clear" w:color="auto" w:fill="EEEEEE"/>
          </w:tcPr>
          <w:p>
            <w:pPr>
              <w:spacing w:after="0"/>
              <w:rPr>
                <w:sz w:val="9"/>
                <w:szCs w:val="9"/>
                <w:color w:val="auto"/>
              </w:rPr>
            </w:pPr>
          </w:p>
        </w:tc>
        <w:tc>
          <w:tcPr>
            <w:tcW w:w="340" w:type="dxa"/>
            <w:vAlign w:val="bottom"/>
            <w:tcBorders>
              <w:top w:val="single" w:sz="8" w:color="EEEEEE"/>
            </w:tcBorders>
            <w:shd w:val="clear" w:color="auto" w:fill="EEEEEE"/>
          </w:tcPr>
          <w:p>
            <w:pPr>
              <w:spacing w:after="0"/>
              <w:rPr>
                <w:sz w:val="9"/>
                <w:szCs w:val="9"/>
                <w:color w:val="auto"/>
              </w:rPr>
            </w:pPr>
          </w:p>
        </w:tc>
        <w:tc>
          <w:tcPr>
            <w:tcW w:w="200" w:type="dxa"/>
            <w:vAlign w:val="bottom"/>
            <w:tcBorders>
              <w:top w:val="single" w:sz="8" w:color="auto"/>
            </w:tcBorders>
            <w:shd w:val="clear" w:color="auto" w:fill="EEEEEE"/>
          </w:tcPr>
          <w:p>
            <w:pPr>
              <w:spacing w:after="0"/>
              <w:rPr>
                <w:sz w:val="9"/>
                <w:szCs w:val="9"/>
                <w:color w:val="auto"/>
              </w:rPr>
            </w:pPr>
          </w:p>
        </w:tc>
        <w:tc>
          <w:tcPr>
            <w:tcW w:w="960" w:type="dxa"/>
            <w:vAlign w:val="bottom"/>
            <w:tcBorders>
              <w:top w:val="single" w:sz="8" w:color="auto"/>
            </w:tcBorders>
            <w:shd w:val="clear" w:color="auto" w:fill="EEEEEE"/>
          </w:tcPr>
          <w:p>
            <w:pPr>
              <w:spacing w:after="0"/>
              <w:rPr>
                <w:sz w:val="9"/>
                <w:szCs w:val="9"/>
                <w:color w:val="auto"/>
              </w:rPr>
            </w:pPr>
          </w:p>
        </w:tc>
        <w:tc>
          <w:tcPr>
            <w:tcW w:w="360" w:type="dxa"/>
            <w:vAlign w:val="bottom"/>
            <w:tcBorders>
              <w:top w:val="single" w:sz="8" w:color="EEEEEE"/>
            </w:tcBorders>
            <w:shd w:val="clear" w:color="auto" w:fill="EEEEEE"/>
          </w:tcPr>
          <w:p>
            <w:pPr>
              <w:spacing w:after="0"/>
              <w:rPr>
                <w:sz w:val="9"/>
                <w:szCs w:val="9"/>
                <w:color w:val="auto"/>
              </w:rPr>
            </w:pPr>
          </w:p>
        </w:tc>
        <w:tc>
          <w:tcPr>
            <w:tcW w:w="120" w:type="dxa"/>
            <w:vAlign w:val="bottom"/>
            <w:tcBorders>
              <w:top w:val="single" w:sz="8" w:color="auto"/>
            </w:tcBorders>
            <w:shd w:val="clear" w:color="auto" w:fill="EEEEEE"/>
          </w:tcPr>
          <w:p>
            <w:pPr>
              <w:spacing w:after="0"/>
              <w:rPr>
                <w:sz w:val="9"/>
                <w:szCs w:val="9"/>
                <w:color w:val="auto"/>
              </w:rPr>
            </w:pPr>
          </w:p>
        </w:tc>
        <w:tc>
          <w:tcPr>
            <w:tcW w:w="1040" w:type="dxa"/>
            <w:vAlign w:val="bottom"/>
            <w:tcBorders>
              <w:top w:val="single" w:sz="8" w:color="auto"/>
            </w:tcBorders>
            <w:shd w:val="clear" w:color="auto" w:fill="EEEEEE"/>
          </w:tcPr>
          <w:p>
            <w:pPr>
              <w:spacing w:after="0"/>
              <w:rPr>
                <w:sz w:val="9"/>
                <w:szCs w:val="9"/>
                <w:color w:val="auto"/>
              </w:rPr>
            </w:pPr>
          </w:p>
        </w:tc>
        <w:tc>
          <w:tcPr>
            <w:tcW w:w="320" w:type="dxa"/>
            <w:vAlign w:val="bottom"/>
            <w:tcBorders>
              <w:top w:val="single" w:sz="8" w:color="EEEEEE"/>
            </w:tcBorders>
            <w:shd w:val="clear" w:color="auto" w:fill="EEEEEE"/>
          </w:tcPr>
          <w:p>
            <w:pPr>
              <w:spacing w:after="0"/>
              <w:rPr>
                <w:sz w:val="9"/>
                <w:szCs w:val="9"/>
                <w:color w:val="auto"/>
              </w:rPr>
            </w:pPr>
          </w:p>
        </w:tc>
        <w:tc>
          <w:tcPr>
            <w:tcW w:w="200" w:type="dxa"/>
            <w:vAlign w:val="bottom"/>
            <w:tcBorders>
              <w:top w:val="single" w:sz="8" w:color="auto"/>
            </w:tcBorders>
            <w:shd w:val="clear" w:color="auto" w:fill="EEEEEE"/>
          </w:tcPr>
          <w:p>
            <w:pPr>
              <w:spacing w:after="0"/>
              <w:rPr>
                <w:sz w:val="9"/>
                <w:szCs w:val="9"/>
                <w:color w:val="auto"/>
              </w:rPr>
            </w:pPr>
          </w:p>
        </w:tc>
        <w:tc>
          <w:tcPr>
            <w:tcW w:w="940" w:type="dxa"/>
            <w:vAlign w:val="bottom"/>
            <w:tcBorders>
              <w:top w:val="single" w:sz="8" w:color="auto"/>
            </w:tcBorders>
            <w:shd w:val="clear" w:color="auto" w:fill="EEEEEE"/>
          </w:tcPr>
          <w:p>
            <w:pPr>
              <w:spacing w:after="0"/>
              <w:rPr>
                <w:sz w:val="9"/>
                <w:szCs w:val="9"/>
                <w:color w:val="auto"/>
              </w:rPr>
            </w:pPr>
          </w:p>
        </w:tc>
        <w:tc>
          <w:tcPr>
            <w:tcW w:w="320" w:type="dxa"/>
            <w:vAlign w:val="bottom"/>
            <w:tcBorders>
              <w:top w:val="single" w:sz="8" w:color="EEEEEE"/>
            </w:tcBorders>
            <w:shd w:val="clear" w:color="auto" w:fill="EEEEEE"/>
          </w:tcPr>
          <w:p>
            <w:pPr>
              <w:spacing w:after="0"/>
              <w:rPr>
                <w:sz w:val="9"/>
                <w:szCs w:val="9"/>
                <w:color w:val="auto"/>
              </w:rPr>
            </w:pPr>
          </w:p>
        </w:tc>
        <w:tc>
          <w:tcPr>
            <w:tcW w:w="100" w:type="dxa"/>
            <w:vAlign w:val="bottom"/>
            <w:tcBorders>
              <w:top w:val="single" w:sz="8" w:color="auto"/>
            </w:tcBorders>
            <w:shd w:val="clear" w:color="auto" w:fill="EEEEEE"/>
          </w:tcPr>
          <w:p>
            <w:pPr>
              <w:spacing w:after="0"/>
              <w:rPr>
                <w:sz w:val="9"/>
                <w:szCs w:val="9"/>
                <w:color w:val="auto"/>
              </w:rPr>
            </w:pPr>
          </w:p>
        </w:tc>
        <w:tc>
          <w:tcPr>
            <w:tcW w:w="1040" w:type="dxa"/>
            <w:vAlign w:val="bottom"/>
            <w:tcBorders>
              <w:top w:val="single" w:sz="8" w:color="auto"/>
            </w:tcBorders>
            <w:shd w:val="clear" w:color="auto" w:fill="EEEEEE"/>
          </w:tcPr>
          <w:p>
            <w:pPr>
              <w:spacing w:after="0"/>
              <w:rPr>
                <w:sz w:val="9"/>
                <w:szCs w:val="9"/>
                <w:color w:val="auto"/>
              </w:rPr>
            </w:pPr>
          </w:p>
        </w:tc>
        <w:tc>
          <w:tcPr>
            <w:tcW w:w="320" w:type="dxa"/>
            <w:vAlign w:val="bottom"/>
            <w:tcBorders>
              <w:top w:val="single" w:sz="8" w:color="EEEEEE"/>
            </w:tcBorders>
            <w:shd w:val="clear" w:color="auto" w:fill="EEEEEE"/>
          </w:tcPr>
          <w:p>
            <w:pPr>
              <w:spacing w:after="0"/>
              <w:rPr>
                <w:sz w:val="9"/>
                <w:szCs w:val="9"/>
                <w:color w:val="auto"/>
              </w:rPr>
            </w:pPr>
          </w:p>
        </w:tc>
        <w:tc>
          <w:tcPr>
            <w:tcW w:w="20" w:type="dxa"/>
            <w:vAlign w:val="bottom"/>
            <w:tcBorders>
              <w:top w:val="single" w:sz="8" w:color="EEEEEE"/>
            </w:tcBorders>
            <w:shd w:val="clear" w:color="auto" w:fill="EEEEEE"/>
          </w:tcPr>
          <w:p>
            <w:pPr>
              <w:spacing w:after="0"/>
              <w:rPr>
                <w:sz w:val="9"/>
                <w:szCs w:val="9"/>
                <w:color w:val="auto"/>
              </w:rPr>
            </w:pPr>
          </w:p>
        </w:tc>
        <w:tc>
          <w:tcPr>
            <w:tcW w:w="180" w:type="dxa"/>
            <w:vAlign w:val="bottom"/>
            <w:tcBorders>
              <w:top w:val="single" w:sz="8" w:color="auto"/>
            </w:tcBorders>
            <w:shd w:val="clear" w:color="auto" w:fill="EEEEEE"/>
          </w:tcPr>
          <w:p>
            <w:pPr>
              <w:spacing w:after="0"/>
              <w:rPr>
                <w:sz w:val="9"/>
                <w:szCs w:val="9"/>
                <w:color w:val="auto"/>
              </w:rPr>
            </w:pPr>
          </w:p>
        </w:tc>
        <w:tc>
          <w:tcPr>
            <w:tcW w:w="940" w:type="dxa"/>
            <w:vAlign w:val="bottom"/>
            <w:tcBorders>
              <w:top w:val="single" w:sz="8" w:color="auto"/>
            </w:tcBorders>
            <w:shd w:val="clear" w:color="auto" w:fill="EEEEEE"/>
          </w:tcPr>
          <w:p>
            <w:pPr>
              <w:spacing w:after="0"/>
              <w:rPr>
                <w:sz w:val="9"/>
                <w:szCs w:val="9"/>
                <w:color w:val="auto"/>
              </w:rPr>
            </w:pPr>
          </w:p>
        </w:tc>
        <w:tc>
          <w:tcPr>
            <w:tcW w:w="20" w:type="dxa"/>
            <w:vAlign w:val="bottom"/>
            <w:tcBorders>
              <w:top w:val="single" w:sz="8" w:color="EEEEEE"/>
            </w:tcBorders>
            <w:shd w:val="clear" w:color="auto" w:fill="EEEEEE"/>
          </w:tcPr>
          <w:p>
            <w:pPr>
              <w:spacing w:after="0"/>
              <w:rPr>
                <w:sz w:val="9"/>
                <w:szCs w:val="9"/>
                <w:color w:val="auto"/>
              </w:rPr>
            </w:pPr>
          </w:p>
        </w:tc>
        <w:tc>
          <w:tcPr>
            <w:tcW w:w="80" w:type="dxa"/>
            <w:vAlign w:val="bottom"/>
            <w:tcBorders>
              <w:top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4"/>
                <w:szCs w:val="14"/>
                <w:color w:val="auto"/>
              </w:rPr>
              <w:t>repossession (2)</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18,137</w:t>
            </w: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jc w:val="right"/>
              <w:ind w:right="4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239,645</w:t>
            </w:r>
          </w:p>
        </w:tc>
        <w:tc>
          <w:tcPr>
            <w:tcW w:w="148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13,424</w:t>
            </w:r>
          </w:p>
        </w:tc>
        <w:tc>
          <w:tcPr>
            <w:tcW w:w="200" w:type="dxa"/>
            <w:vAlign w:val="bottom"/>
            <w:shd w:val="clear" w:color="auto" w:fill="EEEEEE"/>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170,919</w:t>
            </w:r>
          </w:p>
        </w:tc>
        <w:tc>
          <w:tcPr>
            <w:tcW w:w="146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15,017</w:t>
            </w:r>
          </w:p>
        </w:tc>
        <w:tc>
          <w:tcPr>
            <w:tcW w:w="200" w:type="dxa"/>
            <w:vAlign w:val="bottom"/>
            <w:gridSpan w:val="2"/>
            <w:shd w:val="clear" w:color="auto" w:fill="EEEEEE"/>
          </w:tcPr>
          <w:p>
            <w:pPr>
              <w:jc w:val="right"/>
              <w:ind w:right="114"/>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193,606</w:t>
            </w:r>
          </w:p>
        </w:tc>
        <w:tc>
          <w:tcPr>
            <w:tcW w:w="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Delinquencies as a percentage of 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60"/>
              <w:spacing w:after="0"/>
              <w:rPr>
                <w:sz w:val="20"/>
                <w:szCs w:val="20"/>
                <w:color w:val="auto"/>
              </w:rPr>
            </w:pPr>
            <w:r>
              <w:rPr>
                <w:rFonts w:ascii="Arial" w:cs="Arial" w:eastAsia="Arial" w:hAnsi="Arial"/>
                <w:sz w:val="14"/>
                <w:szCs w:val="14"/>
                <w:color w:val="auto"/>
              </w:rPr>
              <w:t>servicing portfolio</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9.0%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7.3%</w:t>
            </w:r>
          </w:p>
        </w:tc>
        <w:tc>
          <w:tcPr>
            <w:tcW w:w="1460" w:type="dxa"/>
            <w:vAlign w:val="bottom"/>
            <w:gridSpan w:val="3"/>
          </w:tcPr>
          <w:p>
            <w:pPr>
              <w:jc w:val="right"/>
              <w:ind w:right="320"/>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Total delinquencies and amount in</w:t>
            </w:r>
          </w:p>
        </w:tc>
        <w:tc>
          <w:tcPr>
            <w:tcW w:w="14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ind w:left="160"/>
              <w:spacing w:after="0" w:line="149" w:lineRule="exact"/>
              <w:rPr>
                <w:sz w:val="20"/>
                <w:szCs w:val="20"/>
                <w:color w:val="auto"/>
              </w:rPr>
            </w:pPr>
            <w:r>
              <w:rPr>
                <w:rFonts w:ascii="Arial" w:cs="Arial" w:eastAsia="Arial" w:hAnsi="Arial"/>
                <w:sz w:val="14"/>
                <w:szCs w:val="14"/>
                <w:color w:val="auto"/>
              </w:rPr>
              <w:t>repossession as a percentage of gross</w:t>
            </w: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4"/>
                <w:szCs w:val="14"/>
                <w:color w:val="auto"/>
              </w:rPr>
              <w:t>servicing portfolio</w:t>
            </w:r>
          </w:p>
        </w:tc>
        <w:tc>
          <w:tcPr>
            <w:tcW w:w="1520" w:type="dxa"/>
            <w:vAlign w:val="bottom"/>
            <w:gridSpan w:val="3"/>
            <w:shd w:val="clear" w:color="auto" w:fill="EEEEEE"/>
          </w:tcPr>
          <w:p>
            <w:pPr>
              <w:jc w:val="right"/>
              <w:ind w:right="340"/>
              <w:spacing w:after="0"/>
              <w:rPr>
                <w:sz w:val="20"/>
                <w:szCs w:val="20"/>
                <w:color w:val="auto"/>
              </w:rPr>
            </w:pPr>
            <w:r>
              <w:rPr>
                <w:rFonts w:ascii="Arial" w:cs="Arial" w:eastAsia="Arial" w:hAnsi="Arial"/>
                <w:sz w:val="14"/>
                <w:szCs w:val="14"/>
                <w:color w:val="auto"/>
              </w:rPr>
              <w:t>10.8%</w:t>
            </w:r>
          </w:p>
        </w:tc>
        <w:tc>
          <w:tcPr>
            <w:tcW w:w="20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10.5%</w:t>
            </w:r>
          </w:p>
        </w:tc>
        <w:tc>
          <w:tcPr>
            <w:tcW w:w="148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9.4%</w:t>
            </w:r>
          </w:p>
        </w:tc>
        <w:tc>
          <w:tcPr>
            <w:tcW w:w="200" w:type="dxa"/>
            <w:vAlign w:val="bottom"/>
            <w:shd w:val="clear" w:color="auto" w:fill="EEEEEE"/>
          </w:tcPr>
          <w:p>
            <w:pPr>
              <w:spacing w:after="0"/>
              <w:rPr>
                <w:sz w:val="14"/>
                <w:szCs w:val="14"/>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8.8%</w:t>
            </w:r>
          </w:p>
        </w:tc>
        <w:tc>
          <w:tcPr>
            <w:tcW w:w="146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10.1%</w:t>
            </w:r>
          </w:p>
        </w:tc>
        <w:tc>
          <w:tcPr>
            <w:tcW w:w="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9.5%</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Extension Experience</w:t>
            </w: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Contracts with one extension, accruing (4)</w:t>
            </w:r>
          </w:p>
        </w:tc>
        <w:tc>
          <w:tcPr>
            <w:tcW w:w="15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31,213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431,533</w:t>
            </w:r>
          </w:p>
        </w:tc>
        <w:tc>
          <w:tcPr>
            <w:tcW w:w="14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24,679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333,576</w:t>
            </w:r>
          </w:p>
        </w:tc>
        <w:tc>
          <w:tcPr>
            <w:tcW w:w="14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26,682</w:t>
            </w:r>
          </w:p>
        </w:tc>
        <w:tc>
          <w:tcPr>
            <w:tcW w:w="200" w:type="dxa"/>
            <w:vAlign w:val="bottom"/>
            <w:gridSpan w:val="2"/>
          </w:tcPr>
          <w:p>
            <w:pPr>
              <w:jc w:val="right"/>
              <w:ind w:right="114"/>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361,338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Contracts with two or more extensions,</w:t>
            </w:r>
          </w:p>
        </w:tc>
        <w:tc>
          <w:tcPr>
            <w:tcW w:w="14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4"/>
                <w:szCs w:val="14"/>
                <w:color w:val="auto"/>
              </w:rPr>
              <w:t>accruing (4)</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25,246</w:t>
            </w:r>
          </w:p>
        </w:tc>
        <w:tc>
          <w:tcPr>
            <w:tcW w:w="3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334,563</w:t>
            </w:r>
          </w:p>
        </w:tc>
        <w:tc>
          <w:tcPr>
            <w:tcW w:w="360" w:type="dxa"/>
            <w:vAlign w:val="bottom"/>
            <w:shd w:val="clear" w:color="auto" w:fill="EEEEEE"/>
          </w:tcPr>
          <w:p>
            <w:pPr>
              <w:spacing w:after="0"/>
              <w:rPr>
                <w:sz w:val="15"/>
                <w:szCs w:val="15"/>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14,617</w:t>
            </w:r>
          </w:p>
        </w:tc>
        <w:tc>
          <w:tcPr>
            <w:tcW w:w="3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191,760</w:t>
            </w:r>
          </w:p>
        </w:tc>
        <w:tc>
          <w:tcPr>
            <w:tcW w:w="146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16,638</w:t>
            </w: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219,175</w:t>
            </w: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56,459</w:t>
            </w: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766,096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39,296</w:t>
            </w: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525,336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43,320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580,513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Contracts with one extension, non-accrual</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ind w:left="180"/>
              <w:spacing w:after="0"/>
              <w:rPr>
                <w:sz w:val="20"/>
                <w:szCs w:val="20"/>
                <w:color w:val="auto"/>
              </w:rPr>
            </w:pPr>
            <w:r>
              <w:rPr>
                <w:rFonts w:ascii="Arial" w:cs="Arial" w:eastAsia="Arial" w:hAnsi="Arial"/>
                <w:sz w:val="14"/>
                <w:szCs w:val="14"/>
                <w:color w:val="auto"/>
              </w:rPr>
              <w:t>(4)</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1,314</w:t>
            </w:r>
          </w:p>
        </w:tc>
        <w:tc>
          <w:tcPr>
            <w:tcW w:w="2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color w:val="auto"/>
              </w:rPr>
              <w:t>16,948</w:t>
            </w:r>
          </w:p>
        </w:tc>
        <w:tc>
          <w:tcPr>
            <w:tcW w:w="1480" w:type="dxa"/>
            <w:vAlign w:val="bottom"/>
            <w:gridSpan w:val="3"/>
          </w:tcPr>
          <w:p>
            <w:pPr>
              <w:jc w:val="right"/>
              <w:ind w:right="320"/>
              <w:spacing w:after="0"/>
              <w:rPr>
                <w:sz w:val="20"/>
                <w:szCs w:val="20"/>
                <w:color w:val="auto"/>
              </w:rPr>
            </w:pPr>
            <w:r>
              <w:rPr>
                <w:rFonts w:ascii="Arial" w:cs="Arial" w:eastAsia="Arial" w:hAnsi="Arial"/>
                <w:sz w:val="14"/>
                <w:szCs w:val="14"/>
                <w:color w:val="auto"/>
              </w:rPr>
              <w:t>1,259</w:t>
            </w: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16,584</w:t>
            </w:r>
          </w:p>
        </w:tc>
        <w:tc>
          <w:tcPr>
            <w:tcW w:w="1460" w:type="dxa"/>
            <w:vAlign w:val="bottom"/>
            <w:gridSpan w:val="3"/>
          </w:tcPr>
          <w:p>
            <w:pPr>
              <w:jc w:val="right"/>
              <w:ind w:right="320"/>
              <w:spacing w:after="0"/>
              <w:rPr>
                <w:sz w:val="20"/>
                <w:szCs w:val="20"/>
                <w:color w:val="auto"/>
              </w:rPr>
            </w:pPr>
            <w:r>
              <w:rPr>
                <w:rFonts w:ascii="Arial" w:cs="Arial" w:eastAsia="Arial" w:hAnsi="Arial"/>
                <w:sz w:val="14"/>
                <w:szCs w:val="14"/>
                <w:color w:val="auto"/>
              </w:rPr>
              <w:t>1,784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22,725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Contracts with two or more extensions,</w:t>
            </w:r>
          </w:p>
        </w:tc>
        <w:tc>
          <w:tcPr>
            <w:tcW w:w="14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4"/>
                <w:szCs w:val="14"/>
                <w:color w:val="auto"/>
              </w:rPr>
              <w:t>non-accrual (4)</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1,650</w:t>
            </w:r>
          </w:p>
        </w:tc>
        <w:tc>
          <w:tcPr>
            <w:tcW w:w="3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21,365</w:t>
            </w:r>
          </w:p>
        </w:tc>
        <w:tc>
          <w:tcPr>
            <w:tcW w:w="360" w:type="dxa"/>
            <w:vAlign w:val="bottom"/>
            <w:shd w:val="clear" w:color="auto" w:fill="EEEEEE"/>
          </w:tcPr>
          <w:p>
            <w:pPr>
              <w:spacing w:after="0"/>
              <w:rPr>
                <w:sz w:val="15"/>
                <w:szCs w:val="15"/>
                <w:color w:val="auto"/>
              </w:rPr>
            </w:pPr>
          </w:p>
        </w:tc>
        <w:tc>
          <w:tcPr>
            <w:tcW w:w="148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886</w:t>
            </w:r>
          </w:p>
        </w:tc>
        <w:tc>
          <w:tcPr>
            <w:tcW w:w="200" w:type="dxa"/>
            <w:vAlign w:val="bottom"/>
            <w:shd w:val="clear" w:color="auto" w:fill="EEEEEE"/>
          </w:tcPr>
          <w:p>
            <w:pPr>
              <w:spacing w:after="0"/>
              <w:rPr>
                <w:sz w:val="15"/>
                <w:szCs w:val="15"/>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11,282</w:t>
            </w:r>
          </w:p>
        </w:tc>
        <w:tc>
          <w:tcPr>
            <w:tcW w:w="1460" w:type="dxa"/>
            <w:vAlign w:val="bottom"/>
            <w:gridSpan w:val="3"/>
            <w:shd w:val="clear" w:color="auto" w:fill="EEEEEE"/>
          </w:tcPr>
          <w:p>
            <w:pPr>
              <w:jc w:val="right"/>
              <w:ind w:right="320"/>
              <w:spacing w:after="0"/>
              <w:rPr>
                <w:sz w:val="20"/>
                <w:szCs w:val="20"/>
                <w:color w:val="auto"/>
              </w:rPr>
            </w:pPr>
            <w:r>
              <w:rPr>
                <w:rFonts w:ascii="Arial" w:cs="Arial" w:eastAsia="Arial" w:hAnsi="Arial"/>
                <w:sz w:val="14"/>
                <w:szCs w:val="14"/>
                <w:color w:val="auto"/>
              </w:rPr>
              <w:t>1,444</w:t>
            </w: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18,527</w:t>
            </w: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2,964</w:t>
            </w: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38,313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2,145</w:t>
            </w: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27,866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3,228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41,252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EEEEEE"/>
          </w:tcPr>
          <w:p>
            <w:pPr>
              <w:spacing w:after="0"/>
              <w:rPr>
                <w:sz w:val="14"/>
                <w:szCs w:val="14"/>
                <w:color w:val="auto"/>
              </w:rPr>
            </w:pPr>
          </w:p>
        </w:tc>
        <w:tc>
          <w:tcPr>
            <w:tcW w:w="140" w:type="dxa"/>
            <w:vAlign w:val="bottom"/>
            <w:tcBorders>
              <w:bottom w:val="single" w:sz="8" w:color="auto"/>
            </w:tcBorders>
            <w:shd w:val="clear" w:color="auto" w:fill="EEEEEE"/>
          </w:tcPr>
          <w:p>
            <w:pPr>
              <w:spacing w:after="0"/>
              <w:rPr>
                <w:sz w:val="14"/>
                <w:szCs w:val="14"/>
                <w:color w:val="auto"/>
              </w:rPr>
            </w:pPr>
          </w:p>
        </w:tc>
        <w:tc>
          <w:tcPr>
            <w:tcW w:w="1040" w:type="dxa"/>
            <w:vAlign w:val="bottom"/>
            <w:tcBorders>
              <w:bottom w:val="single" w:sz="8" w:color="auto"/>
            </w:tcBorders>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200" w:type="dxa"/>
            <w:vAlign w:val="bottom"/>
            <w:tcBorders>
              <w:bottom w:val="single" w:sz="8" w:color="auto"/>
            </w:tcBorders>
            <w:shd w:val="clear" w:color="auto" w:fill="EEEEEE"/>
          </w:tcPr>
          <w:p>
            <w:pPr>
              <w:spacing w:after="0"/>
              <w:rPr>
                <w:sz w:val="14"/>
                <w:szCs w:val="14"/>
                <w:color w:val="auto"/>
              </w:rPr>
            </w:pPr>
          </w:p>
        </w:tc>
        <w:tc>
          <w:tcPr>
            <w:tcW w:w="960" w:type="dxa"/>
            <w:vAlign w:val="bottom"/>
            <w:tcBorders>
              <w:bottom w:val="single" w:sz="8" w:color="auto"/>
            </w:tcBorders>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120" w:type="dxa"/>
            <w:vAlign w:val="bottom"/>
            <w:tcBorders>
              <w:bottom w:val="single" w:sz="8" w:color="auto"/>
            </w:tcBorders>
            <w:shd w:val="clear" w:color="auto" w:fill="EEEEEE"/>
          </w:tcPr>
          <w:p>
            <w:pPr>
              <w:spacing w:after="0"/>
              <w:rPr>
                <w:sz w:val="14"/>
                <w:szCs w:val="14"/>
                <w:color w:val="auto"/>
              </w:rPr>
            </w:pPr>
          </w:p>
        </w:tc>
        <w:tc>
          <w:tcPr>
            <w:tcW w:w="104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200" w:type="dxa"/>
            <w:vAlign w:val="bottom"/>
            <w:tcBorders>
              <w:bottom w:val="single" w:sz="8" w:color="auto"/>
            </w:tcBorders>
            <w:shd w:val="clear" w:color="auto" w:fill="EEEEEE"/>
          </w:tcPr>
          <w:p>
            <w:pPr>
              <w:spacing w:after="0"/>
              <w:rPr>
                <w:sz w:val="14"/>
                <w:szCs w:val="14"/>
                <w:color w:val="auto"/>
              </w:rPr>
            </w:pPr>
          </w:p>
        </w:tc>
        <w:tc>
          <w:tcPr>
            <w:tcW w:w="94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00" w:type="dxa"/>
            <w:vAlign w:val="bottom"/>
            <w:tcBorders>
              <w:bottom w:val="single" w:sz="8" w:color="auto"/>
            </w:tcBorders>
            <w:shd w:val="clear" w:color="auto" w:fill="EEEEEE"/>
          </w:tcPr>
          <w:p>
            <w:pPr>
              <w:spacing w:after="0"/>
              <w:rPr>
                <w:sz w:val="14"/>
                <w:szCs w:val="14"/>
                <w:color w:val="auto"/>
              </w:rPr>
            </w:pPr>
          </w:p>
        </w:tc>
        <w:tc>
          <w:tcPr>
            <w:tcW w:w="104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180" w:type="dxa"/>
            <w:vAlign w:val="bottom"/>
            <w:tcBorders>
              <w:bottom w:val="single" w:sz="8" w:color="auto"/>
            </w:tcBorders>
            <w:shd w:val="clear" w:color="auto" w:fill="EEEEEE"/>
          </w:tcPr>
          <w:p>
            <w:pPr>
              <w:spacing w:after="0"/>
              <w:rPr>
                <w:sz w:val="14"/>
                <w:szCs w:val="14"/>
                <w:color w:val="auto"/>
              </w:rPr>
            </w:pPr>
          </w:p>
        </w:tc>
        <w:tc>
          <w:tcPr>
            <w:tcW w:w="940" w:type="dxa"/>
            <w:vAlign w:val="bottom"/>
            <w:tcBorders>
              <w:bottom w:val="single" w:sz="8" w:color="auto"/>
            </w:tcBorders>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line="155" w:lineRule="exact"/>
              <w:rPr>
                <w:sz w:val="20"/>
                <w:szCs w:val="20"/>
                <w:color w:val="auto"/>
              </w:rPr>
            </w:pPr>
            <w:r>
              <w:rPr>
                <w:rFonts w:ascii="Arial" w:cs="Arial" w:eastAsia="Arial" w:hAnsi="Arial"/>
                <w:sz w:val="14"/>
                <w:szCs w:val="14"/>
                <w:color w:val="auto"/>
              </w:rPr>
              <w:t>Total contracts with extensions</w:t>
            </w: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59,423</w:t>
            </w:r>
          </w:p>
        </w:tc>
        <w:tc>
          <w:tcPr>
            <w:tcW w:w="3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804,409</w:t>
            </w:r>
          </w:p>
        </w:tc>
        <w:tc>
          <w:tcPr>
            <w:tcW w:w="360" w:type="dxa"/>
            <w:vAlign w:val="bottom"/>
          </w:tcPr>
          <w:p>
            <w:pPr>
              <w:spacing w:after="0"/>
              <w:rPr>
                <w:sz w:val="13"/>
                <w:szCs w:val="13"/>
                <w:color w:val="auto"/>
              </w:rPr>
            </w:pPr>
          </w:p>
        </w:tc>
        <w:tc>
          <w:tcPr>
            <w:tcW w:w="11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41,441</w:t>
            </w:r>
          </w:p>
        </w:tc>
        <w:tc>
          <w:tcPr>
            <w:tcW w:w="32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553,202</w:t>
            </w:r>
          </w:p>
        </w:tc>
        <w:tc>
          <w:tcPr>
            <w:tcW w:w="320" w:type="dxa"/>
            <w:vAlign w:val="bottom"/>
          </w:tcPr>
          <w:p>
            <w:pPr>
              <w:spacing w:after="0"/>
              <w:rPr>
                <w:sz w:val="13"/>
                <w:szCs w:val="13"/>
                <w:color w:val="auto"/>
              </w:rPr>
            </w:pPr>
          </w:p>
        </w:tc>
        <w:tc>
          <w:tcPr>
            <w:tcW w:w="11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46,548</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621,765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-154940</wp:posOffset>
            </wp:positionV>
            <wp:extent cx="5436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jc w:val="both"/>
        <w:ind w:firstLine="8"/>
        <w:spacing w:after="0" w:line="253" w:lineRule="auto"/>
        <w:tabs>
          <w:tab w:leader="none" w:pos="278"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91" w:lineRule="exact"/>
        <w:rPr>
          <w:rFonts w:ascii="Arial" w:cs="Arial" w:eastAsia="Arial" w:hAnsi="Arial"/>
          <w:sz w:val="18"/>
          <w:szCs w:val="18"/>
          <w:i w:val="1"/>
          <w:iCs w:val="1"/>
          <w:color w:val="auto"/>
        </w:rPr>
      </w:pPr>
    </w:p>
    <w:p>
      <w:pPr>
        <w:jc w:val="both"/>
        <w:ind w:firstLine="8"/>
        <w:spacing w:after="0" w:line="259" w:lineRule="auto"/>
        <w:tabs>
          <w:tab w:leader="none" w:pos="27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86"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19"/>
                <w:szCs w:val="19"/>
                <w:color w:val="auto"/>
              </w:rPr>
            </w:pPr>
          </w:p>
        </w:tc>
        <w:tc>
          <w:tcPr>
            <w:tcW w:w="15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2,198,906</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1,797,004</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1,847,764</w:t>
            </w: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 average servicing portfolio (2)</w:t>
            </w:r>
          </w:p>
        </w:tc>
        <w:tc>
          <w:tcPr>
            <w:tcW w:w="12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7.1%</w:t>
            </w:r>
          </w:p>
        </w:tc>
        <w:tc>
          <w:tcPr>
            <w:tcW w:w="380" w:type="dxa"/>
            <w:vAlign w:val="bottom"/>
          </w:tcPr>
          <w:p>
            <w:pPr>
              <w:spacing w:after="0"/>
              <w:rPr>
                <w:sz w:val="17"/>
                <w:szCs w:val="17"/>
                <w:color w:val="auto"/>
              </w:rPr>
            </w:pPr>
          </w:p>
        </w:tc>
        <w:tc>
          <w:tcPr>
            <w:tcW w:w="150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6.4%</w:t>
            </w:r>
          </w:p>
        </w:tc>
      </w:tr>
      <w:tr>
        <w:trPr>
          <w:trHeight w:val="230"/>
        </w:trPr>
        <w:tc>
          <w:tcPr>
            <w:tcW w:w="6520" w:type="dxa"/>
            <w:vAlign w:val="bottom"/>
          </w:tcPr>
          <w:p>
            <w:pPr>
              <w:jc w:val="right"/>
              <w:ind w:right="4210"/>
              <w:spacing w:after="0"/>
              <w:rPr>
                <w:sz w:val="20"/>
                <w:szCs w:val="20"/>
                <w:color w:val="auto"/>
              </w:rPr>
            </w:pPr>
            <w:r>
              <w:rPr>
                <w:rFonts w:ascii="Arial" w:cs="Arial" w:eastAsia="Arial" w:hAnsi="Arial"/>
                <w:sz w:val="18"/>
                <w:szCs w:val="18"/>
                <w:color w:val="auto"/>
                <w:w w:val="91"/>
              </w:rPr>
              <w:t>________________________</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61" w:lineRule="auto"/>
        <w:tabs>
          <w:tab w:leader="none" w:pos="27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spacing w:after="0" w:line="183" w:lineRule="exact"/>
        <w:rPr>
          <w:rFonts w:ascii="Arial" w:cs="Arial" w:eastAsia="Arial" w:hAnsi="Arial"/>
          <w:sz w:val="18"/>
          <w:szCs w:val="18"/>
          <w:i w:val="1"/>
          <w:iCs w:val="1"/>
          <w:color w:val="auto"/>
        </w:rPr>
      </w:pPr>
    </w:p>
    <w:p>
      <w:pPr>
        <w:jc w:val="both"/>
        <w:ind w:firstLine="8"/>
        <w:spacing w:after="0" w:line="279" w:lineRule="auto"/>
        <w:tabs>
          <w:tab w:leader="none" w:pos="26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2016 and September 30, 2015 percentage represents nine months ended September 30, 2016 and September 30, 2015 annualized. December 31, 2015 represents 12 months ended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September 30, 2016, for accounts that received extensions from 2008 through 2014 (2016 extension data are not included at this time due to insufficient passage of time for meaningful evaluation of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Charged</w:t>
            </w: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 Charged</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 Charged</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Active or</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8"/>
              </w:rPr>
              <w:t>% Active or</w:t>
            </w: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Off &gt;</w:t>
            </w: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Off</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Charged Off</w:t>
            </w: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Off</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Avg Months</w:t>
            </w: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Paid Off at</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Paid Off at</w:t>
            </w: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7"/>
              </w:rPr>
              <w:t>6 Months</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&gt;6 Months</w:t>
            </w: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&lt;= 6 Months</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&lt;= 6 Months</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to Charge Off</w:t>
            </w:r>
          </w:p>
        </w:tc>
      </w:tr>
      <w:tr>
        <w:trPr>
          <w:trHeight w:val="149"/>
        </w:trPr>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Period of</w:t>
            </w: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Extensions</w:t>
            </w: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September 30,</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September 30,</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After</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After</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After</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After</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Post</w:t>
            </w:r>
          </w:p>
        </w:tc>
      </w:tr>
      <w:tr>
        <w:trPr>
          <w:trHeight w:val="167"/>
        </w:trPr>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Extension</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Granted</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3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Extension</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Extension</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Extension</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Extension</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Extension</w:t>
            </w:r>
          </w:p>
        </w:tc>
      </w:tr>
      <w:tr>
        <w:trPr>
          <w:trHeight w:val="142"/>
        </w:trPr>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1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35,588</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10,713</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30.1%</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20,054</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56.4%</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4,819</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13.5%</w:t>
            </w: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19</w:t>
            </w:r>
          </w:p>
        </w:tc>
        <w:tc>
          <w:tcPr>
            <w:tcW w:w="40" w:type="dxa"/>
            <w:vAlign w:val="bottom"/>
            <w:shd w:val="clear" w:color="auto" w:fill="EEEEEE"/>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1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32,226</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10,281</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31.9%</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16,162</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50.2%</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5,783</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17.9%</w:t>
            </w: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17</w:t>
            </w:r>
          </w:p>
        </w:tc>
        <w:tc>
          <w:tcPr>
            <w:tcW w:w="40" w:type="dxa"/>
            <w:vAlign w:val="bottom"/>
            <w:shd w:val="clear" w:color="auto" w:fill="EEEEEE"/>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1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26,167</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12,179</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46.5%</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11,989</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45.8%</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1,999</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7.6%</w:t>
            </w: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19</w:t>
            </w:r>
          </w:p>
        </w:tc>
        <w:tc>
          <w:tcPr>
            <w:tcW w:w="40" w:type="dxa"/>
            <w:vAlign w:val="bottom"/>
            <w:shd w:val="clear" w:color="auto" w:fill="EEEEEE"/>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2011</w:t>
            </w:r>
          </w:p>
        </w:tc>
        <w:tc>
          <w:tcPr>
            <w:tcW w:w="1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18,786</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11,013</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58.6%</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6,841</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36.4%</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932</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5.0%</w:t>
            </w: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19</w:t>
            </w:r>
          </w:p>
        </w:tc>
        <w:tc>
          <w:tcPr>
            <w:tcW w:w="40" w:type="dxa"/>
            <w:vAlign w:val="bottom"/>
            <w:shd w:val="clear" w:color="auto" w:fill="EEEEEE"/>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1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18,783</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11,577</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61.6%</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6,410</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34.1%</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796</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4.2%</w:t>
            </w: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17</w:t>
            </w:r>
          </w:p>
        </w:tc>
        <w:tc>
          <w:tcPr>
            <w:tcW w:w="40" w:type="dxa"/>
            <w:vAlign w:val="bottom"/>
            <w:shd w:val="clear" w:color="auto" w:fill="EEEEEE"/>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23,398</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13,291</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56.8%</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9,131</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39.0%</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976</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4.2%</w:t>
            </w: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17</w:t>
            </w:r>
          </w:p>
        </w:tc>
        <w:tc>
          <w:tcPr>
            <w:tcW w:w="40" w:type="dxa"/>
            <w:vAlign w:val="bottom"/>
            <w:shd w:val="clear" w:color="auto" w:fill="EEEEEE"/>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2014</w:t>
            </w:r>
          </w:p>
        </w:tc>
        <w:tc>
          <w:tcPr>
            <w:tcW w:w="1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25,773</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16,017</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62.1%</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8,930</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34.6%</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826</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3.2%</w:t>
            </w: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15</w:t>
            </w:r>
          </w:p>
        </w:tc>
        <w:tc>
          <w:tcPr>
            <w:tcW w:w="40" w:type="dxa"/>
            <w:vAlign w:val="bottom"/>
            <w:shd w:val="clear" w:color="auto" w:fill="EEEEEE"/>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1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53,319</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43,351</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81.3%</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8,886</w:t>
            </w:r>
          </w:p>
        </w:tc>
        <w:tc>
          <w:tcPr>
            <w:tcW w:w="140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16.7%</w:t>
            </w:r>
          </w:p>
        </w:tc>
        <w:tc>
          <w:tcPr>
            <w:tcW w:w="14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1,082</w:t>
            </w:r>
          </w:p>
        </w:tc>
        <w:tc>
          <w:tcPr>
            <w:tcW w:w="14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2.0%</w:t>
            </w: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EEEEEE"/>
          </w:tcPr>
          <w:p>
            <w:pPr>
              <w:spacing w:after="0"/>
              <w:rPr>
                <w:sz w:val="12"/>
                <w:szCs w:val="1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61.6% were either paid in full or active and performing at September 30, 2016.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17 months after the extension, indicating that even in the cases of an ultimate loss, the obligor serviced the account with additional payments of principal and interest.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00" w:type="dxa"/>
            <w:vAlign w:val="bottom"/>
          </w:tcPr>
          <w:p>
            <w:pPr>
              <w:ind w:left="640"/>
              <w:spacing w:after="0"/>
              <w:rPr>
                <w:sz w:val="20"/>
                <w:szCs w:val="20"/>
                <w:color w:val="auto"/>
              </w:rPr>
            </w:pPr>
            <w:r>
              <w:rPr>
                <w:rFonts w:ascii="Arial" w:cs="Arial" w:eastAsia="Arial" w:hAnsi="Arial"/>
                <w:sz w:val="18"/>
                <w:szCs w:val="18"/>
                <w:color w:val="auto"/>
                <w:w w:val="97"/>
              </w:rPr>
              <w:t>Additional information about our extensions is provided in the tables below:</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440" w:type="dxa"/>
            <w:vAlign w:val="bottom"/>
            <w:gridSpan w:val="4"/>
          </w:tcPr>
          <w:p>
            <w:pPr>
              <w:jc w:val="right"/>
              <w:ind w:right="620"/>
              <w:spacing w:after="0"/>
              <w:rPr>
                <w:sz w:val="20"/>
                <w:szCs w:val="20"/>
                <w:color w:val="auto"/>
              </w:rPr>
            </w:pPr>
            <w:r>
              <w:rPr>
                <w:rFonts w:ascii="Arial" w:cs="Arial" w:eastAsia="Arial" w:hAnsi="Arial"/>
                <w:sz w:val="18"/>
                <w:szCs w:val="18"/>
                <w:color w:val="auto"/>
                <w:w w:val="99"/>
              </w:rPr>
              <w:t>Nine Months Ended September 30,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5,861</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4,276</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160,952</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134,057</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3.6%</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3.2%</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40" w:type="dxa"/>
            <w:vAlign w:val="bottom"/>
            <w:gridSpan w:val="5"/>
          </w:tcPr>
          <w:p>
            <w:pPr>
              <w:jc w:val="right"/>
              <w:ind w:right="1120"/>
              <w:spacing w:after="0"/>
              <w:rPr>
                <w:sz w:val="20"/>
                <w:szCs w:val="20"/>
                <w:color w:val="auto"/>
              </w:rPr>
            </w:pPr>
            <w:r>
              <w:rPr>
                <w:rFonts w:ascii="Arial" w:cs="Arial" w:eastAsia="Arial" w:hAnsi="Arial"/>
                <w:sz w:val="14"/>
                <w:szCs w:val="14"/>
                <w:color w:val="auto"/>
              </w:rPr>
              <w:t>September 30, 2016</w:t>
            </w:r>
          </w:p>
        </w:tc>
        <w:tc>
          <w:tcPr>
            <w:tcW w:w="2940" w:type="dxa"/>
            <w:vAlign w:val="bottom"/>
            <w:gridSpan w:val="5"/>
          </w:tcPr>
          <w:p>
            <w:pPr>
              <w:ind w:left="720"/>
              <w:spacing w:after="0"/>
              <w:rPr>
                <w:sz w:val="20"/>
                <w:szCs w:val="20"/>
                <w:color w:val="auto"/>
              </w:rPr>
            </w:pPr>
            <w:r>
              <w:rPr>
                <w:rFonts w:ascii="Arial" w:cs="Arial" w:eastAsia="Arial" w:hAnsi="Arial"/>
                <w:sz w:val="14"/>
                <w:szCs w:val="14"/>
                <w:color w:val="auto"/>
              </w:rPr>
              <w:t>September 30, 2015</w:t>
            </w:r>
          </w:p>
        </w:tc>
        <w:tc>
          <w:tcPr>
            <w:tcW w:w="2700" w:type="dxa"/>
            <w:vAlign w:val="bottom"/>
            <w:gridSpan w:val="6"/>
          </w:tcPr>
          <w:p>
            <w:pPr>
              <w:ind w:left="720"/>
              <w:spacing w:after="0"/>
              <w:rPr>
                <w:sz w:val="20"/>
                <w:szCs w:val="20"/>
                <w:color w:val="auto"/>
              </w:rPr>
            </w:pPr>
            <w:r>
              <w:rPr>
                <w:rFonts w:ascii="Arial" w:cs="Arial" w:eastAsia="Arial" w:hAnsi="Arial"/>
                <w:sz w:val="14"/>
                <w:szCs w:val="14"/>
                <w:color w:val="auto"/>
              </w:rPr>
              <w:t>December 31, 2015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340"/>
              <w:spacing w:after="0" w:line="123" w:lineRule="exact"/>
              <w:rPr>
                <w:sz w:val="20"/>
                <w:szCs w:val="20"/>
                <w:color w:val="auto"/>
              </w:rPr>
            </w:pPr>
            <w:r>
              <w:rPr>
                <w:rFonts w:ascii="Arial" w:cs="Arial" w:eastAsia="Arial" w:hAnsi="Arial"/>
                <w:sz w:val="14"/>
                <w:szCs w:val="14"/>
                <w:color w:val="auto"/>
                <w:w w:val="94"/>
              </w:rPr>
              <w:t>Number of</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340"/>
              <w:spacing w:after="0" w:line="123" w:lineRule="exact"/>
              <w:rPr>
                <w:sz w:val="20"/>
                <w:szCs w:val="20"/>
                <w:color w:val="auto"/>
              </w:rPr>
            </w:pPr>
            <w:r>
              <w:rPr>
                <w:rFonts w:ascii="Arial" w:cs="Arial" w:eastAsia="Arial" w:hAnsi="Arial"/>
                <w:sz w:val="14"/>
                <w:szCs w:val="14"/>
                <w:color w:val="auto"/>
                <w:w w:val="94"/>
              </w:rPr>
              <w:t>Number of</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4"/>
                <w:szCs w:val="14"/>
                <w:color w:val="auto"/>
                <w:w w:val="94"/>
              </w:rPr>
              <w:t>Number of</w:t>
            </w: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Contracts</w:t>
            </w:r>
          </w:p>
        </w:tc>
        <w:tc>
          <w:tcPr>
            <w:tcW w:w="22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Contracts</w:t>
            </w:r>
          </w:p>
        </w:tc>
        <w:tc>
          <w:tcPr>
            <w:tcW w:w="20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Contracts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gridSpan w:val="5"/>
          </w:tcPr>
          <w:p>
            <w:pPr>
              <w:ind w:left="620"/>
              <w:spacing w:after="0"/>
              <w:rPr>
                <w:sz w:val="20"/>
                <w:szCs w:val="20"/>
                <w:color w:val="auto"/>
              </w:rPr>
            </w:pPr>
            <w:r>
              <w:rPr>
                <w:rFonts w:ascii="Arial" w:cs="Arial" w:eastAsia="Arial" w:hAnsi="Arial"/>
                <w:sz w:val="14"/>
                <w:szCs w:val="14"/>
                <w:color w:val="auto"/>
              </w:rPr>
              <w:t>(Dollars in thousands)</w:t>
            </w: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w:t>
            </w:r>
          </w:p>
        </w:tc>
        <w:tc>
          <w:tcPr>
            <w:tcW w:w="1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32,527</w:t>
            </w:r>
          </w:p>
        </w:tc>
        <w:tc>
          <w:tcPr>
            <w:tcW w:w="220" w:type="dxa"/>
            <w:vAlign w:val="bottom"/>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448,481</w:t>
            </w: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25,946</w:t>
            </w:r>
          </w:p>
        </w:tc>
        <w:tc>
          <w:tcPr>
            <w:tcW w:w="200" w:type="dxa"/>
            <w:vAlign w:val="bottom"/>
            <w:shd w:val="clear" w:color="auto" w:fill="EEEEEE"/>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350,169</w:t>
            </w:r>
          </w:p>
        </w:tc>
        <w:tc>
          <w:tcPr>
            <w:tcW w:w="13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28,466</w:t>
            </w:r>
          </w:p>
        </w:tc>
        <w:tc>
          <w:tcPr>
            <w:tcW w:w="360" w:type="dxa"/>
            <w:vAlign w:val="bottom"/>
            <w:gridSpan w:val="2"/>
            <w:shd w:val="clear" w:color="auto" w:fill="EEEEEE"/>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384,064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Contracts with two extensions</w:t>
            </w:r>
          </w:p>
        </w:tc>
        <w:tc>
          <w:tcPr>
            <w:tcW w:w="15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15,123</w:t>
            </w:r>
          </w:p>
        </w:tc>
        <w:tc>
          <w:tcPr>
            <w:tcW w:w="22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202,846</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10,359</w:t>
            </w:r>
          </w:p>
        </w:tc>
        <w:tc>
          <w:tcPr>
            <w:tcW w:w="20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136,634</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11,763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three extensions</w:t>
            </w:r>
          </w:p>
        </w:tc>
        <w:tc>
          <w:tcPr>
            <w:tcW w:w="1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7,424</w:t>
            </w:r>
          </w:p>
        </w:tc>
        <w:tc>
          <w:tcPr>
            <w:tcW w:w="22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98,438</w:t>
            </w: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3,901</w:t>
            </w:r>
          </w:p>
        </w:tc>
        <w:tc>
          <w:tcPr>
            <w:tcW w:w="20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50,652</w:t>
            </w:r>
          </w:p>
        </w:tc>
        <w:tc>
          <w:tcPr>
            <w:tcW w:w="13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4,567</w:t>
            </w: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59,255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Contracts with four extensions</w:t>
            </w:r>
          </w:p>
        </w:tc>
        <w:tc>
          <w:tcPr>
            <w:tcW w:w="15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3,110</w:t>
            </w:r>
          </w:p>
        </w:tc>
        <w:tc>
          <w:tcPr>
            <w:tcW w:w="22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39,773</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1,066</w:t>
            </w:r>
          </w:p>
        </w:tc>
        <w:tc>
          <w:tcPr>
            <w:tcW w:w="20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13,350</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five extensions</w:t>
            </w:r>
          </w:p>
        </w:tc>
        <w:tc>
          <w:tcPr>
            <w:tcW w:w="1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987</w:t>
            </w:r>
          </w:p>
        </w:tc>
        <w:tc>
          <w:tcPr>
            <w:tcW w:w="3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11,879</w:t>
            </w:r>
          </w:p>
        </w:tc>
        <w:tc>
          <w:tcPr>
            <w:tcW w:w="11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192</w:t>
            </w:r>
          </w:p>
        </w:tc>
        <w:tc>
          <w:tcPr>
            <w:tcW w:w="3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2,064</w:t>
            </w:r>
          </w:p>
        </w:tc>
        <w:tc>
          <w:tcPr>
            <w:tcW w:w="13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301</w:t>
            </w:r>
          </w:p>
        </w:tc>
        <w:tc>
          <w:tcPr>
            <w:tcW w:w="1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3,351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Contracts with six extensions</w:t>
            </w:r>
          </w:p>
        </w:tc>
        <w:tc>
          <w:tcPr>
            <w:tcW w:w="1180" w:type="dxa"/>
            <w:vAlign w:val="bottom"/>
          </w:tcPr>
          <w:p>
            <w:pPr>
              <w:jc w:val="right"/>
              <w:spacing w:after="0"/>
              <w:rPr>
                <w:sz w:val="20"/>
                <w:szCs w:val="20"/>
                <w:color w:val="auto"/>
              </w:rPr>
            </w:pPr>
            <w:r>
              <w:rPr>
                <w:rFonts w:ascii="Arial" w:cs="Arial" w:eastAsia="Arial" w:hAnsi="Arial"/>
                <w:sz w:val="14"/>
                <w:szCs w:val="14"/>
                <w:color w:val="auto"/>
              </w:rPr>
              <w:t>252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2,992</w:t>
            </w: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443</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EEEEEE"/>
              <w:bottom w:val="single" w:sz="8" w:color="EEEEEE"/>
            </w:tcBorders>
            <w:shd w:val="clear" w:color="auto" w:fill="EEEEEE"/>
          </w:tcPr>
          <w:p>
            <w:pPr>
              <w:spacing w:after="0"/>
              <w:rPr>
                <w:sz w:val="13"/>
                <w:szCs w:val="13"/>
                <w:color w:val="auto"/>
              </w:rPr>
            </w:pPr>
          </w:p>
        </w:tc>
        <w:tc>
          <w:tcPr>
            <w:tcW w:w="11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59,423</w:t>
            </w:r>
          </w:p>
        </w:tc>
        <w:tc>
          <w:tcPr>
            <w:tcW w:w="34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auto"/>
              <w:bottom w:val="single" w:sz="8" w:color="auto"/>
            </w:tcBorders>
            <w:shd w:val="clear" w:color="auto" w:fill="EEEEEE"/>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804,409</w:t>
            </w:r>
          </w:p>
        </w:tc>
        <w:tc>
          <w:tcPr>
            <w:tcW w:w="360" w:type="dxa"/>
            <w:vAlign w:val="bottom"/>
            <w:tcBorders>
              <w:top w:val="single" w:sz="8" w:color="EEEEEE"/>
              <w:bottom w:val="single" w:sz="8" w:color="EEEEEE"/>
            </w:tcBorders>
            <w:shd w:val="clear" w:color="auto" w:fill="EEEEEE"/>
          </w:tcPr>
          <w:p>
            <w:pPr>
              <w:spacing w:after="0"/>
              <w:rPr>
                <w:sz w:val="13"/>
                <w:szCs w:val="13"/>
                <w:color w:val="auto"/>
              </w:rPr>
            </w:pPr>
          </w:p>
        </w:tc>
        <w:tc>
          <w:tcPr>
            <w:tcW w:w="11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41,508</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553,312</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46,548</w:t>
            </w: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621,765</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Managed portfolio (excluding originated</w:t>
            </w:r>
          </w:p>
        </w:tc>
        <w:tc>
          <w:tcPr>
            <w:tcW w:w="1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4"/>
                <w:szCs w:val="14"/>
                <w:color w:val="auto"/>
              </w:rPr>
              <w:t>and owned by 3rd 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167,629</w:t>
            </w:r>
          </w:p>
        </w:tc>
        <w:tc>
          <w:tcPr>
            <w:tcW w:w="22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2,291,854</w:t>
            </w:r>
          </w:p>
        </w:tc>
        <w:tc>
          <w:tcPr>
            <w:tcW w:w="360" w:type="dxa"/>
            <w:vAlign w:val="bottom"/>
            <w:shd w:val="clear" w:color="auto" w:fill="EEEEEE"/>
          </w:tcPr>
          <w:p>
            <w:pPr>
              <w:spacing w:after="0"/>
              <w:rPr>
                <w:sz w:val="14"/>
                <w:szCs w:val="14"/>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143,057</w:t>
            </w:r>
          </w:p>
        </w:tc>
        <w:tc>
          <w:tcPr>
            <w:tcW w:w="200" w:type="dxa"/>
            <w:vAlign w:val="bottom"/>
            <w:shd w:val="clear" w:color="auto" w:fill="EEEEEE"/>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1,940,546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149,138</w:t>
            </w:r>
          </w:p>
        </w:tc>
        <w:tc>
          <w:tcPr>
            <w:tcW w:w="360" w:type="dxa"/>
            <w:vAlign w:val="bottom"/>
            <w:gridSpan w:val="2"/>
            <w:shd w:val="clear" w:color="auto" w:fill="EEEEEE"/>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2,031,099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Table excludes portfolios originated and owned by third parties.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for the nine-month period ended September 30, 2016 was $159.1 million, an increase of $21.1 million, compared to net cash provided by operating activities for the nine-month period ended September 30, 2015 of $138.0 million. Cash provided by operating activities is significantly affected by our net income before provisions for credit losses. For the nine months ended September 30, 2016, our net income excluding provisions for credit losses was $156.7 million, or $24.5 million more than our net income excluding provisions for credit losses for the nine months ended September 30, 2015.</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for the nine-month period ended September 30, 2016 was $390.9 million compared to net cash used in investing activities of $418.5 million in the prior year period. Cash provided by investing activities primarily results from principal payments and other proceeds received on finance receivables held for investment and increases in restricted cash. Cash used in investing activities generally relates to purchases of automobile contracts. Purchases of finance receivables held for investment were $873.5 million and $791.3 million during the first nine months of 2016 and 2015, respectively.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provided by financing activities for the nine months ended September 30, 2016 was $224.0 million compared to net cash provided by financing activities of $283.6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2016, we issued $980.7 million in new securitization trust debt compared to $795.0 million in the same period of 2015. In addition, we repaid $625.5 million in securitization trust debt in the nine months ended September 30, 2016 compared to repayments of securitization trust debt of $490.0 million in the prior year period. In the nine months ended September 30, 2016, we had net repayments on warehouse lines of credit of $112.7 million, compared to net repayments of $9.9 million in the prior year’s period.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September 30, 2016, we had unrestricted cash of $11.5 million and $216.3 million aggregate available borrowings under our three warehouse credit facilities (assuming the availability of sufficient eligible collateral). As of September 30, 2016 we had approximately $25.4 million of such eligible collateral. During the nine-month period ended September 30, 2016, we completed three securitizations aggregating $980.7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both"/>
        <w:ind w:firstLine="648"/>
        <w:spacing w:after="0" w:line="255" w:lineRule="auto"/>
        <w:rPr>
          <w:sz w:val="20"/>
          <w:szCs w:val="20"/>
          <w:color w:val="auto"/>
        </w:rPr>
      </w:pPr>
      <w:r>
        <w:rPr>
          <w:rFonts w:ascii="Arial" w:cs="Arial" w:eastAsia="Arial" w:hAnsi="Arial"/>
          <w:sz w:val="18"/>
          <w:szCs w:val="18"/>
          <w:color w:val="auto"/>
        </w:rPr>
        <w:t>One of our securitization transactions, our warehouse credit facilities and our residual interest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2016, we were in compliance with all such financial covenants.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and will continue to have a substantial amount of indebtedness. At September 30, 2016, we had approximately $2,176.3 million of debt outstanding. Such debt consisted primarily of $2,073.4 million of securitization trust debt and $81.7 million of warehouse lines of credit. Our securitization trust debt and our warehouse lines of credit have increased by $169.8 million, and $34.7 million, respectively since September 30, 2015 (each net of deferred financing costs). As of September 30, 2016 our debt also included $6.9 million of residual interest financing and $14.4 million in subordinated renewable notes. We are currently offering the subordinated notes to the public on a continuous basis, and such notes have maturities that range from six months to 10 years.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recent operating results include pre-tax earnings of $37.0 million for the nine months ended September 30, 2016 and $61.4 million, $52.2 million, $37.2 million and $9.2 for the years ended December 31, 2015, December 31, 2014,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9, 2016.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and will continue to have a substantial amount of indebtedness. At September 30, 2016, we had approximately $2,176.3 million of debt outstanding. Such debt consisted primarily of $2,073.4 million of securitization trust debt and $81.7 million of warehouse lines of credit. Our securitization trust debt and our warehouse lines of credit have increased by $169.8 million, and $34.7 million, respectively since September 30, 2015 (each net of deferred financing costs). As of September 30, 2016 our debt also included $6.9 million of residual interest financing and $14.4 million in subordinated renewable notes. We are currently offering the subordinated notes to the public on a continuous basis, and such notes have maturities that range from six months to 10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2016, we repurchased 421,026 shares from existing shareholders, as reflected in the table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as Part of</w:t>
            </w:r>
          </w:p>
        </w:tc>
        <w:tc>
          <w:tcPr>
            <w:tcW w:w="1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6"/>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Price Paid</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2"/>
          </w:tcPr>
          <w:p>
            <w:pPr>
              <w:ind w:left="1920"/>
              <w:spacing w:after="0"/>
              <w:rPr>
                <w:sz w:val="20"/>
                <w:szCs w:val="20"/>
                <w:color w:val="auto"/>
              </w:rPr>
            </w:pPr>
            <w:r>
              <w:rPr>
                <w:rFonts w:ascii="Arial" w:cs="Arial" w:eastAsia="Arial" w:hAnsi="Arial"/>
                <w:sz w:val="18"/>
                <w:szCs w:val="18"/>
                <w:b w:val="1"/>
                <w:bCs w:val="1"/>
                <w:color w:val="auto"/>
              </w:rPr>
              <w:t>Period(1)</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Share</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2016</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230,659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3.94</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230,659</w:t>
            </w:r>
          </w:p>
        </w:tc>
        <w:tc>
          <w:tcPr>
            <w:tcW w:w="100" w:type="dxa"/>
            <w:vAlign w:val="bottom"/>
            <w:shd w:val="clear" w:color="auto" w:fill="EEEEEE"/>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7,829,712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August 2016</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40,153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4.06</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40,153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7,666,641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September 2016</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150,214</w:t>
            </w: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4.12</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150,214</w:t>
            </w:r>
          </w:p>
        </w:tc>
        <w:tc>
          <w:tcPr>
            <w:tcW w:w="100" w:type="dxa"/>
            <w:vAlign w:val="bottom"/>
            <w:shd w:val="clear" w:color="auto" w:fill="EEEEEE"/>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7,047,595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vMerge w:val="continue"/>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421,026</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4.01</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421,026</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jc w:val="right"/>
              <w:ind w:right="2730"/>
              <w:spacing w:after="0"/>
              <w:rPr>
                <w:sz w:val="20"/>
                <w:szCs w:val="20"/>
                <w:color w:val="auto"/>
              </w:rPr>
            </w:pPr>
            <w:r>
              <w:rPr>
                <w:rFonts w:ascii="Arial" w:cs="Arial" w:eastAsia="Arial" w:hAnsi="Arial"/>
                <w:sz w:val="18"/>
                <w:szCs w:val="18"/>
                <w:color w:val="auto"/>
                <w:w w:val="91"/>
              </w:rPr>
              <w:t>___________________</w:t>
            </w:r>
          </w:p>
        </w:tc>
        <w:tc>
          <w:tcPr>
            <w:tcW w:w="240" w:type="dxa"/>
            <w:vAlign w:val="bottom"/>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25" w:lineRule="exact"/>
        <w:rPr>
          <w:rFonts w:ascii="Arial" w:cs="Arial" w:eastAsia="Arial" w:hAnsi="Arial"/>
          <w:sz w:val="18"/>
          <w:szCs w:val="18"/>
          <w:i w:val="1"/>
          <w:iCs w:val="1"/>
          <w:color w:val="auto"/>
        </w:rPr>
      </w:pPr>
    </w:p>
    <w:p>
      <w:pPr>
        <w:jc w:val="both"/>
        <w:ind w:left="260" w:hanging="252"/>
        <w:spacing w:after="0" w:line="259" w:lineRule="auto"/>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September 30, 2016, our board of directors had authorized the purchase of up to $54.5 million of our outstanding securities, under a program first announced in our annual report for the year 2002, filed on March 26, 2003. All purchases described in the table above were under the program announced in March 2003, which has no fixed expiration date. Our board of directors in May 2016 increased the aggregate authorization by $10 million from $44.5 million to $54.5 million.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4.14</w:t>
            </w: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6"/>
              </w:rPr>
              <w:t>exclusion set forth in subdivisions (b)(iv)(iii)(A) and (b)(v) of Item 601 of Regulation S-K (17 CFR 229.601). The registrant agrees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340"/>
              <w:spacing w:after="0"/>
              <w:rPr>
                <w:sz w:val="20"/>
                <w:szCs w:val="20"/>
                <w:color w:val="auto"/>
              </w:rPr>
            </w:pPr>
            <w:r>
              <w:rPr>
                <w:rFonts w:ascii="Arial" w:cs="Arial" w:eastAsia="Arial" w:hAnsi="Arial"/>
                <w:sz w:val="18"/>
                <w:szCs w:val="18"/>
                <w:color w:val="auto"/>
              </w:rPr>
              <w:t>Rule 13a-14(a) Certification of the Chief Executive Officer of the 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31.2</w:t>
            </w: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Rule 13a-14(a) Certification of the Chief Financial Officer of the registrant.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380" w:type="dxa"/>
            <w:vAlign w:val="bottom"/>
          </w:tcPr>
          <w:p>
            <w:pPr>
              <w:ind w:left="34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XBRL Instances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0"/>
        <w:spacing w:after="0" w:line="312" w:lineRule="auto"/>
        <w:tabs>
          <w:tab w:leader="none" w:pos="4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2016</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r>
        <w:rPr>
          <w:rFonts w:ascii="Arial" w:cs="Arial" w:eastAsia="Arial" w:hAnsi="Arial"/>
          <w:sz w:val="18"/>
          <w:szCs w:val="18"/>
          <w:color w:val="auto"/>
        </w:rPr>
        <w: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2016</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2016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20" w:firstLine="8"/>
        <w:spacing w:after="0" w:line="264" w:lineRule="auto"/>
        <w:tabs>
          <w:tab w:leader="none" w:pos="97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20" w:firstLine="8"/>
        <w:spacing w:after="0" w:line="264" w:lineRule="auto"/>
        <w:tabs>
          <w:tab w:leader="none" w:pos="10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firstLine="8"/>
        <w:spacing w:after="0" w:line="308" w:lineRule="auto"/>
        <w:tabs>
          <w:tab w:leader="none" w:pos="1004"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20" w:firstLine="8"/>
        <w:spacing w:after="0" w:line="264" w:lineRule="auto"/>
        <w:tabs>
          <w:tab w:leader="none" w:pos="9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firstLine="8"/>
        <w:spacing w:after="0" w:line="277" w:lineRule="auto"/>
        <w:tabs>
          <w:tab w:leader="none" w:pos="9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firstLine="8"/>
        <w:spacing w:after="0" w:line="277" w:lineRule="auto"/>
        <w:tabs>
          <w:tab w:leader="none" w:pos="97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30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30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38" w:name="page39"/>
    <w:bookmarkEnd w:id="38"/>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2016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20" w:firstLine="8"/>
        <w:spacing w:after="0" w:line="264" w:lineRule="auto"/>
        <w:tabs>
          <w:tab w:leader="none" w:pos="9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20" w:firstLine="8"/>
        <w:spacing w:after="0" w:line="264" w:lineRule="auto"/>
        <w:tabs>
          <w:tab w:leader="none" w:pos="10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firstLine="8"/>
        <w:spacing w:after="0" w:line="308" w:lineRule="auto"/>
        <w:tabs>
          <w:tab w:leader="none" w:pos="1004"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20" w:firstLine="8"/>
        <w:spacing w:after="0" w:line="264" w:lineRule="auto"/>
        <w:tabs>
          <w:tab w:leader="none" w:pos="9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firstLine="8"/>
        <w:spacing w:after="0" w:line="277" w:lineRule="auto"/>
        <w:tabs>
          <w:tab w:leader="none" w:pos="9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firstLine="8"/>
        <w:spacing w:after="0" w:line="277" w:lineRule="auto"/>
        <w:tabs>
          <w:tab w:leader="none" w:pos="9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03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033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September 30, 2016,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43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890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2019-12-06T02:02:06Z</dcterms:created>
  <dcterms:modified xsi:type="dcterms:W3CDTF">2019-12-06T02:02:06Z</dcterms:modified>
</cp:coreProperties>
</file>