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3_edei--DocumentType_c20261022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October 22,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D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4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0_edei--EntityFileNumber_c20261022"/>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6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C_edei--EntityAddressAddressLine1_"/>
            <w:bookmarkEnd w:id="8"/>
            <w:r>
              <w:rPr>
                <w:sz w:val="20"/>
              </w:rPr>
              <w:t xml:space="preserve">3800 Howard Hughes Pkwy, </w:t>
            </w:r>
            <w:bookmarkStart w:id="9" w:name="xdx_909_edei--EntityAddressAddressLine2_"/>
            <w:bookmarkEnd w:id="9"/>
            <w:r>
              <w:rPr>
                <w:sz w:val="20"/>
              </w:rPr>
              <w:t xml:space="preserve">Suite 1400, </w:t>
            </w:r>
            <w:bookmarkStart w:id="10" w:name="xdx_909_edei--EntityAddressCityOrTown_c2"/>
            <w:bookmarkEnd w:id="10"/>
            <w:r>
              <w:rPr>
                <w:sz w:val="20"/>
              </w:rPr>
              <w:t xml:space="preserve">Las Vegas, </w:t>
            </w:r>
            <w:bookmarkStart w:id="11" w:name="xdx_90A_edei--EntityAddressStateOrProvin"/>
            <w:bookmarkEnd w:id="11"/>
            <w:r>
              <w:rPr>
                <w:sz w:val="20"/>
              </w:rPr>
              <w:t xml:space="preserve">NV </w:t>
            </w:r>
            <w:bookmarkStart w:id="12" w:name="xdx_904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4_edei--CityAreaCode_c20261022__20"/>
      <w:bookmarkEnd w:id="13"/>
      <w:r>
        <w:rPr>
          <w:rFonts w:ascii="Times New Roman;Times;Serif" w:hAnsi="Times New Roman;Times;Serif"/>
          <w:b w:val="false"/>
          <w:i w:val="false"/>
          <w:caps w:val="false"/>
          <w:smallCaps w:val="false"/>
          <w:sz w:val="20"/>
        </w:rPr>
        <w:t xml:space="preserve">949) </w:t>
      </w:r>
      <w:bookmarkStart w:id="14" w:name="xdx_90B_edei--LocalPhoneNumber_c20261022"/>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0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7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C_edei--SolicitingMaterial_c202610"/>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0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E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7_edei--Security12bTitle_c20261022"/>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9_edei--TradingSymbol_c20261022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8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C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2026, the registrant announced its earnings for the three-month and nine month periods ended September 30, 2026. A copy of the announcement is attached as an exhibit to this report. As noted in the announcement, the registrant will hold a conference call on October 26, 2026 at 1:00 p.m. ET to discuss its third quarter 2026 operating results. Those wishing to participate can pre-register for the conference call at the following link https://register-conf.media-server.com/register/BI87f6cd84ada240bc85917c79cf055d45. Registered participants will receive an email containing conference call details for dial-in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financial statements nor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financial information are filed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News release re earnings</w:t>
              </w:r>
            </w:hyperlink>
            <w:hyperlink w:anchor="cps_ex9901.htm">
              <w:r>
                <w:rPr>
                  <w:rStyle w:val="InternetLink"/>
                  <w:rFonts w:ascii="Times New Roman;Times;Serif" w:hAnsi="Times New Roman;Times;Serif"/>
                  <w:sz w:val="20"/>
                </w:rPr>
                <w:t>.</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hanging="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030"/>
        <w:gridCol w:w="4325"/>
      </w:tblGrid>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b/>
                <w:sz w:val="20"/>
              </w:rPr>
            </w:pPr>
            <w:r>
              <w:rPr>
                <w:b/>
                <w:sz w:val="20"/>
              </w:rPr>
              <w:t>CONSUMER PORTFOLIO SERVICES, INC.</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Dated: October 23, 2026</w:t>
            </w:r>
          </w:p>
        </w:tc>
        <w:tc>
          <w:tcPr>
            <w:tcW w:w="432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cps_ex9901.htm"/>
      <w:bookmarkStart w:id="25" w:name="kscps_ex9901"/>
      <w:bookmarkEnd w:id="24"/>
      <w:bookmarkEnd w:id="25"/>
      <w:r>
        <w:rPr>
          <w:b/>
        </w:rPr>
        <w:t>Exhibit 99.1</w:t>
      </w:r>
      <w:r>
        <w:br w:type="page"/>
      </w:r>
    </w:p>
    <w:p>
      <w:pPr>
        <w:pStyle w:val="TextBody"/>
        <w:bidi w:val="0"/>
        <w:spacing w:before="0" w:after="283"/>
        <w:jc w:val="left"/>
        <w:rPr/>
      </w:pPr>
      <w:r>
        <w:rPr/>
        <w:t> </w:t>
      </w:r>
    </w:p>
    <w:p>
      <w:pPr>
        <w:pStyle w:val="TextBody"/>
        <w:bidi w:val="0"/>
        <w:jc w:val="right"/>
        <w:rPr/>
      </w:pPr>
      <w:r>
        <w:rPr/>
        <w:drawing>
          <wp:inline distT="0" distB="0" distL="0" distR="0">
            <wp:extent cx="19050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715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CONSUMER PORTFOLIO SERVICES ANNOUNCES THIRD QUARTER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 up 50%; Net Income Increases 43%; Quarterly Loan Originations Grow by 109%; Total Portfolio Exceeds $4.7 Billion- Highest in Company History</w:t>
      </w:r>
    </w:p>
    <w:p>
      <w:pPr>
        <w:pStyle w:val="TextBody"/>
        <w:pBdr>
          <w:bottom w:val="single" w:sz="18" w:space="1" w:color="000000"/>
        </w:pBd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LAS VEGAS, NV — October 22, 2026 — GlobeNewswire — </w:t>
      </w:r>
      <w:r>
        <w:rPr>
          <w:rFonts w:ascii="Times New Roman;Times;Serif" w:hAnsi="Times New Roman;Times;Serif"/>
          <w:b w:val="false"/>
          <w:i w:val="false"/>
          <w:caps w:val="false"/>
          <w:smallCaps w:val="false"/>
          <w:sz w:val="20"/>
        </w:rPr>
        <w:t>Consumer Portfolio Services, Inc. (Nasdaq: CPSS) (“CPS” or the “Company”), an independent specialty finance company, today announced financial results for the third quarter and nine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THIRD QUARTER 2026 FINANCIAL AND OPERATIONAL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Diluted Earnings Per Share Increase: </w:t>
            </w:r>
            <w:r>
              <w:rPr>
                <w:rFonts w:ascii="Times New Roman;Times;Serif" w:hAnsi="Times New Roman;Times;Serif"/>
              </w:rPr>
              <w:t xml:space="preserve">50% increase to $0.30 per share, over Q3 2025.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Net Income Expansion: </w:t>
            </w:r>
            <w:r>
              <w:rPr>
                <w:rFonts w:ascii="Times New Roman;Times;Serif" w:hAnsi="Times New Roman;Times;Serif"/>
              </w:rPr>
              <w:t xml:space="preserve">Net Income of $7.0 million, up 43% from Q3 2025.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Accelerating Revenue: </w:t>
            </w:r>
            <w:r>
              <w:rPr>
                <w:rFonts w:ascii="Times New Roman;Times;Serif" w:hAnsi="Times New Roman;Times;Serif"/>
              </w:rPr>
              <w:t>Total Revenue of $131.9 million, an increase of 22% over Q3 2025.</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Triple-Digit Loan Origination Growth: </w:t>
            </w:r>
            <w:r>
              <w:rPr>
                <w:rFonts w:ascii="Times New Roman;Times;Serif" w:hAnsi="Times New Roman;Times;Serif"/>
              </w:rPr>
              <w:t>New loan origination volume increased 109% year-over- year to $815 million of automobile contracts purchased in Q3 2026.</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Record Portfolio Size: </w:t>
            </w:r>
            <w:r>
              <w:rPr>
                <w:rFonts w:ascii="Times New Roman;Times;Serif" w:hAnsi="Times New Roman;Times;Serif"/>
              </w:rPr>
              <w:t>Total owned portfolio reached a record $4.71 billion as of Q3 2026, up 25% from Q3 2025.</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Delinquency Contraction:</w:t>
            </w:r>
            <w:r>
              <w:rPr>
                <w:rFonts w:ascii="Times New Roman;Times;Serif" w:hAnsi="Times New Roman;Times;Serif"/>
              </w:rPr>
              <w:t xml:space="preserve"> Total delinquencies as of Q3 2026 finished at 12.29%, a decrease from 13.96% as of Q3 2025. </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Strengthening Collateral Recovery Rates: </w:t>
            </w:r>
            <w:r>
              <w:rPr>
                <w:rFonts w:ascii="Times New Roman;Times;Serif" w:hAnsi="Times New Roman;Times;Serif"/>
              </w:rPr>
              <w:t>Net recovery rates at auctions rose to 32% as of Q3 2026, up from 29% as of Q3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accelerating origination volume is demonstrating strong operating leverage in our business, as increases to net income are outpacing revenue and driving solid financial results, “said Charles E. Bradley, Chief Executive Officer. “Both the broadening of our dealership network and the deepening of relationships with existing dealers allows us to accelerate origination volume and capture market share, while remaining selective on the contracts we purchase.”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THIRD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 </w:t>
      </w:r>
      <w:r>
        <w:rPr>
          <w:rFonts w:ascii="Times New Roman;Times;Serif" w:hAnsi="Times New Roman;Times;Serif"/>
          <w:b w:val="false"/>
          <w:i w:val="false"/>
          <w:caps w:val="false"/>
          <w:smallCaps w:val="false"/>
          <w:sz w:val="20"/>
        </w:rPr>
        <w:t>Total revenue for the third quarter of 2026 was $131.9 million, an increase of $23.5 million, or 21.7%, compared to $108.4 million for the third quarter of 2025. Total revenue for the nine months ended September 30, 2026, was $365.6 million, an increase of approximately $40.5 million, or 12.5% compared to $325.1 million for the nine months ended September 30, 2025. Interest income, for both the third quarter and first nine months of 2026, was the largest driver of the increase in total revenue. The increase in interest income over the prior year periods is due to the growth in the loan portfolio from accelerating loan origination volume across an expanding dealer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Expenses- </w:t>
      </w:r>
      <w:r>
        <w:rPr>
          <w:rFonts w:ascii="Times New Roman;Times;Serif" w:hAnsi="Times New Roman;Times;Serif"/>
          <w:b w:val="false"/>
          <w:i w:val="false"/>
          <w:caps w:val="false"/>
          <w:smallCaps w:val="false"/>
          <w:sz w:val="20"/>
        </w:rPr>
        <w:t>Total operating expenses for the third quarter of 2026 were $121.8 million compared to $101.4 million for the third quarter of 2025. Total operating expenses for the nine months ended September 30, 2026, were $338.5 million, compared to $304.3 million for the nine months ended September 30, 2025. The increase in expense for both the third quarter and first nine months of 2026 is largely due to interest expense in conjunction with the increase in loan origination volumes. Interest expense comprised approximately 58% of total operating expenses for both the third quarter and first nine months of 2026 and 2025, demonstrating discipline in the cost structure of our borrowings as the portfolio grows.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Pretax Income- </w:t>
      </w:r>
      <w:r>
        <w:rPr>
          <w:rFonts w:ascii="Times New Roman;Times;Serif" w:hAnsi="Times New Roman;Times;Serif"/>
          <w:b w:val="false"/>
          <w:i w:val="false"/>
          <w:caps w:val="false"/>
          <w:smallCaps w:val="false"/>
          <w:sz w:val="20"/>
        </w:rPr>
        <w:t>Pretax income for the third quarter of 2026 increased 44.3%, or $3.1 million to $10.1 million, compared to $7.0 million for the third quarter of 2025. Pretax income for the nine months ended September 30, 2026, increased 30.3%, or $6.3 million to $27.1 million, compared to $20.8 million for the nine months ended September 30,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Net income for the third quarter of 2026 increased 43.3%, or $2.1 million to $7.0 million, compared to $4.9 million for the third quarter of 2025. Net income for the nine months ended September 30, 2026, increased 30.8%, or $4.4 million to $18.7 million, compared to $14.3 million for the nine months ended September 30, 2025. The increase to net income in both the third quarter and first nine months of 2026 is attributable to the increases in loan origination volume. The increases in net income outpacing the increases in revenue demonstrates strong operating leverage across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Diluted Earnings Per Share (EPS)- </w:t>
      </w:r>
      <w:r>
        <w:rPr>
          <w:rFonts w:ascii="Times New Roman;Times;Serif" w:hAnsi="Times New Roman;Times;Serif"/>
          <w:b w:val="false"/>
          <w:i w:val="false"/>
          <w:caps w:val="false"/>
          <w:smallCaps w:val="false"/>
          <w:sz w:val="20"/>
        </w:rPr>
        <w:t>Diluted earnings per share for the third quarter of 2026 increased 50.0%, or $0.10 per share to $0.30 per share, compared to $0.20 per share for the third quarter of 2025. Diluted earnings per share for the nine months ended September 30, 2026, increased 35.6%, or $0.21 per share to $0.80 per share, compared to $0.59 per share for the nine months ended September 30, 2025. Growth in diluted earnings per share was driven by higher net income alongside a lower diluted share count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THIRD QUARTER 2026 OPERATIONAL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and first nine months of 2026, the Company grew the portfolio to record levels and demonstrated positive credit performance across delinquencies, charge-offs, and auction recovery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Loan Origination Volume (Contract Purchases)- </w:t>
      </w:r>
      <w:r>
        <w:rPr>
          <w:rFonts w:ascii="Times New Roman;Times;Serif" w:hAnsi="Times New Roman;Times;Serif"/>
          <w:b w:val="false"/>
          <w:i w:val="false"/>
          <w:caps w:val="false"/>
          <w:smallCaps w:val="false"/>
          <w:sz w:val="20"/>
        </w:rPr>
        <w:t>Contract purchases for the third quarter of 2026 increased 108.5%, or $424.2 million to $815.3 million, compared to $391.1 million for the third quarter of 2025. Contract purchases for the nine months ended September 30, 2026, increased 65.2%, or $831.0 million to $2.106 billion, compared to $1.275 billion for the nine months ended September 30, 2025. The accelerating volume across both periods was driven by expanding our dealership base through strategic additions to our sales force, as well as enhancements that increased the speed and efficiency of contract underwriting and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Loan Portfolio-</w:t>
      </w:r>
      <w:r>
        <w:rPr>
          <w:rFonts w:ascii="Times New Roman;Times;Serif" w:hAnsi="Times New Roman;Times;Serif"/>
          <w:b w:val="false"/>
          <w:i w:val="false"/>
          <w:caps w:val="false"/>
          <w:smallCaps w:val="false"/>
          <w:sz w:val="20"/>
        </w:rPr>
        <w:t xml:space="preserve"> The loan portfolio at the end of the third quarter of 2026 totaled $4.711 billion, an increase of 25.3% from $3.760 billion at the end of the third quarter of 2025. This represents 21 consecutive quarters of growth in the loan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Delinquencies- </w:t>
      </w:r>
      <w:r>
        <w:rPr>
          <w:rFonts w:ascii="Times New Roman;Times;Serif" w:hAnsi="Times New Roman;Times;Serif"/>
          <w:b w:val="false"/>
          <w:i w:val="false"/>
          <w:caps w:val="false"/>
          <w:smallCaps w:val="false"/>
          <w:sz w:val="20"/>
        </w:rPr>
        <w:t>Total delinquencies (including repossession inventory) at the end of the third quarter decreased to 12.29%, compared to 13.96%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Annualized Net Charge-offs- </w:t>
      </w:r>
      <w:r>
        <w:rPr>
          <w:rFonts w:ascii="Times New Roman;Times;Serif" w:hAnsi="Times New Roman;Times;Serif"/>
          <w:b w:val="false"/>
          <w:i w:val="false"/>
          <w:caps w:val="false"/>
          <w:smallCaps w:val="false"/>
          <w:sz w:val="20"/>
        </w:rPr>
        <w:t>Annualized net charge-offs as a percent of the average portfolio in the third quarter decreased to 7.26%, compared to 8.01%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Recovery Rates- </w:t>
      </w:r>
      <w:r>
        <w:rPr>
          <w:rFonts w:ascii="Times New Roman;Times;Serif" w:hAnsi="Times New Roman;Times;Serif"/>
          <w:b w:val="false"/>
          <w:i w:val="false"/>
          <w:caps w:val="false"/>
          <w:smallCaps w:val="false"/>
          <w:sz w:val="20"/>
        </w:rPr>
        <w:t>Net recovery rates on repossessed collateral sold at wholesale auction increased to 32.0% in the third quarter, compared to 28.7% in the prior year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9"/>
        <w:gridCol w:w="60"/>
        <w:gridCol w:w="140"/>
        <w:gridCol w:w="747"/>
        <w:gridCol w:w="60"/>
        <w:gridCol w:w="60"/>
        <w:gridCol w:w="140"/>
        <w:gridCol w:w="747"/>
        <w:gridCol w:w="60"/>
        <w:gridCol w:w="60"/>
        <w:gridCol w:w="133"/>
        <w:gridCol w:w="1259"/>
        <w:gridCol w:w="95"/>
        <w:gridCol w:w="60"/>
        <w:gridCol w:w="156"/>
        <w:gridCol w:w="827"/>
        <w:gridCol w:w="66"/>
        <w:gridCol w:w="66"/>
        <w:gridCol w:w="156"/>
        <w:gridCol w:w="827"/>
        <w:gridCol w:w="60"/>
        <w:gridCol w:w="60"/>
        <w:gridCol w:w="166"/>
        <w:gridCol w:w="1225"/>
        <w:gridCol w:w="116"/>
      </w:tblGrid>
      <w:tr>
        <w:trPr/>
        <w:tc>
          <w:tcPr>
            <w:tcW w:w="2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r>
        <w:trPr/>
        <w:tc>
          <w:tcPr>
            <w:tcW w:w="28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 (%/bps)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 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Q3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 (%/bps)</w:t>
            </w:r>
          </w:p>
        </w:tc>
        <w:tc>
          <w:tcPr>
            <w:tcW w:w="116" w:type="dxa"/>
            <w:tcBorders/>
            <w:vAlign w:val="center"/>
          </w:tcPr>
          <w:p>
            <w:pPr>
              <w:pStyle w:val="TableContents"/>
              <w:bidi w:val="0"/>
              <w:spacing w:before="0" w:after="283"/>
              <w:jc w:val="left"/>
              <w:rPr/>
            </w:pPr>
            <w:r>
              <w:rPr/>
              <w:t> </w:t>
            </w:r>
          </w:p>
        </w:tc>
      </w:tr>
      <w:tr>
        <w:trPr/>
        <w:tc>
          <w:tcPr>
            <w:tcW w:w="2859" w:type="dxa"/>
            <w:tcBorders/>
            <w:shd w:fill="EEEEEE" w:val="clear"/>
            <w:vAlign w:val="center"/>
          </w:tcPr>
          <w:p>
            <w:pPr>
              <w:pStyle w:val="TableContents"/>
              <w:bidi w:val="0"/>
              <w:spacing w:before="0" w:after="283"/>
              <w:jc w:val="left"/>
              <w:rPr>
                <w:b/>
              </w:rPr>
            </w:pPr>
            <w:r>
              <w:rPr>
                <w:b/>
              </w:rPr>
              <w:t>Operational Metric ($m)</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shd w:fill="EEEEEE" w:val="clear"/>
            <w:vAlign w:val="center"/>
          </w:tcPr>
          <w:p>
            <w:pPr>
              <w:pStyle w:val="TableContents"/>
              <w:bidi w:val="0"/>
              <w:spacing w:before="0" w:after="283"/>
              <w:jc w:val="left"/>
              <w:rPr/>
            </w:pPr>
            <w:r>
              <w:rPr/>
              <w:t> </w:t>
            </w:r>
          </w:p>
        </w:tc>
        <w:tc>
          <w:tcPr>
            <w:tcW w:w="125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pPr>
            <w:r>
              <w:rPr/>
              <w:t>Contracts Purchased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47" w:type="dxa"/>
            <w:tcBorders/>
            <w:shd w:fill="FFFFFF" w:val="clear"/>
            <w:vAlign w:val="center"/>
          </w:tcPr>
          <w:p>
            <w:pPr>
              <w:pStyle w:val="TableContents"/>
              <w:bidi w:val="0"/>
              <w:spacing w:before="0" w:after="283"/>
              <w:jc w:val="right"/>
              <w:rPr/>
            </w:pPr>
            <w:r>
              <w:rPr/>
              <w:t>815.3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47" w:type="dxa"/>
            <w:tcBorders/>
            <w:shd w:fill="FFFFFF" w:val="clear"/>
            <w:vAlign w:val="center"/>
          </w:tcPr>
          <w:p>
            <w:pPr>
              <w:pStyle w:val="TableContents"/>
              <w:bidi w:val="0"/>
              <w:spacing w:before="0" w:after="283"/>
              <w:jc w:val="right"/>
              <w:rPr/>
            </w:pPr>
            <w:r>
              <w:rPr/>
              <w:t>391.1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108.5%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27" w:type="dxa"/>
            <w:tcBorders/>
            <w:shd w:fill="FFFFFF" w:val="clear"/>
            <w:vAlign w:val="center"/>
          </w:tcPr>
          <w:p>
            <w:pPr>
              <w:pStyle w:val="TableContents"/>
              <w:bidi w:val="0"/>
              <w:spacing w:before="0" w:after="283"/>
              <w:jc w:val="right"/>
              <w:rPr/>
            </w:pPr>
            <w:r>
              <w:rPr/>
              <w:t>2,106.2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27" w:type="dxa"/>
            <w:tcBorders/>
            <w:shd w:fill="FFFFFF" w:val="clear"/>
            <w:vAlign w:val="center"/>
          </w:tcPr>
          <w:p>
            <w:pPr>
              <w:pStyle w:val="TableContents"/>
              <w:bidi w:val="0"/>
              <w:spacing w:before="0" w:after="283"/>
              <w:jc w:val="right"/>
              <w:rPr/>
            </w:pPr>
            <w:r>
              <w:rPr/>
              <w:t>1,275.3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65.2%</w:t>
            </w:r>
          </w:p>
        </w:tc>
        <w:tc>
          <w:tcPr>
            <w:tcW w:w="116" w:type="dxa"/>
            <w:tcBorders/>
            <w:shd w:fill="FFFFFF" w:val="clear"/>
            <w:vAlign w:val="center"/>
          </w:tcPr>
          <w:p>
            <w:pPr>
              <w:pStyle w:val="TableContents"/>
              <w:bidi w:val="0"/>
              <w:spacing w:before="0" w:after="283"/>
              <w:jc w:val="left"/>
              <w:rPr/>
            </w:pPr>
            <w:r>
              <w:rPr/>
              <w:t> </w:t>
            </w:r>
          </w:p>
        </w:tc>
      </w:tr>
      <w:tr>
        <w:trPr/>
        <w:tc>
          <w:tcPr>
            <w:tcW w:w="2859" w:type="dxa"/>
            <w:tcBorders/>
            <w:shd w:fill="EEEEEE" w:val="clear"/>
            <w:vAlign w:val="center"/>
          </w:tcPr>
          <w:p>
            <w:pPr>
              <w:pStyle w:val="TableContents"/>
              <w:bidi w:val="0"/>
              <w:spacing w:before="0" w:after="283"/>
              <w:jc w:val="left"/>
              <w:rPr/>
            </w:pPr>
            <w:r>
              <w:rPr/>
              <w:t>Contracts Securitized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7" w:type="dxa"/>
            <w:tcBorders/>
            <w:shd w:fill="EEEEEE" w:val="clear"/>
            <w:vAlign w:val="center"/>
          </w:tcPr>
          <w:p>
            <w:pPr>
              <w:pStyle w:val="TableContents"/>
              <w:bidi w:val="0"/>
              <w:spacing w:before="0" w:after="283"/>
              <w:jc w:val="right"/>
              <w:rPr/>
            </w:pPr>
            <w:r>
              <w:rPr/>
              <w:t>734.5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7" w:type="dxa"/>
            <w:tcBorders/>
            <w:shd w:fill="EEEEEE" w:val="clear"/>
            <w:vAlign w:val="center"/>
          </w:tcPr>
          <w:p>
            <w:pPr>
              <w:pStyle w:val="TableContents"/>
              <w:bidi w:val="0"/>
              <w:spacing w:before="0" w:after="283"/>
              <w:jc w:val="right"/>
              <w:rPr/>
            </w:pPr>
            <w:r>
              <w:rPr/>
              <w:t>433.5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shd w:fill="EEEEEE" w:val="clear"/>
            <w:vAlign w:val="center"/>
          </w:tcPr>
          <w:p>
            <w:pPr>
              <w:pStyle w:val="TableContents"/>
              <w:bidi w:val="0"/>
              <w:spacing w:before="0" w:after="283"/>
              <w:jc w:val="left"/>
              <w:rPr/>
            </w:pPr>
            <w:r>
              <w:rPr/>
              <w:t> </w:t>
            </w:r>
          </w:p>
        </w:tc>
        <w:tc>
          <w:tcPr>
            <w:tcW w:w="1259" w:type="dxa"/>
            <w:tcBorders/>
            <w:shd w:fill="EEEEEE" w:val="clear"/>
            <w:vAlign w:val="center"/>
          </w:tcPr>
          <w:p>
            <w:pPr>
              <w:pStyle w:val="TableContents"/>
              <w:bidi w:val="0"/>
              <w:spacing w:before="0" w:after="283"/>
              <w:jc w:val="right"/>
              <w:rPr/>
            </w:pPr>
            <w:r>
              <w:rPr/>
              <w:t>69.4%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p>
        </w:tc>
        <w:tc>
          <w:tcPr>
            <w:tcW w:w="827" w:type="dxa"/>
            <w:tcBorders/>
            <w:shd w:fill="EEEEEE" w:val="clear"/>
            <w:vAlign w:val="center"/>
          </w:tcPr>
          <w:p>
            <w:pPr>
              <w:pStyle w:val="TableContents"/>
              <w:bidi w:val="0"/>
              <w:spacing w:before="0" w:after="283"/>
              <w:jc w:val="right"/>
              <w:rPr/>
            </w:pPr>
            <w:r>
              <w:rPr/>
              <w:t>1,613.3</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p>
        </w:tc>
        <w:tc>
          <w:tcPr>
            <w:tcW w:w="827" w:type="dxa"/>
            <w:tcBorders/>
            <w:shd w:fill="EEEEEE" w:val="clear"/>
            <w:vAlign w:val="center"/>
          </w:tcPr>
          <w:p>
            <w:pPr>
              <w:pStyle w:val="TableContents"/>
              <w:bidi w:val="0"/>
              <w:spacing w:before="0" w:after="283"/>
              <w:jc w:val="right"/>
              <w:rPr/>
            </w:pPr>
            <w:r>
              <w:rPr/>
              <w:t>1,335.3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20.8%</w:t>
            </w:r>
          </w:p>
        </w:tc>
        <w:tc>
          <w:tcPr>
            <w:tcW w:w="116" w:type="dxa"/>
            <w:tcBorders/>
            <w:shd w:fill="EEEEEE"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pPr>
            <w:r>
              <w:rPr/>
              <w:t>Total portfolio balance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47" w:type="dxa"/>
            <w:tcBorders/>
            <w:shd w:fill="FFFFFF" w:val="clear"/>
            <w:vAlign w:val="center"/>
          </w:tcPr>
          <w:p>
            <w:pPr>
              <w:pStyle w:val="TableContents"/>
              <w:bidi w:val="0"/>
              <w:spacing w:before="0" w:after="283"/>
              <w:jc w:val="right"/>
              <w:rPr/>
            </w:pPr>
            <w:r>
              <w:rPr/>
              <w:t>4,711.0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47" w:type="dxa"/>
            <w:tcBorders/>
            <w:shd w:fill="FFFFFF" w:val="clear"/>
            <w:vAlign w:val="center"/>
          </w:tcPr>
          <w:p>
            <w:pPr>
              <w:pStyle w:val="TableContents"/>
              <w:bidi w:val="0"/>
              <w:spacing w:before="0" w:after="283"/>
              <w:jc w:val="right"/>
              <w:rPr/>
            </w:pPr>
            <w:r>
              <w:rPr/>
              <w:t>3,760.3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2859" w:type="dxa"/>
            <w:tcBorders/>
            <w:shd w:fill="EEEEEE" w:val="clear"/>
            <w:vAlign w:val="center"/>
          </w:tcPr>
          <w:p>
            <w:pPr>
              <w:pStyle w:val="TableContents"/>
              <w:bidi w:val="0"/>
              <w:spacing w:before="0" w:after="283"/>
              <w:jc w:val="left"/>
              <w:rPr/>
            </w:pPr>
            <w:r>
              <w:rPr/>
              <w:t>Average portfolio balance (2)</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7" w:type="dxa"/>
            <w:tcBorders/>
            <w:shd w:fill="EEEEEE" w:val="clear"/>
            <w:vAlign w:val="center"/>
          </w:tcPr>
          <w:p>
            <w:pPr>
              <w:pStyle w:val="TableContents"/>
              <w:bidi w:val="0"/>
              <w:spacing w:before="0" w:after="283"/>
              <w:jc w:val="right"/>
              <w:rPr/>
            </w:pPr>
            <w:r>
              <w:rPr/>
              <w:t>4,576.3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7" w:type="dxa"/>
            <w:tcBorders/>
            <w:shd w:fill="EEEEEE" w:val="clear"/>
            <w:vAlign w:val="center"/>
          </w:tcPr>
          <w:p>
            <w:pPr>
              <w:pStyle w:val="TableContents"/>
              <w:bidi w:val="0"/>
              <w:spacing w:before="0" w:after="283"/>
              <w:jc w:val="right"/>
              <w:rPr/>
            </w:pPr>
            <w:r>
              <w:rPr/>
              <w:t>3,745.3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shd w:fill="EEEEEE" w:val="clear"/>
            <w:vAlign w:val="center"/>
          </w:tcPr>
          <w:p>
            <w:pPr>
              <w:pStyle w:val="TableContents"/>
              <w:bidi w:val="0"/>
              <w:spacing w:before="0" w:after="283"/>
              <w:jc w:val="left"/>
              <w:rPr/>
            </w:pPr>
            <w:r>
              <w:rPr/>
              <w:t> </w:t>
            </w:r>
          </w:p>
        </w:tc>
        <w:tc>
          <w:tcPr>
            <w:tcW w:w="1259" w:type="dxa"/>
            <w:tcBorders/>
            <w:shd w:fill="EEEEEE" w:val="clear"/>
            <w:vAlign w:val="center"/>
          </w:tcPr>
          <w:p>
            <w:pPr>
              <w:pStyle w:val="TableContents"/>
              <w:bidi w:val="0"/>
              <w:spacing w:before="0" w:after="283"/>
              <w:jc w:val="right"/>
              <w:rPr/>
            </w:pPr>
            <w:r>
              <w:rPr/>
              <w:t>22.2%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p>
        </w:tc>
        <w:tc>
          <w:tcPr>
            <w:tcW w:w="827" w:type="dxa"/>
            <w:tcBorders/>
            <w:shd w:fill="EEEEEE" w:val="clear"/>
            <w:vAlign w:val="center"/>
          </w:tcPr>
          <w:p>
            <w:pPr>
              <w:pStyle w:val="TableContents"/>
              <w:bidi w:val="0"/>
              <w:spacing w:before="0" w:after="283"/>
              <w:jc w:val="right"/>
              <w:rPr/>
            </w:pPr>
            <w:r>
              <w:rPr/>
              <w:t>4,205.3</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p>
        </w:tc>
        <w:tc>
          <w:tcPr>
            <w:tcW w:w="827" w:type="dxa"/>
            <w:tcBorders/>
            <w:shd w:fill="EEEEEE" w:val="clear"/>
            <w:vAlign w:val="center"/>
          </w:tcPr>
          <w:p>
            <w:pPr>
              <w:pStyle w:val="TableContents"/>
              <w:bidi w:val="0"/>
              <w:spacing w:before="0" w:after="283"/>
              <w:jc w:val="right"/>
              <w:rPr/>
            </w:pPr>
            <w:r>
              <w:rPr/>
              <w:t>3,667.0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14.7%</w:t>
            </w:r>
          </w:p>
        </w:tc>
        <w:tc>
          <w:tcPr>
            <w:tcW w:w="116" w:type="dxa"/>
            <w:tcBorders/>
            <w:shd w:fill="EEEEEE"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b/>
              </w:rPr>
            </w:pPr>
            <w:r>
              <w:rPr>
                <w:b/>
              </w:rPr>
              <w:t>Credit Metric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2859" w:type="dxa"/>
            <w:tcBorders/>
            <w:shd w:fill="EEEEEE" w:val="clear"/>
            <w:vAlign w:val="center"/>
          </w:tcPr>
          <w:p>
            <w:pPr>
              <w:pStyle w:val="TableContents"/>
              <w:bidi w:val="0"/>
              <w:spacing w:before="0" w:after="283"/>
              <w:jc w:val="right"/>
              <w:rPr/>
            </w:pPr>
            <w:r>
              <w:rPr/>
              <w:t>31+ Day Delinquency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10.20%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11.12%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shd w:fill="EEEEEE" w:val="clear"/>
            <w:vAlign w:val="center"/>
          </w:tcPr>
          <w:p>
            <w:pPr>
              <w:pStyle w:val="TableContents"/>
              <w:bidi w:val="0"/>
              <w:spacing w:before="0" w:after="283"/>
              <w:jc w:val="left"/>
              <w:rPr/>
            </w:pPr>
            <w:r>
              <w:rPr/>
              <w:t> </w:t>
            </w:r>
          </w:p>
        </w:tc>
        <w:tc>
          <w:tcPr>
            <w:tcW w:w="1259" w:type="dxa"/>
            <w:tcBorders/>
            <w:shd w:fill="EEEEEE" w:val="clear"/>
            <w:vAlign w:val="center"/>
          </w:tcPr>
          <w:p>
            <w:pPr>
              <w:pStyle w:val="TableContents"/>
              <w:bidi w:val="0"/>
              <w:spacing w:before="0" w:after="283"/>
              <w:jc w:val="right"/>
              <w:rPr/>
            </w:pPr>
            <w:r>
              <w:rPr/>
              <w:t>(92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right"/>
              <w:rPr/>
            </w:pPr>
            <w:r>
              <w:rPr/>
              <w:t>Repossession Inventory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pPr>
            <w:r>
              <w:rPr/>
              <w:t>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7" w:type="dxa"/>
            <w:tcBorders>
              <w:bottom w:val="single" w:sz="8" w:space="0" w:color="000000"/>
            </w:tcBorders>
            <w:shd w:fill="FFFFFF" w:val="clear"/>
            <w:tcMar>
              <w:bottom w:w="28" w:type="dxa"/>
            </w:tcMar>
            <w:vAlign w:val="center"/>
          </w:tcPr>
          <w:p>
            <w:pPr>
              <w:pStyle w:val="TableContents"/>
              <w:bidi w:val="0"/>
              <w:spacing w:before="0" w:after="283"/>
              <w:jc w:val="right"/>
              <w:rPr/>
            </w:pPr>
            <w:r>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8" w:space="0" w:color="000000"/>
            </w:tcBorders>
            <w:shd w:fill="FFFFFF" w:val="clear"/>
            <w:tcMar>
              <w:bottom w:w="28" w:type="dxa"/>
            </w:tcMar>
            <w:vAlign w:val="center"/>
          </w:tcPr>
          <w:p>
            <w:pPr>
              <w:pStyle w:val="TableContents"/>
              <w:bidi w:val="0"/>
              <w:spacing w:before="0" w:after="283"/>
              <w:jc w:val="right"/>
              <w:rPr/>
            </w:pPr>
            <w:r>
              <w:rPr/>
              <w:t>(75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2859" w:type="dxa"/>
            <w:tcBorders/>
            <w:shd w:fill="EEEEEE" w:val="clear"/>
            <w:vAlign w:val="center"/>
          </w:tcPr>
          <w:p>
            <w:pPr>
              <w:pStyle w:val="TableContents"/>
              <w:bidi w:val="0"/>
              <w:spacing w:before="0" w:after="283"/>
              <w:jc w:val="right"/>
              <w:rPr/>
            </w:pPr>
            <w:r>
              <w:rPr/>
              <w:t>Total Delinquencies and Repo. Inventory (1)</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12.29%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13.96%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shd w:fill="EEEEEE" w:val="clear"/>
            <w:vAlign w:val="center"/>
          </w:tcPr>
          <w:p>
            <w:pPr>
              <w:pStyle w:val="TableContents"/>
              <w:bidi w:val="0"/>
              <w:spacing w:before="0" w:after="283"/>
              <w:jc w:val="left"/>
              <w:rPr/>
            </w:pPr>
            <w:r>
              <w:rPr/>
              <w:t> </w:t>
            </w:r>
          </w:p>
        </w:tc>
        <w:tc>
          <w:tcPr>
            <w:tcW w:w="1259" w:type="dxa"/>
            <w:tcBorders/>
            <w:shd w:fill="EEEEEE" w:val="clear"/>
            <w:vAlign w:val="center"/>
          </w:tcPr>
          <w:p>
            <w:pPr>
              <w:pStyle w:val="TableContents"/>
              <w:bidi w:val="0"/>
              <w:spacing w:before="0" w:after="283"/>
              <w:jc w:val="right"/>
              <w:rPr/>
            </w:pPr>
            <w:r>
              <w:rPr/>
              <w:t>(167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2859" w:type="dxa"/>
            <w:tcBorders/>
            <w:shd w:fill="EEEEEE" w:val="clear"/>
            <w:vAlign w:val="center"/>
          </w:tcPr>
          <w:p>
            <w:pPr>
              <w:pStyle w:val="TableContents"/>
              <w:bidi w:val="0"/>
              <w:spacing w:before="0" w:after="283"/>
              <w:jc w:val="right"/>
              <w:rPr/>
            </w:pPr>
            <w:r>
              <w:rPr/>
              <w:t>Annualized Net Charge-offs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7.26%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7" w:type="dxa"/>
            <w:tcBorders/>
            <w:shd w:fill="EEEEEE" w:val="clear"/>
            <w:vAlign w:val="center"/>
          </w:tcPr>
          <w:p>
            <w:pPr>
              <w:pStyle w:val="TableContents"/>
              <w:bidi w:val="0"/>
              <w:spacing w:before="0" w:after="283"/>
              <w:jc w:val="right"/>
              <w:rPr/>
            </w:pPr>
            <w:r>
              <w:rPr/>
              <w:t>8.01%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33" w:type="dxa"/>
            <w:tcBorders/>
            <w:shd w:fill="EEEEEE" w:val="clear"/>
            <w:vAlign w:val="center"/>
          </w:tcPr>
          <w:p>
            <w:pPr>
              <w:pStyle w:val="TableContents"/>
              <w:bidi w:val="0"/>
              <w:spacing w:before="0" w:after="283"/>
              <w:jc w:val="left"/>
              <w:rPr/>
            </w:pPr>
            <w:r>
              <w:rPr/>
              <w:t> </w:t>
            </w:r>
          </w:p>
        </w:tc>
        <w:tc>
          <w:tcPr>
            <w:tcW w:w="1259" w:type="dxa"/>
            <w:tcBorders/>
            <w:shd w:fill="EEEEEE" w:val="clear"/>
            <w:vAlign w:val="center"/>
          </w:tcPr>
          <w:p>
            <w:pPr>
              <w:pStyle w:val="TableContents"/>
              <w:bidi w:val="0"/>
              <w:spacing w:before="0" w:after="283"/>
              <w:jc w:val="right"/>
              <w:rPr/>
            </w:pPr>
            <w:r>
              <w:rPr/>
              <w:t>(75</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7.66%</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 </w:t>
            </w:r>
          </w:p>
        </w:tc>
        <w:tc>
          <w:tcPr>
            <w:tcW w:w="827" w:type="dxa"/>
            <w:tcBorders/>
            <w:shd w:fill="EEEEEE" w:val="clear"/>
            <w:vAlign w:val="center"/>
          </w:tcPr>
          <w:p>
            <w:pPr>
              <w:pStyle w:val="TableContents"/>
              <w:bidi w:val="0"/>
              <w:spacing w:before="0" w:after="283"/>
              <w:jc w:val="right"/>
              <w:rPr/>
            </w:pPr>
            <w:r>
              <w:rPr/>
              <w:t>7.67%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 </w:t>
            </w:r>
          </w:p>
        </w:tc>
        <w:tc>
          <w:tcPr>
            <w:tcW w:w="1225" w:type="dxa"/>
            <w:tcBorders/>
            <w:shd w:fill="EEEEEE" w:val="clear"/>
            <w:vAlign w:val="center"/>
          </w:tcPr>
          <w:p>
            <w:pPr>
              <w:pStyle w:val="TableContents"/>
              <w:bidi w:val="0"/>
              <w:spacing w:before="0" w:after="283"/>
              <w:jc w:val="right"/>
              <w:rPr/>
            </w:pPr>
            <w:r>
              <w:rPr/>
              <w:t>(1</w:t>
            </w:r>
          </w:p>
        </w:tc>
        <w:tc>
          <w:tcPr>
            <w:tcW w:w="116" w:type="dxa"/>
            <w:tcBorders/>
            <w:shd w:fill="EEEEEE" w:val="clear"/>
            <w:vAlign w:val="center"/>
          </w:tcPr>
          <w:p>
            <w:pPr>
              <w:pStyle w:val="TableContents"/>
              <w:bidi w:val="0"/>
              <w:spacing w:before="0" w:after="283"/>
              <w:jc w:val="left"/>
              <w:rPr/>
            </w:pPr>
            <w:r>
              <w:rPr/>
              <w:t>)</w:t>
            </w:r>
          </w:p>
        </w:tc>
      </w:tr>
      <w:tr>
        <w:trPr/>
        <w:tc>
          <w:tcPr>
            <w:tcW w:w="2859" w:type="dxa"/>
            <w:tcBorders/>
            <w:shd w:fill="FFFFFF" w:val="clear"/>
            <w:vAlign w:val="center"/>
          </w:tcPr>
          <w:p>
            <w:pPr>
              <w:pStyle w:val="TableContents"/>
              <w:bidi w:val="0"/>
              <w:spacing w:before="0" w:after="283"/>
              <w:jc w:val="right"/>
              <w:rPr/>
            </w:pPr>
            <w:r>
              <w:rPr/>
              <w:t>Recovery rates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32.1%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315</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283"/>
              <w:jc w:val="left"/>
              <w:rPr/>
            </w:pPr>
            <w:r>
              <w:rPr/>
              <w:t>Total portfolio and delinquency figures are as of figures and the same for the three and nine month periods.</w:t>
            </w:r>
          </w:p>
        </w:tc>
      </w:tr>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283"/>
              <w:jc w:val="left"/>
              <w:rPr/>
            </w:pPr>
            <w:r>
              <w:rPr/>
              <w:t>Figure(s) excludes third party portfolios.</w:t>
            </w:r>
          </w:p>
        </w:tc>
      </w:tr>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283"/>
              <w:jc w:val="left"/>
              <w:rPr/>
            </w:pPr>
            <w:r>
              <w:rPr/>
              <w:t>Wholesale auction liquidation amounts (net of expenses) as a percentage of the account balance at the time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the Company renewed one of its warehouse lines of credit and increased the capacity to $508 million from $335 million. This expanded the capacity of the line by approximately 52% and gives the Company additional credit capacity to fund the accelerating volume of loan originations.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asset backed securitization (ABS) of 2026 also closed during the third quarter, which primarily included loan originations from the second quarter of 2026. The was the Company’s 110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securitization and the largest deal in the Company’s 35-year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Resources, Webcast &amp; 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and live audio webcast to discuss its third quarter 2026 operating results on Monday, October 26, 2026, at 1:00 p.m. Eastern Time (10:00 a.m. Pacific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pPr>
            <w:r>
              <w:rPr>
                <w:rFonts w:ascii="Times New Roman;Times;Serif" w:hAnsi="Times New Roman;Times;Serif"/>
                <w:b/>
              </w:rPr>
              <w:t>Live Webcast &amp; Presentation Deck:</w:t>
            </w:r>
            <w:r>
              <w:rPr>
                <w:rFonts w:ascii="Times New Roman;Times;Serif" w:hAnsi="Times New Roman;Times;Serif"/>
              </w:rPr>
              <w:t xml:space="preserve"> Investors can access the simultaneous live audio webcast and download the Q3 2026 Investor Presentation Slide Deck by visiting the Investor Relations section of the Company's website at https://ir.consumerportfolio.com.</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pPr>
            <w:r>
              <w:rPr>
                <w:rFonts w:ascii="Times New Roman;Times;Serif" w:hAnsi="Times New Roman;Times;Serif"/>
                <w:b/>
              </w:rPr>
              <w:t>Conference Call Pre-Registration:</w:t>
            </w:r>
            <w:r>
              <w:rPr>
                <w:rFonts w:ascii="Times New Roman;Times;Serif" w:hAnsi="Times New Roman;Times;Serif"/>
              </w:rPr>
              <w:t xml:space="preserve"> Participants are encouraged to pre-register for the conference call using the following link:</w:t>
            </w:r>
            <w:r>
              <w:rPr/>
              <w:t xml:space="preserve"> </w:t>
            </w:r>
            <w:r>
              <w:rPr>
                <w:rFonts w:ascii="Times New Roman;Times;Serif" w:hAnsi="Times New Roman;Times;Serif"/>
              </w:rPr>
              <w:t>https://register-conf.media-server.com/register/BI87f6cd84ada240bc85917c79cf055d45. Registered participants will receive dial-in credentials and a unique PIN for immediate access.</w:t>
            </w:r>
          </w:p>
        </w:tc>
      </w:tr>
      <w:tr>
        <w:trPr/>
        <w:tc>
          <w:tcPr>
            <w:tcW w:w="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6"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6" w:type="dxa"/>
            <w:tcBorders/>
            <w:vAlign w:val="center"/>
          </w:tcPr>
          <w:p>
            <w:pPr>
              <w:pStyle w:val="TableContents"/>
              <w:bidi w:val="0"/>
              <w:spacing w:before="0" w:after="283"/>
              <w:jc w:val="left"/>
              <w:rPr/>
            </w:pPr>
            <w:r>
              <w:rPr>
                <w:rFonts w:ascii="Times New Roman;Times;Serif" w:hAnsi="Times New Roman;Times;Serif"/>
                <w:b/>
              </w:rPr>
              <w:t>Webcast Audio Replay:</w:t>
            </w:r>
            <w:r>
              <w:rPr>
                <w:rFonts w:ascii="Times New Roman;Times;Serif" w:hAnsi="Times New Roman;Times;Serif"/>
              </w:rPr>
              <w:t xml:space="preserve"> An archived audio replay will be available beginning two hours after the conclusion of the call and will remain accessible for 12 months at https://ir.consumerportfolio.com/investor-relations.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Consumer Portfolio Services,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&amp; Safe Harbor Disclosures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news release include statements regarding the Company’s expected loan origination volume and growth, the expansion of its dealership network and market share, operating leverage and expense efficiency, the adequacy of funding capacity, and future credit performance. The Company's allowances for credit losses, fair value estimates, provision for credit losses, and related figures are also forward-looking statements because they depend on estimates of future losses. Actual results may differ due to various factors including: increased delinquencies, repossessions, and losses; incorrect prepayment speed or discount rate assumptions; competition or the loss of dealer relationships or qualified personnel; reduced availability or increased cost of warehouse and securitization funding, including due to interest rate or capital market conditions; increases in consumer bankruptcy filings; changes in government regulations affecting consumer credit; declines in used vehicle prices; and economic conditions in geographic areas in the Company's principal markets. Any or all such factors also may affect the Company’s future financial results, as to which there can be no assurance. Results of the most recent quarter and the trends described in this release are not necessarily indicative of future results. Additional risks are described in the Company's filings with the Securities and Exchange Commission, including its most recent Annual Report on Form 10-K and subsequent Quarterly Reports on Form 10-Q.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and Executive Contact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Bharwani, 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949-753-6811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Portal: https://ir.consumerportfolio.com</w:t>
        <w:br/>
        <w:t>Corporate Headquarters: 3800 Howard Hughes Pkwy, Suite 1400, Las Vegas, NV 89169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283"/>
        <w:jc w:val="left"/>
        <w:rPr/>
      </w:pPr>
      <w:r>
        <w:rPr/>
        <w:t> </w:t>
      </w:r>
    </w:p>
    <w:tbl>
      <w:tblPr>
        <w:tblW w:w="7018" w:type="dxa"/>
        <w:jc w:val="left"/>
        <w:tblInd w:w="0" w:type="dxa"/>
        <w:tblLayout w:type="fixed"/>
        <w:tblCellMar>
          <w:top w:w="0" w:type="dxa"/>
          <w:left w:w="0" w:type="dxa"/>
          <w:bottom w:w="0" w:type="dxa"/>
          <w:right w:w="0" w:type="dxa"/>
        </w:tblCellMar>
      </w:tblPr>
      <w:tblGrid>
        <w:gridCol w:w="4025"/>
        <w:gridCol w:w="60"/>
        <w:gridCol w:w="173"/>
        <w:gridCol w:w="1211"/>
        <w:gridCol w:w="60"/>
        <w:gridCol w:w="60"/>
        <w:gridCol w:w="169"/>
        <w:gridCol w:w="1185"/>
        <w:gridCol w:w="7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pPr>
            <w:r>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1211" w:type="dxa"/>
            <w:tcBorders/>
            <w:shd w:fill="FFFFFF" w:val="clear"/>
            <w:vAlign w:val="center"/>
          </w:tcPr>
          <w:p>
            <w:pPr>
              <w:pStyle w:val="TableContents"/>
              <w:bidi w:val="0"/>
              <w:spacing w:before="0" w:after="283"/>
              <w:jc w:val="right"/>
              <w:rPr/>
            </w:pPr>
            <w:r>
              <w:rPr/>
              <w:t>5,147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1185" w:type="dxa"/>
            <w:tcBorders/>
            <w:shd w:fill="FFFFFF" w:val="clear"/>
            <w:vAlign w:val="center"/>
          </w:tcPr>
          <w:p>
            <w:pPr>
              <w:pStyle w:val="TableContents"/>
              <w:bidi w:val="0"/>
              <w:spacing w:before="0" w:after="283"/>
              <w:jc w:val="right"/>
              <w:rPr/>
            </w:pPr>
            <w:r>
              <w:rPr/>
              <w:t>6,322</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Restricted cash and equivalents</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174,964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165,885</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4,624,585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3,655,855</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Other assets</w:t>
            </w:r>
          </w:p>
        </w:tc>
        <w:tc>
          <w:tcPr>
            <w:tcW w:w="60" w:type="dxa"/>
            <w:tcBorders/>
            <w:shd w:fill="EEEEEE" w:val="clear"/>
            <w:vAlign w:val="center"/>
          </w:tcPr>
          <w:p>
            <w:pPr>
              <w:pStyle w:val="TableContents"/>
              <w:bidi w:val="0"/>
              <w:spacing w:before="0" w:after="283"/>
              <w:jc w:val="left"/>
              <w:rPr/>
            </w:pPr>
            <w:r>
              <w:rPr/>
              <w:t> </w:t>
            </w:r>
          </w:p>
        </w:tc>
        <w:tc>
          <w:tcPr>
            <w:tcW w:w="17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EEEEEE" w:val="clear"/>
            <w:tcMar>
              <w:bottom w:w="28" w:type="dxa"/>
            </w:tcMar>
            <w:vAlign w:val="center"/>
          </w:tcPr>
          <w:p>
            <w:pPr>
              <w:pStyle w:val="TableContents"/>
              <w:bidi w:val="0"/>
              <w:spacing w:before="0" w:after="283"/>
              <w:jc w:val="right"/>
              <w:rPr/>
            </w:pPr>
            <w:r>
              <w:rPr/>
              <w:t>27,275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EEEEEE" w:val="clear"/>
            <w:tcMar>
              <w:bottom w:w="28" w:type="dxa"/>
            </w:tcMar>
            <w:vAlign w:val="center"/>
          </w:tcPr>
          <w:p>
            <w:pPr>
              <w:pStyle w:val="TableContents"/>
              <w:bidi w:val="0"/>
              <w:spacing w:before="0" w:after="283"/>
              <w:jc w:val="right"/>
              <w:rPr/>
            </w:pPr>
            <w:r>
              <w:rPr/>
              <w:t>30,131</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pPr>
            <w:r>
              <w:rPr/>
              <w:t>4,831,971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r>
              <w:rPr/>
              <w:t>3,858,193</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Accounts payable and accrued expenses</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w:t>
            </w:r>
          </w:p>
        </w:tc>
        <w:tc>
          <w:tcPr>
            <w:tcW w:w="1211" w:type="dxa"/>
            <w:tcBorders/>
            <w:shd w:fill="EEEEEE" w:val="clear"/>
            <w:vAlign w:val="center"/>
          </w:tcPr>
          <w:p>
            <w:pPr>
              <w:pStyle w:val="TableContents"/>
              <w:bidi w:val="0"/>
              <w:spacing w:before="0" w:after="283"/>
              <w:jc w:val="right"/>
              <w:rPr/>
            </w:pPr>
            <w:r>
              <w:rPr/>
              <w:t>93,591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w:t>
            </w:r>
          </w:p>
        </w:tc>
        <w:tc>
          <w:tcPr>
            <w:tcW w:w="1185" w:type="dxa"/>
            <w:tcBorders/>
            <w:shd w:fill="EEEEEE" w:val="clear"/>
            <w:vAlign w:val="center"/>
          </w:tcPr>
          <w:p>
            <w:pPr>
              <w:pStyle w:val="TableContents"/>
              <w:bidi w:val="0"/>
              <w:spacing w:before="0" w:after="283"/>
              <w:jc w:val="right"/>
              <w:rPr/>
            </w:pPr>
            <w:r>
              <w:rPr/>
              <w:t>65,244</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735,840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324,871</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190,665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142,982</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3,458,537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2,986,574</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7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EEEEEE" w:val="clear"/>
            <w:tcMar>
              <w:bottom w:w="28" w:type="dxa"/>
            </w:tcMar>
            <w:vAlign w:val="center"/>
          </w:tcPr>
          <w:p>
            <w:pPr>
              <w:pStyle w:val="TableContents"/>
              <w:bidi w:val="0"/>
              <w:spacing w:before="0" w:after="283"/>
              <w:jc w:val="right"/>
              <w:rPr/>
            </w:pPr>
            <w:r>
              <w:rPr/>
              <w:t>28,850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EEEEEE" w:val="clear"/>
            <w:tcMar>
              <w:bottom w:w="28" w:type="dxa"/>
            </w:tcMar>
            <w:vAlign w:val="center"/>
          </w:tcPr>
          <w:p>
            <w:pPr>
              <w:pStyle w:val="TableContents"/>
              <w:bidi w:val="0"/>
              <w:spacing w:before="0" w:after="283"/>
              <w:jc w:val="right"/>
              <w:rPr/>
            </w:pPr>
            <w:r>
              <w:rPr/>
              <w:t>28,986</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4,507,483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3,548,657</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p>
        </w:tc>
        <w:tc>
          <w:tcPr>
            <w:tcW w:w="1211"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p>
        </w:tc>
        <w:tc>
          <w:tcPr>
            <w:tcW w:w="1185"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324,488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309,536</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EEEEEE" w:val="clear"/>
            <w:tcMar>
              <w:bottom w:w="28" w:type="dxa"/>
            </w:tcMar>
            <w:vAlign w:val="center"/>
          </w:tcPr>
          <w:p>
            <w:pPr>
              <w:pStyle w:val="TableContents"/>
              <w:bidi w:val="0"/>
              <w:spacing w:before="0" w:after="283"/>
              <w:jc w:val="right"/>
              <w:rPr/>
            </w:pPr>
            <w:r>
              <w:rPr/>
              <w:t>4,831,971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5" w:type="dxa"/>
            <w:tcBorders>
              <w:bottom w:val="double" w:sz="6" w:space="0" w:color="000000"/>
            </w:tcBorders>
            <w:shd w:fill="EEEEEE" w:val="clear"/>
            <w:tcMar>
              <w:bottom w:w="28" w:type="dxa"/>
            </w:tcMar>
            <w:vAlign w:val="center"/>
          </w:tcPr>
          <w:p>
            <w:pPr>
              <w:pStyle w:val="TableContents"/>
              <w:bidi w:val="0"/>
              <w:spacing w:before="0" w:after="283"/>
              <w:jc w:val="right"/>
              <w:rPr/>
            </w:pPr>
            <w:r>
              <w:rPr/>
              <w:t>3,858,193</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tbl>
      <w:tblPr>
        <w:tblW w:w="9600" w:type="dxa"/>
        <w:jc w:val="left"/>
        <w:tblInd w:w="0" w:type="dxa"/>
        <w:tblLayout w:type="fixed"/>
        <w:tblCellMar>
          <w:top w:w="0" w:type="dxa"/>
          <w:left w:w="0" w:type="dxa"/>
          <w:bottom w:w="0" w:type="dxa"/>
          <w:right w:w="0" w:type="dxa"/>
        </w:tblCellMar>
      </w:tblPr>
      <w:tblGrid>
        <w:gridCol w:w="5345"/>
        <w:gridCol w:w="60"/>
        <w:gridCol w:w="140"/>
        <w:gridCol w:w="800"/>
        <w:gridCol w:w="60"/>
        <w:gridCol w:w="60"/>
        <w:gridCol w:w="140"/>
        <w:gridCol w:w="800"/>
        <w:gridCol w:w="60"/>
        <w:gridCol w:w="60"/>
        <w:gridCol w:w="140"/>
        <w:gridCol w:w="800"/>
        <w:gridCol w:w="60"/>
        <w:gridCol w:w="60"/>
        <w:gridCol w:w="140"/>
        <w:gridCol w:w="800"/>
        <w:gridCol w:w="75"/>
      </w:tblGrid>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pPr>
            <w:r>
              <w:rPr/>
              <w:t>Nine months ended</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Interest income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129,082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107,166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355,915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314,462</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Mark to 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6,500</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Other income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2,828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1,255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9,718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4,098</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131,910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108,421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365,633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325,060</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b/>
              </w:rPr>
            </w:pPr>
            <w:r>
              <w:rPr>
                <w:b/>
              </w:rPr>
              <w:t>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Employee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71,860</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General and administrative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15,567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12,709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43,148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37,675</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59,098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172,720</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Other expenses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10,884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7,117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29,185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22,019</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121,832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101,389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338,492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304,274</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Income before income taxes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10,078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7,032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27,141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20,786</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6,442</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Net income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6,953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4,853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18,726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EEEEE" w:val="clear"/>
            <w:tcMar>
              <w:bottom w:w="28" w:type="dxa"/>
            </w:tcMar>
            <w:vAlign w:val="center"/>
          </w:tcPr>
          <w:p>
            <w:pPr>
              <w:pStyle w:val="TableContents"/>
              <w:bidi w:val="0"/>
              <w:spacing w:before="0" w:after="283"/>
              <w:jc w:val="right"/>
              <w:rPr/>
            </w:pPr>
            <w:r>
              <w:rPr/>
              <w:t>14,344</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Earnings per share: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0.66</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0.30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0.20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0.80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0.59</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Number of shares used in computing earnings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21,852</w:t>
            </w:r>
          </w:p>
        </w:tc>
        <w:tc>
          <w:tcPr>
            <w:tcW w:w="75"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23,320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24,046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23,447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24,187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as a Percentage of Average Owned Portfolio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millions)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11"/>
        <w:gridCol w:w="60"/>
        <w:gridCol w:w="140"/>
        <w:gridCol w:w="740"/>
        <w:gridCol w:w="95"/>
        <w:gridCol w:w="60"/>
        <w:gridCol w:w="60"/>
        <w:gridCol w:w="547"/>
        <w:gridCol w:w="60"/>
        <w:gridCol w:w="60"/>
        <w:gridCol w:w="140"/>
        <w:gridCol w:w="740"/>
        <w:gridCol w:w="95"/>
        <w:gridCol w:w="60"/>
        <w:gridCol w:w="60"/>
        <w:gridCol w:w="547"/>
        <w:gridCol w:w="60"/>
        <w:gridCol w:w="60"/>
        <w:gridCol w:w="140"/>
        <w:gridCol w:w="755"/>
        <w:gridCol w:w="95"/>
        <w:gridCol w:w="60"/>
        <w:gridCol w:w="60"/>
        <w:gridCol w:w="547"/>
        <w:gridCol w:w="60"/>
        <w:gridCol w:w="60"/>
        <w:gridCol w:w="140"/>
        <w:gridCol w:w="755"/>
        <w:gridCol w:w="95"/>
        <w:gridCol w:w="60"/>
        <w:gridCol w:w="60"/>
        <w:gridCol w:w="547"/>
        <w:gridCol w:w="76"/>
      </w:tblGrid>
      <w:tr>
        <w:trPr/>
        <w:tc>
          <w:tcPr>
            <w:tcW w:w="3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4" w:type="dxa"/>
            <w:gridSpan w:val="14"/>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4" w:type="dxa"/>
            <w:gridSpan w:val="14"/>
            <w:tcBorders/>
            <w:vAlign w:val="center"/>
          </w:tcPr>
          <w:p>
            <w:pPr>
              <w:pStyle w:val="TableContents"/>
              <w:bidi w:val="0"/>
              <w:spacing w:before="0" w:after="283"/>
              <w:jc w:val="center"/>
              <w:rPr/>
            </w:pPr>
            <w:r>
              <w:rPr/>
              <w:t>Nine months ended</w:t>
            </w:r>
          </w:p>
        </w:tc>
        <w:tc>
          <w:tcPr>
            <w:tcW w:w="76" w:type="dxa"/>
            <w:tcBorders/>
            <w:vAlign w:val="center"/>
          </w:tcPr>
          <w:p>
            <w:pPr>
              <w:pStyle w:val="TableContents"/>
              <w:bidi w:val="0"/>
              <w:spacing w:before="0" w:after="283"/>
              <w:jc w:val="left"/>
              <w:rPr/>
            </w:pPr>
            <w:r>
              <w:rPr/>
              <w:t> </w:t>
            </w:r>
          </w:p>
        </w:tc>
      </w:tr>
      <w:tr>
        <w:trPr/>
        <w:tc>
          <w:tcPr>
            <w:tcW w:w="3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4" w:type="dxa"/>
            <w:gridSpan w:val="14"/>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4" w:type="dxa"/>
            <w:gridSpan w:val="14"/>
            <w:tcBorders>
              <w:bottom w:val="single" w:sz="8" w:space="0" w:color="000000"/>
            </w:tcBorders>
            <w:tcMar>
              <w:bottom w:w="28" w:type="dxa"/>
            </w:tcMar>
            <w:vAlign w:val="center"/>
          </w:tcPr>
          <w:p>
            <w:pPr>
              <w:pStyle w:val="TableContents"/>
              <w:bidi w:val="0"/>
              <w:spacing w:before="0" w:after="283"/>
              <w:jc w:val="center"/>
              <w:rPr/>
            </w:pPr>
            <w:r>
              <w:rPr/>
              <w:t>September 30,</w:t>
            </w:r>
          </w:p>
        </w:tc>
        <w:tc>
          <w:tcPr>
            <w:tcW w:w="76" w:type="dxa"/>
            <w:tcBorders/>
            <w:vAlign w:val="center"/>
          </w:tcPr>
          <w:p>
            <w:pPr>
              <w:pStyle w:val="TableContents"/>
              <w:bidi w:val="0"/>
              <w:spacing w:before="0" w:after="283"/>
              <w:jc w:val="left"/>
              <w:rPr/>
            </w:pPr>
            <w:r>
              <w:rPr/>
              <w:t> </w:t>
            </w:r>
          </w:p>
        </w:tc>
      </w:tr>
      <w:tr>
        <w:trPr/>
        <w:tc>
          <w:tcPr>
            <w:tcW w:w="3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2" w:type="dxa"/>
            <w:gridSpan w:val="6"/>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2" w:type="dxa"/>
            <w:gridSpan w:val="6"/>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7" w:type="dxa"/>
            <w:gridSpan w:val="6"/>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7" w:type="dxa"/>
            <w:gridSpan w:val="6"/>
            <w:tcBorders>
              <w:bottom w:val="single" w:sz="8" w:space="0" w:color="000000"/>
            </w:tcBorders>
            <w:tcMar>
              <w:bottom w:w="28" w:type="dxa"/>
            </w:tcMar>
            <w:vAlign w:val="center"/>
          </w:tcPr>
          <w:p>
            <w:pPr>
              <w:pStyle w:val="TableContents"/>
              <w:bidi w:val="0"/>
              <w:spacing w:before="0" w:after="283"/>
              <w:jc w:val="center"/>
              <w:rPr/>
            </w:pPr>
            <w:r>
              <w:rPr/>
              <w:t>2025</w:t>
            </w:r>
          </w:p>
        </w:tc>
        <w:tc>
          <w:tcPr>
            <w:tcW w:w="76" w:type="dxa"/>
            <w:tcBorders/>
            <w:vAlign w:val="center"/>
          </w:tcPr>
          <w:p>
            <w:pPr>
              <w:pStyle w:val="TableContents"/>
              <w:bidi w:val="0"/>
              <w:spacing w:before="0" w:after="283"/>
              <w:jc w:val="left"/>
              <w:rPr/>
            </w:pPr>
            <w:r>
              <w:rPr/>
              <w:t> </w:t>
            </w:r>
          </w:p>
        </w:tc>
      </w:tr>
      <w:tr>
        <w:trPr/>
        <w:tc>
          <w:tcPr>
            <w:tcW w:w="31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center"/>
          </w:tcPr>
          <w:p>
            <w:pPr>
              <w:pStyle w:val="TableContents"/>
              <w:bidi w:val="0"/>
              <w:spacing w:before="0" w:after="283"/>
              <w:jc w:val="center"/>
              <w:rPr/>
            </w:pPr>
            <w:r>
              <w:rPr/>
              <w:t>%(2)</w:t>
            </w:r>
          </w:p>
        </w:tc>
        <w:tc>
          <w:tcPr>
            <w:tcW w:w="76" w:type="dxa"/>
            <w:tcBorders/>
            <w:vAlign w:val="center"/>
          </w:tcPr>
          <w:p>
            <w:pPr>
              <w:pStyle w:val="TableContents"/>
              <w:bidi w:val="0"/>
              <w:spacing w:before="0" w:after="283"/>
              <w:jc w:val="left"/>
              <w:rPr/>
            </w:pPr>
            <w:r>
              <w:rPr/>
              <w:t> </w:t>
            </w:r>
          </w:p>
        </w:tc>
      </w:tr>
      <w:tr>
        <w:trPr/>
        <w:tc>
          <w:tcPr>
            <w:tcW w:w="3111" w:type="dxa"/>
            <w:tcBorders/>
            <w:shd w:fill="EEEEEE" w:val="clear"/>
            <w:vAlign w:val="center"/>
          </w:tcPr>
          <w:p>
            <w:pPr>
              <w:pStyle w:val="TableContents"/>
              <w:bidi w:val="0"/>
              <w:spacing w:before="0" w:after="283"/>
              <w:jc w:val="left"/>
              <w:rPr/>
            </w:pPr>
            <w:r>
              <w:rPr/>
              <w:t>Interest income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0" w:type="dxa"/>
            <w:tcBorders/>
            <w:shd w:fill="EEEEEE" w:val="clear"/>
            <w:vAlign w:val="center"/>
          </w:tcPr>
          <w:p>
            <w:pPr>
              <w:pStyle w:val="TableContents"/>
              <w:bidi w:val="0"/>
              <w:spacing w:before="0" w:after="283"/>
              <w:jc w:val="right"/>
              <w:rPr/>
            </w:pPr>
            <w:r>
              <w:rPr/>
              <w:t>129.08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11.3%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0" w:type="dxa"/>
            <w:tcBorders/>
            <w:shd w:fill="EEEEEE" w:val="clear"/>
            <w:vAlign w:val="center"/>
          </w:tcPr>
          <w:p>
            <w:pPr>
              <w:pStyle w:val="TableContents"/>
              <w:bidi w:val="0"/>
              <w:spacing w:before="0" w:after="283"/>
              <w:jc w:val="right"/>
              <w:rPr/>
            </w:pPr>
            <w:r>
              <w:rPr/>
              <w:t>107.17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11.4%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55" w:type="dxa"/>
            <w:tcBorders/>
            <w:shd w:fill="EEEEEE" w:val="clear"/>
            <w:vAlign w:val="center"/>
          </w:tcPr>
          <w:p>
            <w:pPr>
              <w:pStyle w:val="TableContents"/>
              <w:bidi w:val="0"/>
              <w:spacing w:before="0" w:after="283"/>
              <w:jc w:val="right"/>
              <w:rPr/>
            </w:pPr>
            <w:r>
              <w:rPr/>
              <w:t>355.92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11.3%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55" w:type="dxa"/>
            <w:tcBorders/>
            <w:shd w:fill="EEEEEE" w:val="clear"/>
            <w:vAlign w:val="center"/>
          </w:tcPr>
          <w:p>
            <w:pPr>
              <w:pStyle w:val="TableContents"/>
              <w:bidi w:val="0"/>
              <w:spacing w:before="0" w:after="283"/>
              <w:jc w:val="right"/>
              <w:rPr/>
            </w:pPr>
            <w:r>
              <w:rPr/>
              <w:t>314.46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11.4%</w:t>
            </w:r>
          </w:p>
        </w:tc>
        <w:tc>
          <w:tcPr>
            <w:tcW w:w="76" w:type="dxa"/>
            <w:tcBorders/>
            <w:shd w:fill="EEEEEE"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(70.52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(59.10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(172.72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76" w:type="dxa"/>
            <w:tcBorders/>
            <w:shd w:fill="FFFFFF" w:val="clear"/>
            <w:vAlign w:val="center"/>
          </w:tcPr>
          <w:p>
            <w:pPr>
              <w:pStyle w:val="TableContents"/>
              <w:bidi w:val="0"/>
              <w:spacing w:before="0" w:after="283"/>
              <w:jc w:val="left"/>
              <w:rPr/>
            </w:pPr>
            <w:r>
              <w:rPr/>
              <w:t> </w:t>
            </w:r>
          </w:p>
        </w:tc>
      </w:tr>
      <w:tr>
        <w:trPr/>
        <w:tc>
          <w:tcPr>
            <w:tcW w:w="3111" w:type="dxa"/>
            <w:tcBorders/>
            <w:shd w:fill="EEEEEE" w:val="clear"/>
            <w:vAlign w:val="center"/>
          </w:tcPr>
          <w:p>
            <w:pPr>
              <w:pStyle w:val="TableContents"/>
              <w:bidi w:val="0"/>
              <w:spacing w:before="0" w:after="283"/>
              <w:jc w:val="left"/>
              <w:rPr/>
            </w:pPr>
            <w:r>
              <w:rPr/>
              <w:t>Net interest margin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58.56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48.07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161.08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141.74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5.2%</w:t>
            </w:r>
          </w:p>
        </w:tc>
        <w:tc>
          <w:tcPr>
            <w:tcW w:w="76" w:type="dxa"/>
            <w:tcBorders/>
            <w:shd w:fill="EEEEEE" w:val="clear"/>
            <w:vAlign w:val="center"/>
          </w:tcPr>
          <w:p>
            <w:pPr>
              <w:pStyle w:val="TableContents"/>
              <w:bidi w:val="0"/>
              <w:spacing w:before="0" w:after="283"/>
              <w:ind w:left="0" w:right="0" w:hanging="100"/>
              <w:jc w:val="left"/>
              <w:rPr/>
            </w:pPr>
            <w:r>
              <w:rPr/>
              <w:t> </w:t>
            </w:r>
          </w:p>
        </w:tc>
      </w:tr>
      <w:tr>
        <w:trPr/>
        <w:tc>
          <w:tcPr>
            <w:tcW w:w="3111" w:type="dxa"/>
            <w:tcBorders/>
            <w:shd w:fill="FFFFFF" w:val="clear"/>
            <w:vAlign w:val="center"/>
          </w:tcPr>
          <w:p>
            <w:pPr>
              <w:pStyle w:val="TableContents"/>
              <w:bidi w:val="0"/>
              <w:spacing w:before="0" w:after="283"/>
              <w:jc w:val="left"/>
              <w:rPr/>
            </w:pPr>
            <w:r>
              <w:rPr/>
              <w:t>Mark to 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0.2%</w:t>
            </w:r>
          </w:p>
        </w:tc>
        <w:tc>
          <w:tcPr>
            <w:tcW w:w="76" w:type="dxa"/>
            <w:tcBorders/>
            <w:shd w:fill="FFFFFF" w:val="clear"/>
            <w:vAlign w:val="center"/>
          </w:tcPr>
          <w:p>
            <w:pPr>
              <w:pStyle w:val="TableContents"/>
              <w:bidi w:val="0"/>
              <w:spacing w:before="0" w:after="283"/>
              <w:jc w:val="left"/>
              <w:rPr/>
            </w:pPr>
            <w:r>
              <w:rPr/>
              <w:t> </w:t>
            </w:r>
          </w:p>
        </w:tc>
      </w:tr>
      <w:tr>
        <w:trPr/>
        <w:tc>
          <w:tcPr>
            <w:tcW w:w="3111" w:type="dxa"/>
            <w:tcBorders/>
            <w:shd w:fill="EEEEEE" w:val="clear"/>
            <w:vAlign w:val="center"/>
          </w:tcPr>
          <w:p>
            <w:pPr>
              <w:pStyle w:val="TableContents"/>
              <w:bidi w:val="0"/>
              <w:spacing w:before="0" w:after="283"/>
              <w:jc w:val="left"/>
              <w:rPr/>
            </w:pPr>
            <w:r>
              <w:rPr/>
              <w:t>Other income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2.83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40" w:type="dxa"/>
            <w:tcBorders/>
            <w:shd w:fill="EEEEEE" w:val="clear"/>
            <w:vAlign w:val="center"/>
          </w:tcPr>
          <w:p>
            <w:pPr>
              <w:pStyle w:val="TableContents"/>
              <w:bidi w:val="0"/>
              <w:spacing w:before="0" w:after="283"/>
              <w:jc w:val="right"/>
              <w:rPr/>
            </w:pPr>
            <w:r>
              <w:rPr/>
              <w:t>1.26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0.1%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9.72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0.3%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755" w:type="dxa"/>
            <w:tcBorders/>
            <w:shd w:fill="EEEEEE" w:val="clear"/>
            <w:vAlign w:val="center"/>
          </w:tcPr>
          <w:p>
            <w:pPr>
              <w:pStyle w:val="TableContents"/>
              <w:bidi w:val="0"/>
              <w:spacing w:before="0" w:after="283"/>
              <w:jc w:val="right"/>
              <w:rPr/>
            </w:pPr>
            <w:r>
              <w:rPr/>
              <w:t>4.10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0.1%</w:t>
            </w:r>
          </w:p>
        </w:tc>
        <w:tc>
          <w:tcPr>
            <w:tcW w:w="76" w:type="dxa"/>
            <w:tcBorders/>
            <w:shd w:fill="EEEEEE"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pPr>
            <w:r>
              <w:rPr/>
              <w:t>Operating expenses (3)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(51.31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(42.29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76" w:type="dxa"/>
            <w:tcBorders/>
            <w:shd w:fill="FFFFFF" w:val="clear"/>
            <w:vAlign w:val="center"/>
          </w:tcPr>
          <w:p>
            <w:pPr>
              <w:pStyle w:val="TableContents"/>
              <w:bidi w:val="0"/>
              <w:spacing w:before="0" w:after="283"/>
              <w:jc w:val="left"/>
              <w:rPr/>
            </w:pPr>
            <w:r>
              <w:rPr/>
              <w:t> </w:t>
            </w:r>
          </w:p>
        </w:tc>
      </w:tr>
      <w:tr>
        <w:trPr/>
        <w:tc>
          <w:tcPr>
            <w:tcW w:w="3111" w:type="dxa"/>
            <w:tcBorders/>
            <w:shd w:fill="EEEEEE" w:val="clear"/>
            <w:vAlign w:val="center"/>
          </w:tcPr>
          <w:p>
            <w:pPr>
              <w:pStyle w:val="TableContents"/>
              <w:bidi w:val="0"/>
              <w:spacing w:before="0" w:after="283"/>
              <w:jc w:val="left"/>
              <w:rPr/>
            </w:pPr>
            <w:r>
              <w:rPr/>
              <w:t>Pre-tax income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740" w:type="dxa"/>
            <w:tcBorders>
              <w:bottom w:val="single" w:sz="8" w:space="0" w:color="000000"/>
            </w:tcBorders>
            <w:shd w:fill="EEEEEE" w:val="clear"/>
            <w:tcMar>
              <w:bottom w:w="28" w:type="dxa"/>
            </w:tcMar>
            <w:vAlign w:val="center"/>
          </w:tcPr>
          <w:p>
            <w:pPr>
              <w:pStyle w:val="TableContents"/>
              <w:bidi w:val="0"/>
              <w:spacing w:before="0" w:after="283"/>
              <w:jc w:val="right"/>
              <w:rPr/>
            </w:pPr>
            <w:r>
              <w:rPr/>
              <w:t>10.08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EEEEEE" w:val="clear"/>
            <w:tcMar>
              <w:bottom w:w="28" w:type="dxa"/>
            </w:tcMar>
            <w:vAlign w:val="center"/>
          </w:tcPr>
          <w:p>
            <w:pPr>
              <w:pStyle w:val="TableContents"/>
              <w:bidi w:val="0"/>
              <w:spacing w:before="0" w:after="283"/>
              <w:jc w:val="right"/>
              <w:rPr/>
            </w:pPr>
            <w:r>
              <w:rPr/>
              <w:t>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740" w:type="dxa"/>
            <w:tcBorders>
              <w:bottom w:val="single" w:sz="8" w:space="0" w:color="000000"/>
            </w:tcBorders>
            <w:shd w:fill="EEEEEE" w:val="clear"/>
            <w:tcMar>
              <w:bottom w:w="28" w:type="dxa"/>
            </w:tcMar>
            <w:vAlign w:val="center"/>
          </w:tcPr>
          <w:p>
            <w:pPr>
              <w:pStyle w:val="TableContents"/>
              <w:bidi w:val="0"/>
              <w:spacing w:before="0" w:after="283"/>
              <w:jc w:val="right"/>
              <w:rPr/>
            </w:pPr>
            <w:r>
              <w:rPr/>
              <w:t>7.03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EEEEEE" w:val="clear"/>
            <w:tcMar>
              <w:bottom w:w="28" w:type="dxa"/>
            </w:tcMar>
            <w:vAlign w:val="center"/>
          </w:tcPr>
          <w:p>
            <w:pPr>
              <w:pStyle w:val="TableContents"/>
              <w:bidi w:val="0"/>
              <w:spacing w:before="0" w:after="283"/>
              <w:jc w:val="right"/>
              <w:rPr/>
            </w:pPr>
            <w:r>
              <w:rPr/>
              <w:t>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EEEEEE" w:val="clear"/>
            <w:tcMar>
              <w:bottom w:w="28" w:type="dxa"/>
            </w:tcMar>
            <w:vAlign w:val="center"/>
          </w:tcPr>
          <w:p>
            <w:pPr>
              <w:pStyle w:val="TableContents"/>
              <w:bidi w:val="0"/>
              <w:spacing w:before="0" w:after="283"/>
              <w:jc w:val="right"/>
              <w:rPr/>
            </w:pPr>
            <w:r>
              <w:rPr/>
              <w:t>27.14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EEEEEE" w:val="clear"/>
            <w:tcMar>
              <w:bottom w:w="28" w:type="dxa"/>
            </w:tcMar>
            <w:vAlign w:val="center"/>
          </w:tcPr>
          <w:p>
            <w:pPr>
              <w:pStyle w:val="TableContents"/>
              <w:bidi w:val="0"/>
              <w:spacing w:before="0" w:after="283"/>
              <w:jc w:val="right"/>
              <w:rPr/>
            </w:pPr>
            <w:r>
              <w:rPr/>
              <w:t>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EEEEEE" w:val="clear"/>
            <w:tcMar>
              <w:bottom w:w="28" w:type="dxa"/>
            </w:tcMar>
            <w:vAlign w:val="center"/>
          </w:tcPr>
          <w:p>
            <w:pPr>
              <w:pStyle w:val="TableContents"/>
              <w:bidi w:val="0"/>
              <w:spacing w:before="0" w:after="283"/>
              <w:jc w:val="right"/>
              <w:rPr/>
            </w:pPr>
            <w:r>
              <w:rPr/>
              <w:t>20.79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EEEEEE" w:val="clear"/>
            <w:tcMar>
              <w:bottom w:w="28" w:type="dxa"/>
            </w:tcMar>
            <w:vAlign w:val="center"/>
          </w:tcPr>
          <w:p>
            <w:pPr>
              <w:pStyle w:val="TableContents"/>
              <w:bidi w:val="0"/>
              <w:spacing w:before="0" w:after="283"/>
              <w:jc w:val="right"/>
              <w:rPr/>
            </w:pPr>
            <w:r>
              <w:rPr/>
              <w:t>0.8%</w:t>
            </w:r>
          </w:p>
        </w:tc>
        <w:tc>
          <w:tcPr>
            <w:tcW w:w="76" w:type="dxa"/>
            <w:tcBorders/>
            <w:shd w:fill="EEEEEE" w:val="clear"/>
            <w:vAlign w:val="center"/>
          </w:tcPr>
          <w:p>
            <w:pPr>
              <w:pStyle w:val="TableContents"/>
              <w:bidi w:val="0"/>
              <w:spacing w:before="0" w:after="283"/>
              <w:jc w:val="left"/>
              <w:rPr/>
            </w:pPr>
            <w:r>
              <w:rPr/>
              <w:t> </w:t>
            </w:r>
          </w:p>
        </w:tc>
      </w:tr>
      <w:tr>
        <w:trPr/>
        <w:tc>
          <w:tcPr>
            <w:tcW w:w="3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3111" w:type="dxa"/>
            <w:tcBorders/>
            <w:shd w:fill="EEEEEE" w:val="clear"/>
            <w:vAlign w:val="center"/>
          </w:tcPr>
          <w:p>
            <w:pPr>
              <w:pStyle w:val="TableContents"/>
              <w:bidi w:val="0"/>
              <w:spacing w:before="0" w:after="283"/>
              <w:jc w:val="left"/>
              <w:rPr/>
            </w:pPr>
            <w:r>
              <w:rPr/>
              <w:t>Average Owned Portfolio</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0" w:type="dxa"/>
            <w:tcBorders/>
            <w:shd w:fill="EEEEEE" w:val="clear"/>
            <w:vAlign w:val="center"/>
          </w:tcPr>
          <w:p>
            <w:pPr>
              <w:pStyle w:val="TableContents"/>
              <w:bidi w:val="0"/>
              <w:spacing w:before="0" w:after="283"/>
              <w:jc w:val="right"/>
              <w:rPr/>
            </w:pPr>
            <w:r>
              <w:rPr/>
              <w:t>4,576.3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40" w:type="dxa"/>
            <w:tcBorders/>
            <w:shd w:fill="EEEEEE" w:val="clear"/>
            <w:vAlign w:val="center"/>
          </w:tcPr>
          <w:p>
            <w:pPr>
              <w:pStyle w:val="TableContents"/>
              <w:bidi w:val="0"/>
              <w:spacing w:before="0" w:after="283"/>
              <w:jc w:val="right"/>
              <w:rPr/>
            </w:pPr>
            <w:r>
              <w:rPr/>
              <w:t>3,745.3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55" w:type="dxa"/>
            <w:tcBorders/>
            <w:shd w:fill="EEEEEE" w:val="clear"/>
            <w:vAlign w:val="center"/>
          </w:tcPr>
          <w:p>
            <w:pPr>
              <w:pStyle w:val="TableContents"/>
              <w:bidi w:val="0"/>
              <w:spacing w:before="0" w:after="283"/>
              <w:jc w:val="right"/>
              <w:rPr/>
            </w:pPr>
            <w:r>
              <w:rPr/>
              <w:t>4,205.3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755" w:type="dxa"/>
            <w:tcBorders/>
            <w:shd w:fill="EEEEEE" w:val="clear"/>
            <w:vAlign w:val="center"/>
          </w:tcPr>
          <w:p>
            <w:pPr>
              <w:pStyle w:val="TableContents"/>
              <w:bidi w:val="0"/>
              <w:spacing w:before="0" w:after="283"/>
              <w:jc w:val="right"/>
              <w:rPr/>
            </w:pPr>
            <w:r>
              <w:rPr/>
              <w:t>3,667.0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547"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715" w:type="dxa"/>
        <w:jc w:val="left"/>
        <w:tblInd w:w="0" w:type="dxa"/>
        <w:tblLayout w:type="fixed"/>
        <w:tblCellMar>
          <w:top w:w="0" w:type="dxa"/>
          <w:left w:w="0" w:type="dxa"/>
          <w:bottom w:w="0" w:type="dxa"/>
          <w:right w:w="0" w:type="dxa"/>
        </w:tblCellMar>
      </w:tblPr>
      <w:tblGrid>
        <w:gridCol w:w="305"/>
        <w:gridCol w:w="9410"/>
      </w:tblGrid>
      <w:tr>
        <w:trPr/>
        <w:tc>
          <w:tcPr>
            <w:tcW w:w="305" w:type="dxa"/>
            <w:tcBorders/>
            <w:shd w:fill="FFFFFF" w:val="clear"/>
            <w:vAlign w:val="center"/>
          </w:tcPr>
          <w:p>
            <w:pPr>
              <w:pStyle w:val="TableContents"/>
              <w:bidi w:val="0"/>
              <w:spacing w:before="0" w:after="283"/>
              <w:jc w:val="left"/>
              <w:rPr/>
            </w:pPr>
            <w:r>
              <w:rPr/>
              <w:t>(1)</w:t>
            </w:r>
          </w:p>
        </w:tc>
        <w:tc>
          <w:tcPr>
            <w:tcW w:w="9410" w:type="dxa"/>
            <w:tcBorders/>
            <w:shd w:fill="FFFFFF" w:val="clear"/>
            <w:vAlign w:val="center"/>
          </w:tcPr>
          <w:p>
            <w:pPr>
              <w:pStyle w:val="TableContents"/>
              <w:bidi w:val="0"/>
              <w:spacing w:before="0" w:after="283"/>
              <w:jc w:val="left"/>
              <w:rPr/>
            </w:pPr>
            <w:r>
              <w:rPr/>
              <w:t>Numbers may not add due to rounding.</w:t>
            </w:r>
          </w:p>
        </w:tc>
      </w:tr>
      <w:tr>
        <w:trPr/>
        <w:tc>
          <w:tcPr>
            <w:tcW w:w="305" w:type="dxa"/>
            <w:tcBorders/>
            <w:shd w:fill="FFFFFF" w:val="clear"/>
            <w:vAlign w:val="center"/>
          </w:tcPr>
          <w:p>
            <w:pPr>
              <w:pStyle w:val="TableContents"/>
              <w:bidi w:val="0"/>
              <w:spacing w:before="0" w:after="283"/>
              <w:jc w:val="left"/>
              <w:rPr/>
            </w:pPr>
            <w:r>
              <w:rPr/>
              <w:t>(2)</w:t>
            </w:r>
          </w:p>
        </w:tc>
        <w:tc>
          <w:tcPr>
            <w:tcW w:w="9410" w:type="dxa"/>
            <w:tcBorders/>
            <w:shd w:fill="FFFFFF" w:val="clear"/>
            <w:vAlign w:val="center"/>
          </w:tcPr>
          <w:p>
            <w:pPr>
              <w:pStyle w:val="TableContents"/>
              <w:bidi w:val="0"/>
              <w:spacing w:before="0" w:after="283"/>
              <w:jc w:val="left"/>
              <w:rPr/>
            </w:pPr>
            <w:r>
              <w:rPr/>
              <w:t>Annualized percentage of the average portfolio balance.  Percentages may not add due to rounding.</w:t>
            </w:r>
          </w:p>
        </w:tc>
      </w:tr>
      <w:tr>
        <w:trPr/>
        <w:tc>
          <w:tcPr>
            <w:tcW w:w="305" w:type="dxa"/>
            <w:tcBorders/>
            <w:shd w:fill="FFFFFF" w:val="clear"/>
            <w:vAlign w:val="center"/>
          </w:tcPr>
          <w:p>
            <w:pPr>
              <w:pStyle w:val="TableContents"/>
              <w:bidi w:val="0"/>
              <w:spacing w:before="0" w:after="283"/>
              <w:jc w:val="left"/>
              <w:rPr/>
            </w:pPr>
            <w:r>
              <w:rPr/>
              <w:t>(3)</w:t>
            </w:r>
          </w:p>
        </w:tc>
        <w:tc>
          <w:tcPr>
            <w:tcW w:w="9410" w:type="dxa"/>
            <w:tcBorders/>
            <w:shd w:fill="FFFFFF" w:val="clear"/>
            <w:vAlign w:val="center"/>
          </w:tcPr>
          <w:p>
            <w:pPr>
              <w:pStyle w:val="TableContents"/>
              <w:bidi w:val="0"/>
              <w:spacing w:before="0" w:after="283"/>
              <w:jc w:val="left"/>
              <w:rPr/>
            </w:pPr>
            <w:r>
              <w:rPr/>
              <w:t>Total pre-tax expenses less interest expense.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2695</Words>
  <Characters>15043</Characters>
  <CharactersWithSpaces>18402</CharactersWithSpaces>
  <Paragraphs>1588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