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 of Report (Date of earliest event reported) March 27,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1"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6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40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67"/>
        </w:trPr>
        <w:tc>
          <w:tcPr>
            <w:tcW w:w="6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1-11416</w:t>
            </w: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33-0459135</w:t>
            </w:r>
          </w:p>
        </w:tc>
        <w:tc>
          <w:tcPr>
            <w:tcW w:w="800" w:type="dxa"/>
            <w:vAlign w:val="bottom"/>
          </w:tcPr>
          <w:p>
            <w:pPr>
              <w:spacing w:after="0"/>
              <w:rPr>
                <w:sz w:val="24"/>
                <w:szCs w:val="24"/>
                <w:color w:val="auto"/>
              </w:rPr>
            </w:pPr>
          </w:p>
        </w:tc>
      </w:tr>
      <w:tr>
        <w:trPr>
          <w:trHeight w:val="218"/>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(Commission</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File Number)</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3800 Howard Hughes Pkwy, Suite 1400, Las Vegas, NV 89169</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(949) 753-6800</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Not Applicable</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CPSS</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Non-Equity Incentive Plan Compensation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of Directors of Consumer Portfolio Services, Inc. (“Company”) has evaluated and approved the non-equity incentive plan payment amounts earned under the Executive Management Bonus Plan for each of the named executive officers for fiscal year ended December 31, 2025 (“FY2025”).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compensation of the Company’s named executive officers for FY2025 was previously reported by the Company in the Summary Compensation Table included in the Company’s Form 10-K filed with the Securities and Exchange Commission (the “SEC”) on March 16, 2026 (the “2025 10-K”). However, as of the date of the filing of the 2025 10-K, non-equity incentive plan payment amounts for FY2025 had not been determined and, therefore, were omitted from the Summary Compensation Table in the 2025 10-K.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Item 5.02(f) of Form 8-K, the Company is providing a revised Summary Compensation Table, which includes the final non-equity incentive plan compensation payment amounts and each such named executive officer’s total compensation amount for FY2025.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 For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rPr>
              <w:t>Non-Equity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9"/>
              </w:rPr>
              <w:t>Incentive Plan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9"/>
              </w:rPr>
              <w:t>Compensation</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i w:val="1"/>
                <w:iCs w:val="1"/>
                <w:color w:val="auto"/>
              </w:rPr>
              <w:t>Option</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i w:val="1"/>
                <w:iCs w:val="1"/>
                <w:color w:val="auto"/>
              </w:rPr>
              <w:t>All 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Name and Principal Position</w:t>
            </w:r>
          </w:p>
        </w:tc>
        <w:tc>
          <w:tcPr>
            <w:tcW w:w="12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Year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Salary</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w w:val="99"/>
              </w:rPr>
              <w:t>Awards (2)</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Compensation</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Total</w:t>
            </w:r>
          </w:p>
        </w:tc>
      </w:tr>
      <w:tr>
        <w:trPr>
          <w:trHeight w:val="209"/>
        </w:trPr>
        <w:tc>
          <w:tcPr>
            <w:tcW w:w="37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Charles E. Bradley, Jr.</w:t>
            </w:r>
          </w:p>
        </w:tc>
        <w:tc>
          <w:tcPr>
            <w:tcW w:w="120" w:type="dxa"/>
            <w:vAlign w:val="bottom"/>
            <w:tcBorders>
              <w:top w:val="single" w:sz="8" w:color="EEEEEE"/>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3,283,500</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1,139,790</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5,439,647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995,000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3,130,000</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40,611</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4,165,611</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Michael T. Lavin</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470,000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448,693</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455,916</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11,980</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1,386,590</w:t>
            </w:r>
          </w:p>
        </w:tc>
      </w:tr>
      <w:tr>
        <w:trPr>
          <w:trHeight w:val="216"/>
        </w:trPr>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President &amp; Chief Operating Officer</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470,000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443,680</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47,158</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960,838</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Danny Bharwani</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430,762</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479,808</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341,937</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2,342</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1,254,849</w:t>
            </w:r>
          </w:p>
        </w:tc>
      </w:tr>
      <w:tr>
        <w:trPr>
          <w:trHeight w:val="216"/>
        </w:trPr>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Executive Vice President &amp;</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386,000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444,929</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44,871</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875,800</w:t>
            </w:r>
          </w:p>
        </w:tc>
      </w:tr>
      <w:tr>
        <w:trPr>
          <w:trHeight w:val="216"/>
        </w:trPr>
        <w:tc>
          <w:tcPr>
            <w:tcW w:w="37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ind w:left="460" w:hanging="452"/>
        <w:spacing w:after="0" w:line="253"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for FY2025 in this column comprise non-equity incentive plan compensation earned in 2025 and paid or granted in 2026. For the chief executive officer, such payments were based on the Compensation Committee’s evaluation of the chief executive officer meeting as many as possible of several objectives within the year 2025. For FY2025, the objectives and their weightings are as follows: (I) to meet or exceed the Company’s quarterly budget (20% each quarter, total of 80%) (II) to execute four rated securitization transactions (20% each, 80% total), (III) to increase the Company’s annual originations of receivables to each of four targets (up to 80% in the aggregate, creditable pro rata for reaching target amounts of $1.8 billion, $1.9 billion, $2.0 billion, and $2.1 billion), (IV) to decrease core operating expenses by up to 1% (up to 200%, creditable pro rata for the portion of the 1% achieved), (V) to raise $100 million in a new residual financing deal (100%, creditable pro rata for the portion achieved) (VI) to obtain up to a $1.2 billion forward flow contract purchase agreement (100%, creditable pro rata for the portion achieved), (VII) and to cause the Company’s common stock to trade in excess of each of four targets (80% in the aggregate, creditable in increments of 20% for reaching prices of $13.00, $14.00, $15.00, and $16.00 per share). The total of the seven weightings is 720%; accordingly, the target and maximum possible value to chief executive officer of the award was 720% of his base salary for 2025.</w:t>
      </w:r>
    </w:p>
    <w:p>
      <w:pPr>
        <w:spacing w:after="0" w:line="191" w:lineRule="exact"/>
        <w:rPr>
          <w:rFonts w:ascii="Times New Roman" w:cs="Times New Roman" w:eastAsia="Times New Roman" w:hAnsi="Times New Roman"/>
          <w:sz w:val="18"/>
          <w:szCs w:val="18"/>
          <w:color w:val="auto"/>
        </w:rPr>
      </w:pPr>
    </w:p>
    <w:p>
      <w:pPr>
        <w:jc w:val="both"/>
        <w:ind w:left="4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applied in determining the FY2025 amount of the non-equity incentive plan payment amount for the chief financial officer, Mr. Bharwani, are: (I) skills and performance, 35%, (II) one individual objective, 14%, (III) subjective evaluation of that executive’s department, 42%, (IV) Company performance, 28% and (V) discretionary allocation recommended by the chief executive officer and approved by the Compensation Committee, 21%, representing a maximum payment amount of 140% of base compensation. The same factors are used in determining the FY2025 non-equity incentive plan payment amount for the president, Mr. Lavin, and the numerical scores assigned to each of these factors are 40%, 16%, 48%, 32%, and 24%, respectively, representing a maximum payment amount of 160% of base compensation for the president.</w:t>
      </w:r>
    </w:p>
    <w:p>
      <w:pPr>
        <w:spacing w:after="0" w:line="187" w:lineRule="exact"/>
        <w:rPr>
          <w:rFonts w:ascii="Times New Roman" w:cs="Times New Roman" w:eastAsia="Times New Roman" w:hAnsi="Times New Roman"/>
          <w:sz w:val="18"/>
          <w:szCs w:val="18"/>
          <w:color w:val="auto"/>
        </w:rPr>
      </w:pPr>
    </w:p>
    <w:p>
      <w:pPr>
        <w:ind w:left="460" w:right="220" w:hanging="452"/>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dollar value accrued for financial accounting purposes in connection with the grant of such options, computed in accordance with Financial Accounting Standards Board Accounting Standards Codification Topic 718. Value was estimated using a Black-Scholes model for 2025. For the options granted on September 9, 2025, the weighted average fair value per option was $3.80, based on assumptions of 4.11 years expected life, expected volatility of 53.94%, and a risk-free rate of 4.10%.</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56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CONSUMER PORTFOLIO SERVICES, INC.</w:t>
            </w:r>
          </w:p>
        </w:tc>
      </w:tr>
      <w:tr>
        <w:trPr>
          <w:trHeight w:val="60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 2026</w:t>
            </w:r>
          </w:p>
        </w:tc>
        <w:tc>
          <w:tcPr>
            <w:tcW w:w="56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Denesh Bharwani</w:t>
            </w:r>
          </w:p>
        </w:tc>
      </w:tr>
      <w:tr>
        <w:trPr>
          <w:trHeight w:val="218"/>
        </w:trPr>
        <w:tc>
          <w:tcPr>
            <w:tcW w:w="3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Denesh Bharwani</w:t>
            </w:r>
          </w:p>
        </w:tc>
        <w:tc>
          <w:tcPr>
            <w:tcW w:w="46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Signing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2026-04-02T15:30:33Z</dcterms:created>
  <dcterms:modified xsi:type="dcterms:W3CDTF">2026-04-02T15:30:33Z</dcterms:modified>
</cp:coreProperties>
</file>