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8"/>
          <w:szCs w:val="18"/>
          <w:color w:val="auto"/>
        </w:rPr>
        <w:t>This filing is made pursuant to Rule 424(b)(2) under</w:t>
      </w:r>
    </w:p>
    <w:p>
      <w:pPr>
        <w:spacing w:after="0" w:line="27"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the Securities Act of 1933 in connection with</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Registration No. 333-272653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Interest Rates</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is an interest rate supplement dated May 14,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prospectus supplement dated May 14,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Annual Interest Rates for Renewable Unsecured Subordinated Notes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Consumer Portfolio Services, Inc.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Rates Effective May 14, 2026</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D9D9D9"/>
            </w:tcBorders>
            <w:shd w:val="clear" w:color="auto" w:fill="D9D9D9"/>
          </w:tcPr>
          <w:p>
            <w:pPr>
              <w:spacing w:after="0"/>
              <w:rPr>
                <w:sz w:val="19"/>
                <w:szCs w:val="19"/>
                <w:color w:val="auto"/>
              </w:rPr>
            </w:pPr>
          </w:p>
        </w:tc>
        <w:tc>
          <w:tcPr>
            <w:tcW w:w="1260" w:type="dxa"/>
            <w:vAlign w:val="bottom"/>
            <w:tcBorders>
              <w:top w:val="single" w:sz="8" w:color="auto"/>
            </w:tcBorders>
            <w:shd w:val="clear" w:color="auto" w:fill="D9D9D9"/>
          </w:tcPr>
          <w:p>
            <w:pPr>
              <w:spacing w:after="0"/>
              <w:rPr>
                <w:sz w:val="19"/>
                <w:szCs w:val="19"/>
                <w:color w:val="auto"/>
              </w:rPr>
            </w:pPr>
          </w:p>
        </w:tc>
        <w:tc>
          <w:tcPr>
            <w:tcW w:w="2480" w:type="dxa"/>
            <w:vAlign w:val="bottom"/>
            <w:tcBorders>
              <w:top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 AMOUNT (1)</w:t>
            </w:r>
          </w:p>
        </w:tc>
        <w:tc>
          <w:tcPr>
            <w:tcW w:w="1320" w:type="dxa"/>
            <w:vAlign w:val="bottom"/>
            <w:tcBorders>
              <w:top w:val="single" w:sz="8" w:color="auto"/>
              <w:right w:val="single" w:sz="8" w:color="D9D9D9"/>
            </w:tcBorders>
            <w:shd w:val="clear" w:color="auto" w:fill="D9D9D9"/>
          </w:tcPr>
          <w:p>
            <w:pPr>
              <w:spacing w:after="0"/>
              <w:rPr>
                <w:sz w:val="19"/>
                <w:szCs w:val="19"/>
                <w:color w:val="auto"/>
              </w:rPr>
            </w:pPr>
          </w:p>
        </w:tc>
        <w:tc>
          <w:tcPr>
            <w:tcW w:w="1660" w:type="dxa"/>
            <w:vAlign w:val="bottom"/>
            <w:tcBorders>
              <w:top w:val="single" w:sz="8" w:color="auto"/>
              <w:right w:val="single" w:sz="8" w:color="auto"/>
            </w:tcBorders>
            <w:shd w:val="clear" w:color="auto" w:fill="D9D9D9"/>
          </w:tcPr>
          <w:p>
            <w:pPr>
              <w:spacing w:after="0"/>
              <w:rPr>
                <w:sz w:val="19"/>
                <w:szCs w:val="19"/>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shd w:val="clear" w:color="auto" w:fill="000000"/>
          </w:tcPr>
          <w:p>
            <w:pPr>
              <w:jc w:val="right"/>
              <w:ind w:right="530"/>
              <w:spacing w:after="0" w:line="194" w:lineRule="exact"/>
              <w:rPr>
                <w:sz w:val="20"/>
                <w:szCs w:val="20"/>
                <w:color w:val="auto"/>
              </w:rPr>
            </w:pPr>
            <w:r>
              <w:rPr>
                <w:rFonts w:ascii="Times New Roman" w:cs="Times New Roman" w:eastAsia="Times New Roman" w:hAnsi="Times New Roman"/>
                <w:sz w:val="18"/>
                <w:szCs w:val="18"/>
                <w:b w:val="1"/>
                <w:bCs w:val="1"/>
                <w:color w:val="FFFFFF"/>
              </w:rPr>
              <w:t>$1,000</w:t>
            </w:r>
          </w:p>
        </w:tc>
        <w:tc>
          <w:tcPr>
            <w:tcW w:w="1260" w:type="dxa"/>
            <w:vAlign w:val="bottom"/>
            <w:shd w:val="clear" w:color="auto" w:fill="000000"/>
          </w:tcPr>
          <w:p>
            <w:pPr>
              <w:jc w:val="center"/>
              <w:ind w:left="27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$25,000</w:t>
            </w:r>
          </w:p>
        </w:tc>
        <w:tc>
          <w:tcPr>
            <w:tcW w:w="2120" w:type="dxa"/>
            <w:vAlign w:val="bottom"/>
            <w:tcBorders>
              <w:right w:val="single" w:sz="8" w:color="auto"/>
            </w:tcBorders>
            <w:gridSpan w:val="2"/>
            <w:shd w:val="clear" w:color="auto" w:fill="000000"/>
          </w:tcPr>
          <w:p>
            <w:pPr>
              <w:jc w:val="center"/>
              <w:ind w:left="270"/>
              <w:spacing w:after="0" w:line="194" w:lineRule="exact"/>
              <w:rPr>
                <w:sz w:val="20"/>
                <w:szCs w:val="20"/>
                <w:color w:val="auto"/>
              </w:rPr>
            </w:pPr>
            <w:r>
              <w:rPr>
                <w:rFonts w:ascii="Times New Roman" w:cs="Times New Roman" w:eastAsia="Times New Roman" w:hAnsi="Times New Roman"/>
                <w:sz w:val="18"/>
                <w:szCs w:val="18"/>
                <w:b w:val="1"/>
                <w:bCs w:val="1"/>
                <w:color w:val="FFFFFF"/>
              </w:rPr>
              <w:t>$50,000</w:t>
            </w:r>
          </w:p>
        </w:tc>
        <w:tc>
          <w:tcPr>
            <w:tcW w:w="360" w:type="dxa"/>
            <w:vAlign w:val="bottom"/>
            <w:shd w:val="clear" w:color="auto" w:fill="000000"/>
          </w:tcPr>
          <w:p>
            <w:pPr>
              <w:spacing w:after="0"/>
              <w:rPr>
                <w:sz w:val="16"/>
                <w:szCs w:val="16"/>
                <w:color w:val="auto"/>
              </w:rPr>
            </w:pPr>
          </w:p>
        </w:tc>
        <w:tc>
          <w:tcPr>
            <w:tcW w:w="1320" w:type="dxa"/>
            <w:vAlign w:val="bottom"/>
            <w:tcBorders>
              <w:right w:val="single" w:sz="8" w:color="auto"/>
            </w:tcBorders>
            <w:shd w:val="clear" w:color="auto" w:fill="000000"/>
          </w:tcPr>
          <w:p>
            <w:pPr>
              <w:jc w:val="center"/>
              <w:ind w:right="350"/>
              <w:spacing w:after="0" w:line="194" w:lineRule="exact"/>
              <w:rPr>
                <w:sz w:val="20"/>
                <w:szCs w:val="20"/>
                <w:color w:val="auto"/>
              </w:rPr>
            </w:pPr>
            <w:r>
              <w:rPr>
                <w:rFonts w:ascii="Times New Roman" w:cs="Times New Roman" w:eastAsia="Times New Roman" w:hAnsi="Times New Roman"/>
                <w:sz w:val="18"/>
                <w:szCs w:val="18"/>
                <w:b w:val="1"/>
                <w:bCs w:val="1"/>
                <w:color w:val="FFFFFF"/>
              </w:rPr>
              <w:t>$75,000</w:t>
            </w:r>
          </w:p>
        </w:tc>
        <w:tc>
          <w:tcPr>
            <w:tcW w:w="1660" w:type="dxa"/>
            <w:vAlign w:val="bottom"/>
            <w:tcBorders>
              <w:right w:val="single" w:sz="8" w:color="auto"/>
            </w:tcBorders>
            <w:shd w:val="clear" w:color="auto" w:fill="000000"/>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FFFFFF"/>
              </w:rPr>
              <w:t>$100,000</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shd w:val="clear" w:color="auto" w:fill="000000"/>
          </w:tcPr>
          <w:p>
            <w:pPr>
              <w:jc w:val="right"/>
              <w:ind w:right="670"/>
              <w:spacing w:after="0"/>
              <w:rPr>
                <w:sz w:val="20"/>
                <w:szCs w:val="20"/>
                <w:color w:val="auto"/>
              </w:rPr>
            </w:pPr>
            <w:r>
              <w:rPr>
                <w:rFonts w:ascii="Times New Roman" w:cs="Times New Roman" w:eastAsia="Times New Roman" w:hAnsi="Times New Roman"/>
                <w:sz w:val="18"/>
                <w:szCs w:val="18"/>
                <w:b w:val="1"/>
                <w:bCs w:val="1"/>
                <w:color w:val="FFFFFF"/>
              </w:rPr>
              <w:t>to</w:t>
            </w:r>
          </w:p>
        </w:tc>
        <w:tc>
          <w:tcPr>
            <w:tcW w:w="1260" w:type="dxa"/>
            <w:vAlign w:val="bottom"/>
            <w:shd w:val="clear" w:color="auto" w:fill="000000"/>
          </w:tcPr>
          <w:p>
            <w:pPr>
              <w:ind w:left="780"/>
              <w:spacing w:after="0"/>
              <w:rPr>
                <w:sz w:val="20"/>
                <w:szCs w:val="20"/>
                <w:color w:val="auto"/>
              </w:rPr>
            </w:pPr>
            <w:r>
              <w:rPr>
                <w:rFonts w:ascii="Times New Roman" w:cs="Times New Roman" w:eastAsia="Times New Roman" w:hAnsi="Times New Roman"/>
                <w:sz w:val="18"/>
                <w:szCs w:val="18"/>
                <w:b w:val="1"/>
                <w:bCs w:val="1"/>
                <w:color w:val="FFFFFF"/>
              </w:rPr>
              <w:t>to</w:t>
            </w:r>
          </w:p>
        </w:tc>
        <w:tc>
          <w:tcPr>
            <w:tcW w:w="440" w:type="dxa"/>
            <w:vAlign w:val="bottom"/>
            <w:tcBorders>
              <w:right w:val="single" w:sz="8" w:color="auto"/>
            </w:tcBorders>
            <w:shd w:val="clear" w:color="auto" w:fill="000000"/>
          </w:tcPr>
          <w:p>
            <w:pPr>
              <w:spacing w:after="0"/>
              <w:rPr>
                <w:sz w:val="18"/>
                <w:szCs w:val="18"/>
                <w:color w:val="auto"/>
              </w:rPr>
            </w:pPr>
          </w:p>
        </w:tc>
        <w:tc>
          <w:tcPr>
            <w:tcW w:w="2040" w:type="dxa"/>
            <w:vAlign w:val="bottom"/>
            <w:gridSpan w:val="2"/>
            <w:shd w:val="clear" w:color="auto" w:fill="000000"/>
          </w:tcPr>
          <w:p>
            <w:pPr>
              <w:ind w:left="760"/>
              <w:spacing w:after="0"/>
              <w:rPr>
                <w:sz w:val="20"/>
                <w:szCs w:val="20"/>
                <w:color w:val="auto"/>
              </w:rPr>
            </w:pPr>
            <w:r>
              <w:rPr>
                <w:rFonts w:ascii="Times New Roman" w:cs="Times New Roman" w:eastAsia="Times New Roman" w:hAnsi="Times New Roman"/>
                <w:sz w:val="18"/>
                <w:szCs w:val="18"/>
                <w:b w:val="1"/>
                <w:bCs w:val="1"/>
                <w:color w:val="FFFFFF"/>
              </w:rPr>
              <w:t>to</w:t>
            </w:r>
          </w:p>
        </w:tc>
        <w:tc>
          <w:tcPr>
            <w:tcW w:w="1320" w:type="dxa"/>
            <w:vAlign w:val="bottom"/>
            <w:tcBorders>
              <w:right w:val="single" w:sz="8" w:color="auto"/>
            </w:tcBorders>
            <w:shd w:val="clear" w:color="auto" w:fill="000000"/>
          </w:tcPr>
          <w:p>
            <w:pPr>
              <w:ind w:left="400"/>
              <w:spacing w:after="0"/>
              <w:rPr>
                <w:sz w:val="20"/>
                <w:szCs w:val="20"/>
                <w:color w:val="auto"/>
              </w:rPr>
            </w:pPr>
            <w:r>
              <w:rPr>
                <w:rFonts w:ascii="Times New Roman" w:cs="Times New Roman" w:eastAsia="Times New Roman" w:hAnsi="Times New Roman"/>
                <w:sz w:val="18"/>
                <w:szCs w:val="18"/>
                <w:b w:val="1"/>
                <w:bCs w:val="1"/>
                <w:color w:val="FFFFFF"/>
              </w:rPr>
              <w:t>to</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rPr>
              <w:t>or</w:t>
            </w:r>
          </w:p>
        </w:tc>
      </w:tr>
      <w:tr>
        <w:trPr>
          <w:trHeight w:val="238"/>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NOTE TERM</w:t>
            </w:r>
          </w:p>
        </w:tc>
        <w:tc>
          <w:tcPr>
            <w:tcW w:w="1680" w:type="dxa"/>
            <w:vAlign w:val="bottom"/>
            <w:tcBorders>
              <w:bottom w:val="single" w:sz="8" w:color="auto"/>
              <w:right w:val="single" w:sz="8" w:color="auto"/>
            </w:tcBorders>
            <w:shd w:val="clear" w:color="auto" w:fill="000000"/>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$24,999</w:t>
            </w:r>
          </w:p>
        </w:tc>
        <w:tc>
          <w:tcPr>
            <w:tcW w:w="1260" w:type="dxa"/>
            <w:vAlign w:val="bottom"/>
            <w:tcBorders>
              <w:bottom w:val="single" w:sz="8" w:color="auto"/>
            </w:tcBorders>
            <w:shd w:val="clear" w:color="auto" w:fill="000000"/>
          </w:tcPr>
          <w:p>
            <w:pPr>
              <w:jc w:val="center"/>
              <w:ind w:left="270"/>
              <w:spacing w:after="0"/>
              <w:rPr>
                <w:sz w:val="20"/>
                <w:szCs w:val="20"/>
                <w:color w:val="auto"/>
              </w:rPr>
            </w:pPr>
            <w:r>
              <w:rPr>
                <w:rFonts w:ascii="Times New Roman" w:cs="Times New Roman" w:eastAsia="Times New Roman" w:hAnsi="Times New Roman"/>
                <w:sz w:val="18"/>
                <w:szCs w:val="18"/>
                <w:b w:val="1"/>
                <w:bCs w:val="1"/>
                <w:color w:val="FFFFFF"/>
                <w:w w:val="99"/>
              </w:rPr>
              <w:t>$49,999</w:t>
            </w:r>
          </w:p>
        </w:tc>
        <w:tc>
          <w:tcPr>
            <w:tcW w:w="2120" w:type="dxa"/>
            <w:vAlign w:val="bottom"/>
            <w:tcBorders>
              <w:bottom w:val="single" w:sz="8" w:color="auto"/>
              <w:right w:val="single" w:sz="8" w:color="auto"/>
            </w:tcBorders>
            <w:gridSpan w:val="2"/>
            <w:shd w:val="clear" w:color="auto" w:fill="000000"/>
          </w:tcPr>
          <w:p>
            <w:pPr>
              <w:jc w:val="center"/>
              <w:ind w:left="290"/>
              <w:spacing w:after="0"/>
              <w:rPr>
                <w:sz w:val="20"/>
                <w:szCs w:val="20"/>
                <w:color w:val="auto"/>
              </w:rPr>
            </w:pPr>
            <w:r>
              <w:rPr>
                <w:rFonts w:ascii="Times New Roman" w:cs="Times New Roman" w:eastAsia="Times New Roman" w:hAnsi="Times New Roman"/>
                <w:sz w:val="18"/>
                <w:szCs w:val="18"/>
                <w:b w:val="1"/>
                <w:bCs w:val="1"/>
                <w:color w:val="FFFFFF"/>
                <w:w w:val="99"/>
              </w:rPr>
              <w:t>$74,999</w:t>
            </w:r>
          </w:p>
        </w:tc>
        <w:tc>
          <w:tcPr>
            <w:tcW w:w="36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right w:val="single" w:sz="8" w:color="auto"/>
            </w:tcBorders>
            <w:shd w:val="clear" w:color="auto" w:fill="000000"/>
          </w:tcPr>
          <w:p>
            <w:pPr>
              <w:jc w:val="center"/>
              <w:ind w:right="330"/>
              <w:spacing w:after="0"/>
              <w:rPr>
                <w:sz w:val="20"/>
                <w:szCs w:val="20"/>
                <w:color w:val="auto"/>
              </w:rPr>
            </w:pPr>
            <w:r>
              <w:rPr>
                <w:rFonts w:ascii="Times New Roman" w:cs="Times New Roman" w:eastAsia="Times New Roman" w:hAnsi="Times New Roman"/>
                <w:sz w:val="18"/>
                <w:szCs w:val="18"/>
                <w:b w:val="1"/>
                <w:bCs w:val="1"/>
                <w:color w:val="FFFFFF"/>
                <w:w w:val="99"/>
              </w:rPr>
              <w:t>$99,999</w:t>
            </w: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More</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 Month</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4.50%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4.85%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5.55%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5.90%</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 Month</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4.75%</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5.10%</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5.80%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6.15%</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5.50%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5.85%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6.55%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6.90%</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2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6.00%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6.35%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7.05%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7.40%</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3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6.50%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6.85%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7.55%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7.90%</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4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7.00%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7.35%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8.05%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6065520</wp:posOffset>
            </wp:positionH>
            <wp:positionV relativeFrom="paragraph">
              <wp:posOffset>-1293495</wp:posOffset>
            </wp:positionV>
            <wp:extent cx="889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-1293495</wp:posOffset>
            </wp:positionV>
            <wp:extent cx="825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42037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-1293495</wp:posOffset>
            </wp:positionV>
            <wp:extent cx="889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-1293495</wp:posOffset>
            </wp:positionV>
            <wp:extent cx="889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420370"/>
                    </a:xfrm>
                    <a:prstGeom prst="rect">
                      <a:avLst/>
                    </a:prstGeom>
                    <a:noFill/>
                  </pic:spPr>
                </pic:pic>
              </a:graphicData>
            </a:graphic>
          </wp:anchor>
        </w:drawing>
      </w:r>
    </w:p>
    <w:p>
      <w:pPr>
        <w:spacing w:after="0" w:line="178" w:lineRule="exact"/>
        <w:rPr>
          <w:sz w:val="24"/>
          <w:szCs w:val="24"/>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applicable portfolio amount at the time you purchase or renew a note by aggregating the principal amount of all notes issued by Consumer Portfolio Services, Inc. that are currently owned by you and your immediate family members. Immediate family members include your parents, children, siblings, grandparents and grandchildren. Members of a sibling’s family are also considered immediate family members if the sibling is also a note holder.</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offering these notes to investors in the following states of the United States of America: Arkansas, California, Colorado, Connecticut, Florida, Georgia, Hawaii, Idaho, Illinois, Indiana, Iowa, Kansas, Louisiana, Maine, Michigan, Minnesota, Mississippi, Missouri, New Mexico, New York, North Carolina, Ohio, Oklahoma, Pennsylvania, South Carolina, South Dakota, Tennessee, Texas, Vermont, and Wisconsin.</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description in this interest rate supplement of the terms of these notes adds to the description of the general terms and provisions of the notes in the base prospectus included in the registration statement we filed with the SEC (dated November 20, 2023) file number 333-272653, and the prospectus supplement (dated May 14, 2026). Investors should rely on the description of the notes in this interest rate supplement if it is inconsistent with the description in the prospectus.</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CPSnotes.com / InvestorServices@CPSnotes.com / 888-776-1887</w:t>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2026-05-14T14:32:05Z</dcterms:created>
  <dcterms:modified xsi:type="dcterms:W3CDTF">2026-05-14T14:32:05Z</dcterms:modified>
</cp:coreProperties>
</file>