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900" w:right="1700" w:hanging="3892"/>
        <w:spacing w:after="0" w:line="501" w:lineRule="auto"/>
        <w:tabs>
          <w:tab w:leader="none" w:pos="5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4940" w:type="dxa"/>
            <w:vAlign w:val="bottom"/>
          </w:tcPr>
          <w:p>
            <w:pPr>
              <w:jc w:val="center"/>
              <w:ind w:right="1417"/>
              <w:spacing w:after="0"/>
              <w:rPr>
                <w:sz w:val="20"/>
                <w:szCs w:val="20"/>
                <w:color w:val="auto"/>
              </w:rPr>
            </w:pPr>
            <w:r>
              <w:rPr>
                <w:rFonts w:ascii="Arial" w:cs="Arial" w:eastAsia="Arial" w:hAnsi="Arial"/>
                <w:sz w:val="18"/>
                <w:szCs w:val="18"/>
                <w:b w:val="1"/>
                <w:bCs w:val="1"/>
                <w:color w:val="auto"/>
                <w:w w:val="96"/>
              </w:rPr>
              <w:t>California</w:t>
            </w:r>
          </w:p>
        </w:tc>
        <w:tc>
          <w:tcPr>
            <w:tcW w:w="3480" w:type="dxa"/>
            <w:vAlign w:val="bottom"/>
          </w:tcPr>
          <w:p>
            <w:pPr>
              <w:jc w:val="right"/>
              <w:ind w:right="479"/>
              <w:spacing w:after="0"/>
              <w:rPr>
                <w:sz w:val="20"/>
                <w:szCs w:val="20"/>
                <w:color w:val="auto"/>
              </w:rPr>
            </w:pPr>
            <w:r>
              <w:rPr>
                <w:rFonts w:ascii="Arial" w:cs="Arial" w:eastAsia="Arial" w:hAnsi="Arial"/>
                <w:sz w:val="18"/>
                <w:szCs w:val="18"/>
                <w:b w:val="1"/>
                <w:bCs w:val="1"/>
                <w:color w:val="auto"/>
              </w:rPr>
              <w:t>33-0459135</w:t>
            </w:r>
          </w:p>
        </w:tc>
      </w:tr>
      <w:tr>
        <w:trPr>
          <w:trHeight w:val="182"/>
        </w:trPr>
        <w:tc>
          <w:tcPr>
            <w:tcW w:w="4940" w:type="dxa"/>
            <w:vAlign w:val="bottom"/>
          </w:tcPr>
          <w:p>
            <w:pPr>
              <w:jc w:val="center"/>
              <w:ind w:right="141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480" w:type="dxa"/>
            <w:vAlign w:val="bottom"/>
          </w:tcPr>
          <w:p>
            <w:pPr>
              <w:jc w:val="center"/>
              <w:ind w:left="141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940" w:type="dxa"/>
            <w:vAlign w:val="bottom"/>
          </w:tcPr>
          <w:p>
            <w:pPr>
              <w:jc w:val="center"/>
              <w:ind w:right="1417"/>
              <w:spacing w:after="0"/>
              <w:rPr>
                <w:sz w:val="20"/>
                <w:szCs w:val="20"/>
                <w:color w:val="auto"/>
              </w:rPr>
            </w:pPr>
            <w:r>
              <w:rPr>
                <w:rFonts w:ascii="Arial" w:cs="Arial" w:eastAsia="Arial" w:hAnsi="Arial"/>
                <w:sz w:val="18"/>
                <w:szCs w:val="18"/>
                <w:b w:val="1"/>
                <w:bCs w:val="1"/>
                <w:color w:val="auto"/>
                <w:w w:val="91"/>
              </w:rPr>
              <w:t>3800 Howard Hughes Parkway, Suite 1400,</w:t>
            </w:r>
          </w:p>
        </w:tc>
        <w:tc>
          <w:tcPr>
            <w:tcW w:w="3480" w:type="dxa"/>
            <w:vAlign w:val="bottom"/>
          </w:tcPr>
          <w:p>
            <w:pPr>
              <w:spacing w:after="0"/>
              <w:rPr>
                <w:sz w:val="24"/>
                <w:szCs w:val="24"/>
                <w:color w:val="auto"/>
              </w:rPr>
            </w:pPr>
          </w:p>
        </w:tc>
      </w:tr>
      <w:tr>
        <w:trPr>
          <w:trHeight w:val="216"/>
        </w:trPr>
        <w:tc>
          <w:tcPr>
            <w:tcW w:w="4940" w:type="dxa"/>
            <w:vAlign w:val="bottom"/>
          </w:tcPr>
          <w:p>
            <w:pPr>
              <w:jc w:val="center"/>
              <w:ind w:right="1417"/>
              <w:spacing w:after="0"/>
              <w:rPr>
                <w:sz w:val="20"/>
                <w:szCs w:val="20"/>
                <w:color w:val="auto"/>
              </w:rPr>
            </w:pPr>
            <w:r>
              <w:rPr>
                <w:rFonts w:ascii="Arial" w:cs="Arial" w:eastAsia="Arial" w:hAnsi="Arial"/>
                <w:sz w:val="18"/>
                <w:szCs w:val="18"/>
                <w:b w:val="1"/>
                <w:bCs w:val="1"/>
                <w:color w:val="auto"/>
                <w:w w:val="88"/>
              </w:rPr>
              <w:t>Las Vegas, Nevada</w:t>
            </w:r>
          </w:p>
        </w:tc>
        <w:tc>
          <w:tcPr>
            <w:tcW w:w="3480" w:type="dxa"/>
            <w:vAlign w:val="bottom"/>
          </w:tcPr>
          <w:p>
            <w:pPr>
              <w:jc w:val="right"/>
              <w:ind w:right="679"/>
              <w:spacing w:after="0"/>
              <w:rPr>
                <w:sz w:val="20"/>
                <w:szCs w:val="20"/>
                <w:color w:val="auto"/>
              </w:rPr>
            </w:pPr>
            <w:r>
              <w:rPr>
                <w:rFonts w:ascii="Arial" w:cs="Arial" w:eastAsia="Arial" w:hAnsi="Arial"/>
                <w:sz w:val="18"/>
                <w:szCs w:val="18"/>
                <w:b w:val="1"/>
                <w:bCs w:val="1"/>
                <w:color w:val="auto"/>
              </w:rPr>
              <w:t>89169</w:t>
            </w:r>
          </w:p>
        </w:tc>
      </w:tr>
      <w:tr>
        <w:trPr>
          <w:trHeight w:val="182"/>
        </w:trPr>
        <w:tc>
          <w:tcPr>
            <w:tcW w:w="4940" w:type="dxa"/>
            <w:vAlign w:val="bottom"/>
          </w:tcPr>
          <w:p>
            <w:pPr>
              <w:jc w:val="center"/>
              <w:ind w:right="1417"/>
              <w:spacing w:after="0"/>
              <w:rPr>
                <w:sz w:val="20"/>
                <w:szCs w:val="20"/>
                <w:color w:val="auto"/>
              </w:rPr>
            </w:pPr>
            <w:r>
              <w:rPr>
                <w:rFonts w:ascii="Arial" w:cs="Arial" w:eastAsia="Arial" w:hAnsi="Arial"/>
                <w:sz w:val="14"/>
                <w:szCs w:val="14"/>
                <w:color w:val="auto"/>
                <w:w w:val="95"/>
              </w:rPr>
              <w:t>(Address of principal executive offices)</w:t>
            </w:r>
          </w:p>
        </w:tc>
        <w:tc>
          <w:tcPr>
            <w:tcW w:w="3480" w:type="dxa"/>
            <w:vAlign w:val="bottom"/>
          </w:tcPr>
          <w:p>
            <w:pPr>
              <w:jc w:val="center"/>
              <w:ind w:left="1419"/>
              <w:spacing w:after="0"/>
              <w:rPr>
                <w:sz w:val="20"/>
                <w:szCs w:val="20"/>
                <w:color w:val="auto"/>
              </w:rPr>
            </w:pPr>
            <w:r>
              <w:rPr>
                <w:rFonts w:ascii="Arial" w:cs="Arial" w:eastAsia="Arial" w:hAnsi="Arial"/>
                <w:sz w:val="14"/>
                <w:szCs w:val="14"/>
                <w:color w:val="auto"/>
                <w:w w:val="93"/>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 the past 90 days.</w:t>
      </w:r>
    </w:p>
    <w:p>
      <w:pPr>
        <w:spacing w:after="0" w:line="9" w:lineRule="exact"/>
        <w:rPr>
          <w:sz w:val="24"/>
          <w:szCs w:val="24"/>
          <w:color w:val="auto"/>
        </w:rPr>
      </w:pPr>
    </w:p>
    <w:p>
      <w:pPr>
        <w:spacing w:after="0"/>
        <w:tabs>
          <w:tab w:leader="none" w:pos="8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55" w:right="239" w:bottom="1440" w:gutter="0" w:footer="0" w:header="0"/>
        </w:sectPr>
      </w:pPr>
    </w:p>
    <w:p>
      <w:pPr>
        <w:spacing w:after="0" w:line="18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 Non-accelerated filer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40"/>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4">
            <w:col w:w="1720" w:space="100"/>
            <w:col w:w="3440" w:space="460"/>
            <w:col w:w="2120" w:space="80"/>
            <w:col w:w="3500"/>
          </w:cols>
          <w:pgMar w:left="240" w:top="355" w:right="239" w:bottom="1440" w:gutter="0" w:footer="0" w:header="0"/>
          <w:type w:val="continuous"/>
        </w:sectPr>
      </w:pPr>
    </w:p>
    <w:p>
      <w:pPr>
        <w:spacing w:after="0" w:line="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2018 the registrant had 21,254,141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8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gridSpan w:val="2"/>
          </w:tcPr>
          <w:p>
            <w:pPr>
              <w:ind w:left="2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80" w:type="dxa"/>
            <w:vAlign w:val="bottom"/>
            <w:gridSpan w:val="8"/>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as of March 31, 2018 and December 31, 2017</w:t>
              </w:r>
            </w:hyperlink>
          </w:p>
        </w:tc>
        <w:tc>
          <w:tcPr>
            <w:tcW w:w="2220" w:type="dxa"/>
            <w:vAlign w:val="bottom"/>
            <w:gridSpan w:val="4"/>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8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three-month periods ended March 31, 2018 and 2017</w:t>
              </w:r>
            </w:hyperlink>
          </w:p>
        </w:tc>
        <w:tc>
          <w:tcPr>
            <w:tcW w:w="440" w:type="dxa"/>
            <w:vAlign w:val="bottom"/>
            <w:gridSpan w:val="3"/>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300" w:type="dxa"/>
            <w:vAlign w:val="bottom"/>
            <w:gridSpan w:val="13"/>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Income for the three-month periods ended March 31, 2018</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2017</w:t>
              </w:r>
            </w:hyperlink>
          </w:p>
        </w:tc>
        <w:tc>
          <w:tcPr>
            <w:tcW w:w="240" w:type="dxa"/>
            <w:vAlign w:val="bottom"/>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300" w:type="dxa"/>
            <w:vAlign w:val="bottom"/>
            <w:gridSpan w:val="1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Cash Flows for the three-month periods ended March 31, 2018 and 2017</w:t>
              </w:r>
            </w:hyperlink>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100" w:type="dxa"/>
            <w:vAlign w:val="bottom"/>
            <w:tcBorders>
              <w:top w:val="single" w:sz="8" w:color="0000EE"/>
            </w:tcBorders>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4"/>
          </w:tcPr>
          <w:p>
            <w:pPr>
              <w:spacing w:after="0"/>
              <w:rPr>
                <w:sz w:val="17"/>
                <w:szCs w:val="17"/>
                <w:color w:val="auto"/>
              </w:rPr>
            </w:pPr>
          </w:p>
        </w:tc>
        <w:tc>
          <w:tcPr>
            <w:tcW w:w="2840" w:type="dxa"/>
            <w:vAlign w:val="bottom"/>
            <w:gridSpan w:val="5"/>
          </w:tcPr>
          <w:p>
            <w:pPr>
              <w:spacing w:after="0"/>
              <w:rPr>
                <w:sz w:val="17"/>
                <w:szCs w:val="17"/>
                <w:color w:val="auto"/>
              </w:rPr>
            </w:pPr>
          </w:p>
        </w:tc>
        <w:tc>
          <w:tcPr>
            <w:tcW w:w="6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6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432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4500" w:type="dxa"/>
            <w:vAlign w:val="bottom"/>
            <w:gridSpan w:val="3"/>
          </w:tcPr>
          <w:p>
            <w:pPr>
              <w:spacing w:after="0"/>
              <w:rPr>
                <w:sz w:val="24"/>
                <w:szCs w:val="24"/>
                <w:color w:val="auto"/>
              </w:rPr>
            </w:pPr>
          </w:p>
        </w:tc>
        <w:tc>
          <w:tcPr>
            <w:tcW w:w="4320" w:type="dxa"/>
            <w:vAlign w:val="bottom"/>
          </w:tcPr>
          <w:p>
            <w:pPr>
              <w:jc w:val="right"/>
              <w:ind w:right="270"/>
              <w:spacing w:after="0"/>
              <w:rPr>
                <w:sz w:val="20"/>
                <w:szCs w:val="20"/>
                <w:color w:val="auto"/>
              </w:rPr>
            </w:pPr>
            <w:r>
              <w:rPr>
                <w:rFonts w:ascii="Arial" w:cs="Arial" w:eastAsia="Arial" w:hAnsi="Arial"/>
                <w:sz w:val="18"/>
                <w:szCs w:val="18"/>
                <w:color w:val="auto"/>
              </w:rPr>
              <w:t>32</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584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1480" w:type="dxa"/>
            <w:vAlign w:val="bottom"/>
          </w:tcPr>
          <w:p>
            <w:pPr>
              <w:spacing w:after="0"/>
              <w:rPr>
                <w:sz w:val="17"/>
                <w:szCs w:val="17"/>
                <w:color w:val="auto"/>
              </w:rPr>
            </w:pPr>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8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33</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34</w:t>
            </w:r>
          </w:p>
        </w:tc>
      </w:tr>
      <w:tr>
        <w:trPr>
          <w:trHeight w:val="993"/>
        </w:trPr>
        <w:tc>
          <w:tcPr>
            <w:tcW w:w="12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0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color w:val="auto"/>
              </w:rPr>
              <w:t>2</w:t>
            </w: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11,573</w:t>
            </w:r>
          </w:p>
        </w:tc>
        <w:tc>
          <w:tcPr>
            <w:tcW w:w="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130,798</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2,091,875</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2,304,984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4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(100,844)</w:t>
            </w: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(109,187)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1,991,031</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1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209,847</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32,302</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39,077</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22,700</w:t>
            </w:r>
          </w:p>
        </w:tc>
        <w:tc>
          <w:tcPr>
            <w:tcW w:w="16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23,397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2,438,977</w:t>
            </w:r>
          </w:p>
        </w:tc>
        <w:tc>
          <w:tcPr>
            <w:tcW w:w="34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2,424,841</w:t>
            </w:r>
          </w:p>
        </w:tc>
        <w:tc>
          <w:tcPr>
            <w:tcW w:w="1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33,569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121,666</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2,080,070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2,083,215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16,348</w:t>
            </w:r>
          </w:p>
        </w:tc>
        <w:tc>
          <w:tcPr>
            <w:tcW w:w="16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2,251,653</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value;authorized 4,998,130 shares; none issued</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Series A preferred stock, $1 par value;authorized 5,000,000 shares; none issued</w:t>
            </w:r>
          </w:p>
        </w:tc>
        <w:tc>
          <w:tcPr>
            <w:tcW w:w="2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Series B preferred stock, $1 par value;authorized 1,870 shares; none issued</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21,441,659 and 21,488,589 shares issued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and outstanding at March 31, 2018 and December 31, 2017, respectively</w:t>
            </w:r>
          </w:p>
        </w:tc>
        <w:tc>
          <w:tcPr>
            <w:tcW w:w="24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71,824</w:t>
            </w:r>
          </w:p>
        </w:tc>
        <w:tc>
          <w:tcPr>
            <w:tcW w:w="16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122,682</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119,537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(7,182)</w:t>
            </w: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187,324</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183,937</w:t>
            </w:r>
          </w:p>
        </w:tc>
        <w:tc>
          <w:tcPr>
            <w:tcW w:w="1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Borders>
              <w:bottom w:val="single" w:sz="8" w:color="EEEEEE"/>
            </w:tcBorders>
            <w:shd w:val="clear" w:color="auto" w:fill="EEEEEE"/>
          </w:tcPr>
          <w:p>
            <w:pPr>
              <w:spacing w:after="0"/>
              <w:rPr>
                <w:sz w:val="21"/>
                <w:szCs w:val="21"/>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2,438,977</w:t>
            </w:r>
          </w:p>
        </w:tc>
        <w:tc>
          <w:tcPr>
            <w:tcW w:w="340" w:type="dxa"/>
            <w:vAlign w:val="bottom"/>
            <w:tcBorders>
              <w:bottom w:val="single" w:sz="8" w:color="EEEEEE"/>
            </w:tcBorders>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2,424,841</w:t>
            </w:r>
          </w:p>
        </w:tc>
        <w:tc>
          <w:tcPr>
            <w:tcW w:w="180" w:type="dxa"/>
            <w:vAlign w:val="bottom"/>
            <w:tcBorders>
              <w:bottom w:val="single" w:sz="8" w:color="EEEEEE"/>
            </w:tcBorders>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100,906</w:t>
            </w:r>
          </w:p>
        </w:tc>
        <w:tc>
          <w:tcPr>
            <w:tcW w:w="5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2,657</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103,563</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20,641</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7,495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24,062</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40,507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4,211</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1,850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99,006</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99,806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4,557</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3,145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5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21,576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25,664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5"/>
          </w:tcPr>
          <w:p>
            <w:pPr>
              <w:jc w:val="right"/>
              <w:ind w:right="36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EEEEEE"/>
          </w:tcPr>
          <w:p>
            <w:pPr>
              <w:jc w:val="right"/>
              <w:ind w:right="91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3,145</w:t>
            </w:r>
          </w:p>
        </w:tc>
        <w:tc>
          <w:tcPr>
            <w:tcW w:w="1240" w:type="dxa"/>
            <w:vAlign w:val="bottom"/>
            <w:gridSpan w:val="2"/>
            <w:shd w:val="clear" w:color="auto" w:fill="EEEEEE"/>
          </w:tcPr>
          <w:p>
            <w:pPr>
              <w:jc w:val="right"/>
              <w:ind w:right="90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24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91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3,145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3,145</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interest income accretion on fair value receivables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2,136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40,507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7,676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2,461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4,854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63,198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163,531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finance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(212,610)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2,642</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(18,833)</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(67,171</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(77,862</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8,880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(193,560)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(1,419)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(1,865)</w:t>
            </w:r>
          </w:p>
        </w:tc>
      </w:tr>
      <w:tr>
        <w:trPr>
          <w:trHeight w:val="431"/>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12,731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13,936</w:t>
            </w:r>
          </w:p>
        </w:tc>
        <w:tc>
          <w:tcPr>
            <w:tcW w:w="60" w:type="dxa"/>
            <w:vAlign w:val="bottom"/>
          </w:tcPr>
          <w:p>
            <w:pPr>
              <w:spacing w:after="0"/>
              <w:rPr>
                <w:sz w:val="24"/>
                <w:szCs w:val="24"/>
                <w:color w:val="auto"/>
              </w:rPr>
            </w:pP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11,573</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60" w:type="dxa"/>
            <w:vAlign w:val="bottom"/>
          </w:tcPr>
          <w:p>
            <w:pPr>
              <w:spacing w:after="0"/>
              <w:rPr>
                <w:sz w:val="19"/>
                <w:szCs w:val="19"/>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21,729</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19,697</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 month period ended March 31, 2018 are not necessarily indicative of the operating results to be expected for the full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Anticipated credit losses are included in our estimation of cash to be received with respect to receivables. Because such credit losses are included in our computation of the appropriate level yield, we do not make continuing provision for credit losses, as our best estimate of the lifetime aggregate of credit losses is included in that initial computation. Also as a result of including anticipated credit losses in our computation of the level yield, that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2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gridSpan w:val="4"/>
          </w:tcPr>
          <w:p>
            <w:pPr>
              <w:jc w:val="center"/>
              <w:ind w:right="465"/>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54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1,797</w:t>
            </w:r>
          </w:p>
        </w:tc>
        <w:tc>
          <w:tcPr>
            <w:tcW w:w="1120" w:type="dxa"/>
            <w:vAlign w:val="bottom"/>
            <w:gridSpan w:val="2"/>
            <w:shd w:val="clear" w:color="auto" w:fill="EEEEEE"/>
          </w:tcPr>
          <w:p>
            <w:pPr>
              <w:jc w:val="right"/>
              <w:ind w:right="945"/>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EEEEEE"/>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Sales tax refunds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r>
      <w:tr>
        <w:trPr>
          <w:trHeight w:val="230"/>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EEEEEE"/>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4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and 2017, we recorded stock-based compensation costs in the amount of $1.2 million and $1.4 million, respectively. As of March 31, 2018, unrecognized stock-based compensation costs to be recognized over future periods equaled $4.5 million. This amount will be recognized as expense over a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stock option activity for the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Exercise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8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13,135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5"/>
              </w:rPr>
              <w:t>4.66</w:t>
            </w:r>
          </w:p>
        </w:tc>
        <w:tc>
          <w:tcPr>
            <w:tcW w:w="3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3.74</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5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1.54</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Forfeited</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60" w:type="dxa"/>
            <w:vAlign w:val="bottom"/>
            <w:tcBorders>
              <w:bottom w:val="single" w:sz="8" w:color="EEEEEE"/>
            </w:tcBorders>
          </w:tcPr>
          <w:p>
            <w:pPr>
              <w:spacing w:after="0"/>
              <w:rPr>
                <w:sz w:val="19"/>
                <w:szCs w:val="19"/>
                <w:color w:val="auto"/>
              </w:rPr>
            </w:pPr>
          </w:p>
        </w:tc>
        <w:tc>
          <w:tcPr>
            <w:tcW w:w="64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EEEEE"/>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5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12,867</w:t>
            </w:r>
          </w:p>
        </w:tc>
        <w:tc>
          <w:tcPr>
            <w:tcW w:w="120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4.73</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4.30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8,687</w:t>
            </w:r>
          </w:p>
        </w:tc>
        <w:tc>
          <w:tcPr>
            <w:tcW w:w="120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4.67</w:t>
            </w: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3.93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2018, the aggregate intrinsic value of options outstanding and exercisable was $7.7 million and $7.3 million, respectively. There were 307,850 options exercised for the three months ended March 31, 2018 compared to 279,000 for the comparable period in 2017. The total intrinsic value of options exercised was $849,000 and $913,000 for the three-month periods ended March 31, 2018 and 2017. There were 2.4 million shares available for future stock option grants under existing plans as of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describes the purchase of our common stock for the three-month ended March 31, 2018 and 2017:</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1260"/>
        <w:spacing w:after="0" w:line="250" w:lineRule="auto"/>
        <w:rPr>
          <w:sz w:val="20"/>
          <w:szCs w:val="20"/>
          <w:color w:val="auto"/>
        </w:rPr>
      </w:pPr>
      <w:r>
        <w:rPr>
          <w:rFonts w:ascii="Arial" w:cs="Arial" w:eastAsia="Arial" w:hAnsi="Arial"/>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000" w:type="dxa"/>
            <w:vAlign w:val="bottom"/>
            <w:gridSpan w:val="5"/>
          </w:tcPr>
          <w:p>
            <w:pPr>
              <w:ind w:left="740"/>
              <w:spacing w:after="0"/>
              <w:rPr>
                <w:sz w:val="20"/>
                <w:szCs w:val="20"/>
                <w:color w:val="auto"/>
              </w:rPr>
            </w:pPr>
            <w:r>
              <w:rPr>
                <w:rFonts w:ascii="Arial" w:cs="Arial" w:eastAsia="Arial" w:hAnsi="Arial"/>
                <w:sz w:val="18"/>
                <w:szCs w:val="18"/>
                <w:b w:val="1"/>
                <w:bCs w:val="1"/>
                <w:color w:val="auto"/>
              </w:rPr>
              <w:t>March 31, 2018</w:t>
            </w:r>
          </w:p>
        </w:tc>
        <w:tc>
          <w:tcPr>
            <w:tcW w:w="2620" w:type="dxa"/>
            <w:vAlign w:val="bottom"/>
            <w:gridSpan w:val="6"/>
          </w:tcPr>
          <w:p>
            <w:pPr>
              <w:ind w:left="700"/>
              <w:spacing w:after="0"/>
              <w:rPr>
                <w:sz w:val="20"/>
                <w:szCs w:val="20"/>
                <w:color w:val="auto"/>
              </w:rPr>
            </w:pPr>
            <w:r>
              <w:rPr>
                <w:rFonts w:ascii="Arial" w:cs="Arial" w:eastAsia="Arial" w:hAnsi="Arial"/>
                <w:sz w:val="18"/>
                <w:szCs w:val="18"/>
                <w:b w:val="1"/>
                <w:bCs w:val="1"/>
                <w:color w:val="auto"/>
              </w:rPr>
              <w:t>March 31, 2017</w:t>
            </w:r>
          </w:p>
        </w:tc>
      </w:tr>
      <w:tr>
        <w:trPr>
          <w:trHeight w:val="223"/>
        </w:trPr>
        <w:tc>
          <w:tcPr>
            <w:tcW w:w="15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Avg. Price</w:t>
            </w:r>
          </w:p>
        </w:tc>
        <w:tc>
          <w:tcPr>
            <w:tcW w:w="320" w:type="dxa"/>
            <w:vAlign w:val="bottom"/>
          </w:tcPr>
          <w:p>
            <w:pPr>
              <w:spacing w:after="0"/>
              <w:rPr>
                <w:sz w:val="19"/>
                <w:szCs w:val="19"/>
                <w:color w:val="auto"/>
              </w:rPr>
            </w:pPr>
          </w:p>
        </w:tc>
        <w:tc>
          <w:tcPr>
            <w:tcW w:w="146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Avg. Price</w:t>
            </w:r>
          </w:p>
        </w:tc>
        <w:tc>
          <w:tcPr>
            <w:tcW w:w="20" w:type="dxa"/>
            <w:vAlign w:val="bottom"/>
          </w:tcPr>
          <w:p>
            <w:pPr>
              <w:spacing w:after="0"/>
              <w:rPr>
                <w:sz w:val="19"/>
                <w:szCs w:val="19"/>
                <w:color w:val="auto"/>
              </w:rPr>
            </w:pPr>
          </w:p>
        </w:tc>
      </w:tr>
      <w:tr>
        <w:trPr>
          <w:trHeight w:val="195"/>
        </w:trPr>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231,181</w:t>
            </w: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3.86</w:t>
            </w:r>
          </w:p>
        </w:tc>
        <w:tc>
          <w:tcPr>
            <w:tcW w:w="3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561,617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4.94</w:t>
            </w:r>
          </w:p>
        </w:tc>
        <w:tc>
          <w:tcPr>
            <w:tcW w:w="20" w:type="dxa"/>
            <w:vAlign w:val="bottom"/>
          </w:tcPr>
          <w:p>
            <w:pPr>
              <w:spacing w:after="0"/>
              <w:rPr>
                <w:sz w:val="16"/>
                <w:szCs w:val="16"/>
                <w:color w:val="auto"/>
              </w:rPr>
            </w:pPr>
          </w:p>
        </w:tc>
      </w:tr>
      <w:tr>
        <w:trPr>
          <w:trHeight w:val="230"/>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33,599</w:t>
            </w:r>
          </w:p>
        </w:tc>
        <w:tc>
          <w:tcPr>
            <w:tcW w:w="1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4.37</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25,193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r>
      <w:tr>
        <w:trPr>
          <w:trHeight w:val="230"/>
        </w:trPr>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354,780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586,810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4.94</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-608330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-325120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000" w:space="720"/>
            <w:col w:w="5700"/>
          </w:cols>
          <w:pgMar w:left="240" w:top="796" w:right="2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2018,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at each measurement date, most recently as of March 31, 2018, our best estimate of probable incurred losses for legal contingencies. The amount of losses that may ultimately be incurred cannot be estimated with 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 2018, the Company adopted Accounting Standards Codification (“ASC”) Topic 606, “Revenue from Contracts with Customers”, which (i) creates a single framework for recognizing revenue from contracts with customers that fall within its scope and (ii) revises when it is appropriate to recognize a gain (loss) from the transfer of nonfinancial assets. The majority of the Company’s revenues come from interest income which is outside the scope of ASC</w:t>
      </w:r>
    </w:p>
    <w:p>
      <w:pPr>
        <w:jc w:val="both"/>
        <w:ind w:firstLine="8"/>
        <w:spacing w:after="0" w:line="277" w:lineRule="auto"/>
        <w:tabs>
          <w:tab w:leader="none" w:pos="38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 The Company adopted ASC 606 in the first quarter of 2018 with no material effect on our financial statements.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adopted ASC Topic 825 "Financial Instruments." Authoritative accounting guidance under ASC Topic 825, "Financial Instruments" amended prior guidance to require equity investments (except those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similar investment of the same issuer. The guidance simplifies the impairment assessment of equity investments without readily determinable fair values, requires public entities to use the exit price notion when measuring the fair value of financial instruments for disclosure purposes, requires an entity to present separately in other comprehensive income the portion of the total change in the fair value of a liability resulting from changes in the instrument-specific credit risk when the entity has selected the fair value option for financial instruments and requires separate presentation of financial assets and liabilities by measurement category and form of financial asset. The Company adopted ASC 825 on January 1, 2018 with no material effect on our financial statements.</w:t>
      </w:r>
    </w:p>
    <w:p>
      <w:pPr>
        <w:spacing w:after="0" w:line="16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2,086,227</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2,298,608</w:t>
            </w:r>
          </w:p>
        </w:tc>
        <w:tc>
          <w:tcPr>
            <w:tcW w:w="100" w:type="dxa"/>
            <w:vAlign w:val="bottom"/>
          </w:tcPr>
          <w:p>
            <w:pPr>
              <w:spacing w:after="0"/>
              <w:rPr>
                <w:sz w:val="18"/>
                <w:szCs w:val="18"/>
                <w:color w:val="auto"/>
              </w:rPr>
            </w:pPr>
          </w:p>
        </w:tc>
      </w:tr>
      <w:tr>
        <w:trPr>
          <w:trHeight w:val="230"/>
        </w:trPr>
        <w:tc>
          <w:tcPr>
            <w:tcW w:w="6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Unearned acquisition fees and originations costs</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5,648</w:t>
            </w:r>
          </w:p>
        </w:tc>
        <w:tc>
          <w:tcPr>
            <w:tcW w:w="24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6,376</w:t>
            </w:r>
          </w:p>
        </w:tc>
        <w:tc>
          <w:tcPr>
            <w:tcW w:w="100" w:type="dxa"/>
            <w:vAlign w:val="bottom"/>
            <w:shd w:val="clear" w:color="auto" w:fill="EEEEEE"/>
          </w:tcPr>
          <w:p>
            <w:pPr>
              <w:spacing w:after="0"/>
              <w:rPr>
                <w:sz w:val="19"/>
                <w:szCs w:val="19"/>
                <w:color w:val="auto"/>
              </w:rPr>
            </w:pP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2,091,875</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2,304,984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2018 and December 31, 2017:</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1,919,642</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2,069,617</w:t>
            </w:r>
          </w:p>
        </w:tc>
        <w:tc>
          <w:tcPr>
            <w:tcW w:w="8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4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104,314</w:t>
            </w: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138,395</w:t>
            </w:r>
          </w:p>
        </w:tc>
        <w:tc>
          <w:tcPr>
            <w:tcW w:w="80" w:type="dxa"/>
            <w:vAlign w:val="bottom"/>
            <w:shd w:val="clear" w:color="auto" w:fill="EEEEEE"/>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41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43,330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63,081</w:t>
            </w:r>
          </w:p>
        </w:tc>
      </w:tr>
      <w:tr>
        <w:trPr>
          <w:trHeight w:val="230"/>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4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18,941</w:t>
            </w:r>
          </w:p>
        </w:tc>
        <w:tc>
          <w:tcPr>
            <w:tcW w:w="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27,515</w:t>
            </w:r>
          </w:p>
        </w:tc>
      </w:tr>
      <w:tr>
        <w:trPr>
          <w:trHeight w:val="223"/>
        </w:trPr>
        <w:tc>
          <w:tcPr>
            <w:tcW w:w="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2,086,227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2,298,608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receivables totaling $18.9 million and $27.5 million at March 31, 2018 and December 31, 2017,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4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380" w:type="dxa"/>
            <w:vAlign w:val="bottom"/>
            <w:gridSpan w:val="2"/>
            <w:shd w:val="clear" w:color="auto" w:fill="EEEEEE"/>
          </w:tcPr>
          <w:p>
            <w:pPr>
              <w:jc w:val="right"/>
              <w:ind w:right="8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9"/>
              </w:rPr>
              <w:t>109,187</w:t>
            </w:r>
          </w:p>
        </w:tc>
        <w:tc>
          <w:tcPr>
            <w:tcW w:w="11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95,578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9"/>
              </w:rPr>
              <w:t>Provision for credit losses on finance receivables.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40,507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47,167</w:t>
            </w:r>
          </w:p>
        </w:tc>
      </w:tr>
      <w:tr>
        <w:trPr>
          <w:trHeight w:val="216"/>
        </w:trPr>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5"/>
              </w:rPr>
              <w:t>(56,102)</w:t>
            </w:r>
          </w:p>
        </w:tc>
        <w:tc>
          <w:tcPr>
            <w:tcW w:w="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5"/>
              </w:rPr>
              <w:t>(50,299)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Recoveries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7,252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6,809</w:t>
            </w:r>
          </w:p>
        </w:tc>
      </w:tr>
      <w:tr>
        <w:trPr>
          <w:trHeight w:val="223"/>
        </w:trPr>
        <w:tc>
          <w:tcPr>
            <w:tcW w:w="39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100,844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99,255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37,190</w:t>
            </w:r>
          </w:p>
        </w:tc>
        <w:tc>
          <w:tcPr>
            <w:tcW w:w="3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33,679</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(25,771)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(24,024)</w:t>
            </w:r>
          </w:p>
        </w:tc>
      </w:tr>
      <w:tr>
        <w:trPr>
          <w:trHeight w:val="223"/>
        </w:trPr>
        <w:tc>
          <w:tcPr>
            <w:tcW w:w="3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w w:val="97"/>
              </w:rPr>
              <w:t>Net repossessed inventory included in other assets</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11,419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i w:val="1"/>
          <w:iCs w:val="1"/>
          <w:color w:val="auto"/>
        </w:rPr>
        <w:t>Securitization Trust Debt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Final</w:t>
            </w:r>
          </w:p>
        </w:tc>
        <w:tc>
          <w:tcPr>
            <w:tcW w:w="20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Scheduled</w:t>
            </w: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Pledged at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 Rate at</w:t>
            </w:r>
          </w:p>
        </w:tc>
      </w:tr>
      <w:tr>
        <w:trPr>
          <w:trHeight w:val="230"/>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Payment</w:t>
            </w:r>
          </w:p>
        </w:tc>
        <w:tc>
          <w:tcPr>
            <w:tcW w:w="20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740" w:type="dxa"/>
            <w:vAlign w:val="bottom"/>
            <w:gridSpan w:val="2"/>
          </w:tcPr>
          <w:p>
            <w:pPr>
              <w:ind w:left="580"/>
              <w:spacing w:after="0"/>
              <w:rPr>
                <w:sz w:val="20"/>
                <w:szCs w:val="20"/>
                <w:color w:val="auto"/>
              </w:rPr>
            </w:pPr>
            <w:r>
              <w:rPr>
                <w:rFonts w:ascii="Arial" w:cs="Arial" w:eastAsia="Arial" w:hAnsi="Arial"/>
                <w:sz w:val="18"/>
                <w:szCs w:val="18"/>
                <w:b w:val="1"/>
                <w:bCs w:val="1"/>
                <w:color w:val="auto"/>
              </w:rPr>
              <w:t>Series</w:t>
            </w: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Date (1)</w:t>
            </w: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2018 (2)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15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2013-B</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17,882</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205,000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15,089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18,407</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2013-C</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December 2020</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22,318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205,000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21,936</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25,559</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6.15%</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2013-D</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2021</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22,804</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183,000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21,146</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24,917</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5.31%</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2014-A</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June 2021</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28,297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26,161</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30,521</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2014-B</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2021</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40,715</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202,500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38,976</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44,516</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2014-C</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December 2021</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64,831</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273,000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63,405</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71,174</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2014-D</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2022</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71,801</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267,500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70,473</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79,099</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2015-A</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June 2022</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79,551</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245,000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78,174</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87,194</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2015-B</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2022</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93,331</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92,899</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102,873</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2015-C</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December 2022</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129,017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127,836</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141,362</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2016-A</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2023</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165,582</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329,460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164,649</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180,761</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2016-B</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June 2023</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188,408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332,690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184,355</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201,199</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2016-C</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2023</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190,875</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318,500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186,387</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203,504</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2016-D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April 2024</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140,642</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206,325</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138,114</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149,671</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2017-A</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April 2024</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152,891</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206,320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149,832</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161,892</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2017-B</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December 2023</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183,726</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225,170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172,409</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186,594</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2017-C</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2024</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189,969</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224,825</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181,471</w:t>
            </w:r>
          </w:p>
        </w:tc>
        <w:tc>
          <w:tcPr>
            <w:tcW w:w="1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197,155</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2017-D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June 2024</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183,453</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196,300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175,130</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189,277</w:t>
            </w:r>
          </w:p>
        </w:tc>
        <w:tc>
          <w:tcPr>
            <w:tcW w:w="1660" w:type="dxa"/>
            <w:vAlign w:val="bottom"/>
            <w:gridSpan w:val="4"/>
          </w:tcPr>
          <w:p>
            <w:pPr>
              <w:jc w:val="right"/>
              <w:ind w:right="100"/>
              <w:spacing w:after="0"/>
              <w:rPr>
                <w:sz w:val="20"/>
                <w:szCs w:val="20"/>
                <w:color w:val="auto"/>
              </w:rPr>
            </w:pPr>
            <w:r>
              <w:rPr>
                <w:rFonts w:ascii="Arial" w:cs="Arial" w:eastAsia="Arial" w:hAnsi="Arial"/>
                <w:sz w:val="18"/>
                <w:szCs w:val="18"/>
                <w:color w:val="auto"/>
              </w:rPr>
              <w:t>2.81%</w:t>
            </w:r>
          </w:p>
        </w:tc>
      </w:tr>
      <w:tr>
        <w:trPr>
          <w:trHeight w:val="230"/>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2018-A</w:t>
            </w:r>
          </w:p>
        </w:tc>
        <w:tc>
          <w:tcPr>
            <w:tcW w:w="17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2025</w:t>
            </w:r>
          </w:p>
        </w:tc>
        <w:tc>
          <w:tcPr>
            <w:tcW w:w="20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187,493</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190,000</w:t>
            </w:r>
          </w:p>
        </w:tc>
        <w:tc>
          <w:tcPr>
            <w:tcW w:w="1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183,672</w:t>
            </w:r>
          </w:p>
        </w:tc>
        <w:tc>
          <w:tcPr>
            <w:tcW w:w="1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2.91%</w:t>
            </w:r>
          </w:p>
        </w:tc>
      </w:tr>
      <w:tr>
        <w:trPr>
          <w:trHeight w:val="223"/>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2,153,586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4,540,590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2,092,115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2,095,675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13" w:lineRule="exact"/>
        <w:rPr>
          <w:sz w:val="20"/>
          <w:szCs w:val="20"/>
          <w:color w:val="auto"/>
        </w:rPr>
      </w:pPr>
    </w:p>
    <w:p>
      <w:pPr>
        <w:jc w:val="both"/>
        <w:ind w:left="340" w:hanging="332"/>
        <w:spacing w:after="0" w:line="253"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$695.4 million in 2018, $682.8 million in 2019, $412.6 million in 2020, $211.2 million in 2021, $66.3 million in 2021, $11.7 million in 2022.</w:t>
      </w:r>
    </w:p>
    <w:p>
      <w:pPr>
        <w:spacing w:after="0" w:line="191"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$12.0 million and $12.5 million as of March 31, 2018 and December 31, 2017,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2018, we were in compliance with all such covenants.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2018, restricted cash under the various agreements totaled approximately $130.8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16, 2018 we completed our second securitization transaction of 2018. In the transaction, qualified institutional buyers purchased $201.8 million of asset-backed notes secured by $205.0 million in automobile receivables purchased by us. The sold notes, issued by CPS Auto Receivables Trust 2018-B, consist of five classes. Ratings of the notes were provided by Standard &amp; Poor’s and Kroll Bond Rating Agency and were based on the structure of the transaction, the historical performance of similar receivables and our experience as a servicer. The weighted average yield on the notes is approximately 3.98%.</w:t>
      </w:r>
    </w:p>
    <w:p>
      <w:pPr>
        <w:spacing w:after="0" w:line="18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amounts of our other debt outstanding at March 31, 2018 and December 31, 2017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7"/>
          </w:tcPr>
          <w:p>
            <w:pPr>
              <w:ind w:left="48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40" w:type="dxa"/>
            <w:vAlign w:val="bottom"/>
            <w:gridSpan w:val="2"/>
            <w:vMerge w:val="restart"/>
          </w:tcPr>
          <w:p>
            <w:pPr>
              <w:ind w:left="840"/>
              <w:spacing w:after="0"/>
              <w:rPr>
                <w:sz w:val="20"/>
                <w:szCs w:val="20"/>
                <w:color w:val="auto"/>
              </w:rPr>
            </w:pPr>
            <w:r>
              <w:rPr>
                <w:rFonts w:ascii="Arial" w:cs="Arial" w:eastAsia="Arial" w:hAnsi="Arial"/>
                <w:sz w:val="18"/>
                <w:szCs w:val="18"/>
                <w:color w:val="auto"/>
              </w:rPr>
              <w:t>Description</w:t>
            </w:r>
          </w:p>
        </w:tc>
        <w:tc>
          <w:tcPr>
            <w:tcW w:w="2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Interest Rate</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7"/>
              </w:rPr>
              <w:t>Revolving Maturity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40" w:type="dxa"/>
            <w:vAlign w:val="bottom"/>
            <w:gridSpan w:val="2"/>
            <w:vMerge w:val="continue"/>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720" w:type="dxa"/>
            <w:vAlign w:val="bottom"/>
            <w:gridSpan w:val="2"/>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2"/>
              </w:rPr>
              <w:t>5.50% over one month Libor</w:t>
            </w:r>
          </w:p>
        </w:tc>
        <w:tc>
          <w:tcPr>
            <w:tcW w:w="26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7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4"/>
              </w:rPr>
              <w:t>(Minimum 6.50%)</w:t>
            </w: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8"/>
              </w:rPr>
              <w:t>April 2019</w:t>
            </w:r>
          </w:p>
        </w:tc>
        <w:tc>
          <w:tcPr>
            <w:tcW w:w="36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40,603</w:t>
            </w:r>
          </w:p>
        </w:tc>
        <w:tc>
          <w:tcPr>
            <w:tcW w:w="140" w:type="dxa"/>
            <w:vAlign w:val="bottom"/>
            <w:gridSpan w:val="2"/>
            <w:shd w:val="clear" w:color="auto" w:fill="EEEEEE"/>
          </w:tcPr>
          <w:p>
            <w:pPr>
              <w:jc w:val="right"/>
              <w:ind w:right="10"/>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25,629</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720" w:type="dxa"/>
            <w:vAlign w:val="bottom"/>
            <w:gridSpan w:val="2"/>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2"/>
              </w:rPr>
              <w:t>5.50% over one month Libor</w:t>
            </w:r>
          </w:p>
        </w:tc>
        <w:tc>
          <w:tcPr>
            <w:tcW w:w="26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7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4"/>
              </w:rPr>
              <w:t>(Minimum 6.25%)</w:t>
            </w: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August 2018</w:t>
            </w: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69,791</w:t>
            </w:r>
          </w:p>
        </w:tc>
        <w:tc>
          <w:tcPr>
            <w:tcW w:w="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77,546</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720" w:type="dxa"/>
            <w:vAlign w:val="bottom"/>
            <w:gridSpan w:val="2"/>
            <w:shd w:val="clear" w:color="auto" w:fill="EEEEEE"/>
          </w:tcPr>
          <w:p>
            <w:pPr>
              <w:jc w:val="center"/>
              <w:ind w:right="100"/>
              <w:spacing w:after="0" w:line="201" w:lineRule="exact"/>
              <w:rPr>
                <w:sz w:val="20"/>
                <w:szCs w:val="20"/>
                <w:color w:val="auto"/>
              </w:rPr>
            </w:pPr>
            <w:r>
              <w:rPr>
                <w:rFonts w:ascii="Arial" w:cs="Arial" w:eastAsia="Arial" w:hAnsi="Arial"/>
                <w:sz w:val="18"/>
                <w:szCs w:val="18"/>
                <w:color w:val="auto"/>
                <w:w w:val="90"/>
              </w:rPr>
              <w:t>6.75% over a commercial paper rate</w:t>
            </w:r>
          </w:p>
        </w:tc>
        <w:tc>
          <w:tcPr>
            <w:tcW w:w="26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72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4"/>
              </w:rPr>
              <w:t>(Minimum 7.75%)</w:t>
            </w: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November 2019</w:t>
            </w: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12,760</w:t>
            </w:r>
          </w:p>
        </w:tc>
        <w:tc>
          <w:tcPr>
            <w:tcW w:w="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11,100</w:t>
            </w:r>
          </w:p>
        </w:tc>
        <w:tc>
          <w:tcPr>
            <w:tcW w:w="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89"/>
              </w:rPr>
              <w:t>Weighted average rate of</w:t>
            </w: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1"/>
              </w:rPr>
              <w:t>Weighted average maturity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8.08% and 7.99% at</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of May 2020 and March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2018 and</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2020 at March 31, 2018 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31, 2017,</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respectively</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16,348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30"/>
        </w:trPr>
        <w:tc>
          <w:tcPr>
            <w:tcW w:w="25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923"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$1.5 million and $1.9 million as of March 31, 2018 and December 31, 2017, respectively, have been excluded from the table above. These debt issuance costs are presented as a direct deduction to the carrying amount of the Warehouse lines of credit on our Unaudited Condensed Consolidated Balance Sheets.</w:t>
      </w:r>
    </w:p>
    <w:p>
      <w:pPr>
        <w:sectPr>
          <w:pgSz w:w="11900" w:h="16838" w:orient="portrait"/>
          <w:cols w:equalWidth="0" w:num="1">
            <w:col w:w="11420"/>
          </w:cols>
          <w:pgMar w:left="240" w:top="796" w:right="239" w:bottom="1440" w:gutter="0" w:footer="0" w:header="0"/>
        </w:sectPr>
      </w:pPr>
    </w:p>
    <w:p>
      <w:pPr>
        <w:spacing w:after="0" w:line="18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income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Subordinated renewable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95"/>
        </w:trPr>
        <w:tc>
          <w:tcPr>
            <w:tcW w:w="360" w:type="dxa"/>
            <w:vAlign w:val="bottom"/>
          </w:tcPr>
          <w:p>
            <w:pPr>
              <w:spacing w:after="0"/>
              <w:rPr>
                <w:sz w:val="16"/>
                <w:szCs w:val="16"/>
                <w:color w:val="auto"/>
              </w:rPr>
            </w:pPr>
          </w:p>
        </w:tc>
        <w:tc>
          <w:tcPr>
            <w:tcW w:w="2080" w:type="dxa"/>
            <w:vAlign w:val="bottom"/>
            <w:gridSpan w:val="4"/>
          </w:tcPr>
          <w:p>
            <w:pPr>
              <w:jc w:val="center"/>
              <w:ind w:left="63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97,188</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104,496</w:t>
            </w: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3,508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100,906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104,575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840"/>
        </w:trPr>
        <w:tc>
          <w:tcPr>
            <w:tcW w:w="360" w:type="dxa"/>
            <w:vAlign w:val="bottom"/>
          </w:tcPr>
          <w:p>
            <w:pPr>
              <w:spacing w:after="0"/>
              <w:rPr>
                <w:sz w:val="24"/>
                <w:szCs w:val="24"/>
                <w:color w:val="auto"/>
              </w:rPr>
            </w:pPr>
          </w:p>
        </w:tc>
        <w:tc>
          <w:tcPr>
            <w:tcW w:w="31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tcBorders>
              <w:bottom w:val="single" w:sz="8" w:color="auto"/>
            </w:tcBorders>
          </w:tcPr>
          <w:p>
            <w:pPr>
              <w:spacing w:after="0"/>
              <w:rPr>
                <w:sz w:val="20"/>
                <w:szCs w:val="20"/>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195"/>
        </w:trPr>
        <w:tc>
          <w:tcPr>
            <w:tcW w:w="360" w:type="dxa"/>
            <w:vAlign w:val="bottom"/>
          </w:tcPr>
          <w:p>
            <w:pPr>
              <w:spacing w:after="0"/>
              <w:rPr>
                <w:sz w:val="16"/>
                <w:szCs w:val="16"/>
                <w:color w:val="auto"/>
              </w:rPr>
            </w:pPr>
          </w:p>
        </w:tc>
        <w:tc>
          <w:tcPr>
            <w:tcW w:w="2080" w:type="dxa"/>
            <w:vAlign w:val="bottom"/>
            <w:gridSpan w:val="4"/>
          </w:tcPr>
          <w:p>
            <w:pPr>
              <w:jc w:val="center"/>
              <w:ind w:left="63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21,829</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20,080</w:t>
            </w: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per share for the three-month periods ended March 31, 2018 and 2017 were calculated using the weighted average number of shares outstanding for the related period. The following table reconciles the number of shares used in the computations of basic and diluted earnings per share for the three-month periods ended March 31, 2018 and 2017:</w:t>
      </w: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680"/>
        <w:spacing w:after="0" w:line="341" w:lineRule="auto"/>
        <w:rPr>
          <w:sz w:val="20"/>
          <w:szCs w:val="20"/>
          <w:color w:val="auto"/>
        </w:rPr>
      </w:pPr>
      <w:r>
        <w:rPr>
          <w:rFonts w:ascii="Arial" w:cs="Arial" w:eastAsia="Arial" w:hAnsi="Arial"/>
          <w:sz w:val="16"/>
          <w:szCs w:val="16"/>
          <w:color w:val="auto"/>
        </w:rPr>
        <w:t>Incremental common shares attributable to exercise of outstanding options and warrants 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28"/>
        </w:trPr>
        <w:tc>
          <w:tcPr>
            <w:tcW w:w="2440" w:type="dxa"/>
            <w:vAlign w:val="bottom"/>
            <w:gridSpan w:val="3"/>
          </w:tcPr>
          <w:p>
            <w:pPr>
              <w:ind w:left="1200"/>
              <w:spacing w:after="0"/>
              <w:rPr>
                <w:sz w:val="20"/>
                <w:szCs w:val="20"/>
                <w:color w:val="auto"/>
              </w:rPr>
            </w:pPr>
            <w:r>
              <w:rPr>
                <w:rFonts w:ascii="Arial" w:cs="Arial" w:eastAsia="Arial" w:hAnsi="Arial"/>
                <w:sz w:val="18"/>
                <w:szCs w:val="18"/>
                <w:b w:val="1"/>
                <w:bCs w:val="1"/>
                <w:color w:val="auto"/>
                <w:w w:val="98"/>
              </w:rPr>
              <w:t>(In thousands)</w:t>
            </w:r>
          </w:p>
        </w:tc>
        <w:tc>
          <w:tcPr>
            <w:tcW w:w="1100" w:type="dxa"/>
            <w:vAlign w:val="bottom"/>
          </w:tcPr>
          <w:p>
            <w:pPr>
              <w:spacing w:after="0"/>
              <w:rPr>
                <w:sz w:val="19"/>
                <w:szCs w:val="19"/>
                <w:color w:val="auto"/>
              </w:rPr>
            </w:pPr>
          </w:p>
        </w:tc>
      </w:tr>
      <w:tr>
        <w:trPr>
          <w:trHeight w:val="413"/>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21,576</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23,517</w:t>
            </w:r>
          </w:p>
        </w:tc>
      </w:tr>
      <w:tr>
        <w:trPr>
          <w:trHeight w:val="230"/>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4,088</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4,706</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25,664</w:t>
            </w: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28,223</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three-months ended March 31, 2018 and 2017 would have included an additional 9.3 million and 6.6 million shares, respectively, attributable to the exercise of outstanding options and warrants.</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2018 and December 31, 2017,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$32.3 million as of March 31, 2018 is more likely than not based on forecasted future net earnings. Our net deferred tax asset of $32.3 million consists of approximately $22.7 million of net U.S. federal deferred tax assets and $9.6 million of net state deferred tax assets.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was $1.4 million and $3.3 million for the three months ended March 31, 2018 and 2017, which represents an effective income tax rate of 31% and 43%, respectively.</w:t>
      </w:r>
    </w:p>
    <w:p>
      <w:pPr>
        <w:spacing w:after="0" w:line="17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There can be no assurance as to the outcomes of the matters described or referenced above. We record at each measurement date, most recently as</w:t>
      </w:r>
      <w:r>
        <w:rPr>
          <w:rFonts w:ascii="Arial" w:cs="Arial" w:eastAsia="Arial" w:hAnsi="Arial"/>
          <w:sz w:val="16"/>
          <w:szCs w:val="16"/>
          <w:i w:val="1"/>
          <w:iCs w:val="1"/>
          <w:color w:val="auto"/>
        </w:rPr>
        <w:t xml:space="preserve"> </w:t>
      </w:r>
      <w:r>
        <w:rPr>
          <w:rFonts w:ascii="Arial" w:cs="Arial" w:eastAsia="Arial" w:hAnsi="Arial"/>
          <w:sz w:val="16"/>
          <w:szCs w:val="16"/>
          <w:color w:val="auto"/>
        </w:rPr>
        <w:t>of March 31, 2018,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March 31, 2018 is immaterial, and that the range of reasonably possible losses for the legal proceedings and contingencies we face, including those described or referenced above, as of March 31, 2018 does not exceed $1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the three-month periods ended March 31, 2018 and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060" w:type="dxa"/>
            <w:vAlign w:val="bottom"/>
            <w:gridSpan w:val="5"/>
          </w:tcPr>
          <w:p>
            <w:pPr>
              <w:jc w:val="center"/>
              <w:ind w:left="37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590"/>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tcPr>
          <w:p>
            <w:pPr>
              <w:spacing w:after="0"/>
              <w:rPr>
                <w:sz w:val="19"/>
                <w:szCs w:val="19"/>
                <w:color w:val="auto"/>
              </w:rPr>
            </w:pPr>
          </w:p>
        </w:tc>
        <w:tc>
          <w:tcPr>
            <w:tcW w:w="1960" w:type="dxa"/>
            <w:vAlign w:val="bottom"/>
            <w:gridSpan w:val="4"/>
          </w:tcPr>
          <w:p>
            <w:pPr>
              <w:jc w:val="center"/>
              <w:ind w:right="590"/>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97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(291)</w:t>
            </w:r>
          </w:p>
        </w:tc>
        <w:tc>
          <w:tcPr>
            <w:tcW w:w="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make any contributions to the Plan during the three-month periods ended March 31, 2018 and 2017. We do not anticipate making any contributions for the remainder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 Our level 3, unobservable inputs reflect our own assumptions about the factors that market participants use in pricing similar receivables, and are based on the best information available in the circumstances. They include such inputs as estimated net charge-offs and timing of the amortization of the portfolio of finance receivables. The table below presents a reconciliation of the finance receivables measured at fair value on a recurring basis using significant unobservable inputs: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180" w:type="dxa"/>
            <w:vAlign w:val="bottom"/>
            <w:gridSpan w:val="5"/>
          </w:tcPr>
          <w:p>
            <w:pPr>
              <w:jc w:val="center"/>
              <w:ind w:left="257"/>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7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610"/>
              <w:spacing w:after="0"/>
              <w:rPr>
                <w:sz w:val="20"/>
                <w:szCs w:val="20"/>
                <w:color w:val="auto"/>
              </w:rPr>
            </w:pPr>
            <w:r>
              <w:rPr>
                <w:rFonts w:ascii="Arial" w:cs="Arial" w:eastAsia="Arial" w:hAnsi="Arial"/>
                <w:sz w:val="18"/>
                <w:szCs w:val="18"/>
                <w:b w:val="1"/>
                <w:bCs w:val="1"/>
                <w:color w:val="auto"/>
                <w:w w:val="96"/>
              </w:rPr>
              <w:t>March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90"/>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212,610</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(6,271)</w:t>
            </w:r>
          </w:p>
        </w:tc>
        <w:tc>
          <w:tcPr>
            <w:tcW w:w="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income on finance receivables at fair value</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3,508</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0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200" w:type="dxa"/>
            <w:vAlign w:val="bottom"/>
            <w:shd w:val="clear" w:color="auto" w:fill="EEEEEE"/>
          </w:tcPr>
          <w:p>
            <w:pPr>
              <w:spacing w:after="0"/>
              <w:rPr>
                <w:sz w:val="19"/>
                <w:szCs w:val="19"/>
                <w:color w:val="auto"/>
              </w:rPr>
            </w:pPr>
          </w:p>
        </w:tc>
        <w:tc>
          <w:tcPr>
            <w:tcW w:w="4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209,847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tcBorders>
          </w:tcPr>
          <w:p>
            <w:pPr>
              <w:jc w:val="right"/>
              <w:ind w:right="109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ind w:left="420"/>
              <w:spacing w:after="0"/>
              <w:rPr>
                <w:sz w:val="20"/>
                <w:szCs w:val="20"/>
                <w:color w:val="auto"/>
              </w:rPr>
            </w:pPr>
            <w:r>
              <w:rPr>
                <w:rFonts w:ascii="Arial" w:cs="Arial" w:eastAsia="Arial" w:hAnsi="Arial"/>
                <w:sz w:val="18"/>
                <w:szCs w:val="18"/>
                <w:b w:val="1"/>
                <w:bCs w:val="1"/>
                <w:color w:val="auto"/>
              </w:rPr>
              <w:t>As of March 31, 2018</w:t>
            </w:r>
          </w:p>
        </w:tc>
        <w:tc>
          <w:tcPr>
            <w:tcW w:w="100" w:type="dxa"/>
            <w:vAlign w:val="bottom"/>
          </w:tcPr>
          <w:p>
            <w:pPr>
              <w:spacing w:after="0"/>
              <w:rPr>
                <w:sz w:val="20"/>
                <w:szCs w:val="20"/>
                <w:color w:val="auto"/>
              </w:rPr>
            </w:pPr>
          </w:p>
        </w:tc>
        <w:tc>
          <w:tcPr>
            <w:tcW w:w="26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9"/>
              </w:rPr>
              <w:t>As of December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400" w:type="dxa"/>
            <w:vAlign w:val="bottom"/>
          </w:tcPr>
          <w:p>
            <w:pPr>
              <w:spacing w:after="0"/>
              <w:rPr>
                <w:sz w:val="20"/>
                <w:szCs w:val="2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207,952</w:t>
            </w:r>
          </w:p>
        </w:tc>
        <w:tc>
          <w:tcPr>
            <w:tcW w:w="4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209,847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326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9"/>
              </w:rPr>
              <w:t>Fair Values as of</w:t>
            </w:r>
          </w:p>
        </w:tc>
        <w:tc>
          <w:tcPr>
            <w:tcW w:w="19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2700" w:type="dxa"/>
            <w:vAlign w:val="bottom"/>
            <w:gridSpan w:val="3"/>
          </w:tcPr>
          <w:p>
            <w:pPr>
              <w:ind w:left="9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31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70"/>
              <w:spacing w:after="0" w:line="205" w:lineRule="exact"/>
              <w:rPr>
                <w:sz w:val="20"/>
                <w:szCs w:val="20"/>
                <w:color w:val="auto"/>
              </w:rPr>
            </w:pPr>
            <w:r>
              <w:rPr>
                <w:rFonts w:ascii="Arial" w:cs="Arial" w:eastAsia="Arial" w:hAnsi="Arial"/>
                <w:sz w:val="18"/>
                <w:szCs w:val="18"/>
                <w:b w:val="1"/>
                <w:bCs w:val="1"/>
                <w:color w:val="auto"/>
                <w:w w:val="96"/>
              </w:rPr>
              <w:t>March 31,</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460" w:type="dxa"/>
            <w:vAlign w:val="bottom"/>
            <w:tcBorders>
              <w:top w:val="single" w:sz="8" w:color="auto"/>
            </w:tcBorders>
            <w:gridSpan w:val="2"/>
          </w:tcPr>
          <w:p>
            <w:pPr>
              <w:ind w:left="220"/>
              <w:spacing w:after="0" w:line="205" w:lineRule="exact"/>
              <w:rPr>
                <w:sz w:val="20"/>
                <w:szCs w:val="20"/>
                <w:color w:val="auto"/>
              </w:rPr>
            </w:pPr>
            <w:r>
              <w:rPr>
                <w:rFonts w:ascii="Arial" w:cs="Arial" w:eastAsia="Arial" w:hAnsi="Arial"/>
                <w:sz w:val="18"/>
                <w:szCs w:val="18"/>
                <w:b w:val="1"/>
                <w:bCs w:val="1"/>
                <w:color w:val="auto"/>
              </w:rPr>
              <w:t>March 31,</w:t>
            </w:r>
          </w:p>
        </w:tc>
        <w:tc>
          <w:tcPr>
            <w:tcW w:w="1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w w:val="95"/>
              </w:rPr>
              <w:t>Finance receivables measured at fair value   $</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209,847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Discount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 - 10.7%</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3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9"/>
              </w:rPr>
              <w:t>Cumulative net losses</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16.0%</w:t>
            </w: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2018 the finance receivables related to the repossessed vehicles in inventory totaled $37.2 million. We have applied a valuation adjustment, or loss allowance, of $25.8 million, which is based on a recovery rate of approximately 31%, resulting in an estimated fair value and carrying amount of $11.4 million. The fair value and carrying amount of the repossessed inventory at December 31, 2017 was $9.7 million after applying a valuation adjustment of $24.0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financial assets and liabilities at March 31, 2018 and December 31,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0"/>
              </w:rPr>
              <w:t>As of March 31, 2018</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ind w:right="200"/>
              <w:spacing w:after="0" w:line="205"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11,573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11,573</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130,798</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130,798</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130,798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1,991,031</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2,104,430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2,104,430</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209,847</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209,847</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209,847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39,077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39,077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39,077</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121,666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121,666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121,666</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4,409</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4,409</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2,080,070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2,079,770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2,079,770</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16,348</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16,348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446"/>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b w:val="1"/>
                <w:bCs w:val="1"/>
                <w:color w:val="auto"/>
                <w:w w:val="89"/>
              </w:rPr>
              <w:t>As of December 31, 2017</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center"/>
              <w:ind w:right="200"/>
              <w:spacing w:after="0" w:line="205"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12,731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12,731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111,965</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111,965</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2,195,797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2,171,846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2,171,846</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46,753</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46,753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112,408</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112,408</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4,212</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4,212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2,083,215</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2,089,678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2,089,678</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16,566</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16,566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March 31, 2018 and December 31, 2017, the amounts that will actually be realized or paid at settlement or maturity of the instruments could be significantly different.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discount rates at which similar receivables could be sold.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and Subordinated Renewable Notes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ind w:right="4140"/>
        <w:spacing w:after="0" w:line="378" w:lineRule="auto"/>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r>
        <w:rPr>
          <w:rFonts w:ascii="Arial" w:cs="Arial" w:eastAsia="Arial" w:hAnsi="Arial"/>
          <w:sz w:val="18"/>
          <w:szCs w:val="18"/>
          <w:b w:val="1"/>
          <w:bCs w:val="1"/>
          <w:color w:val="auto"/>
        </w:rPr>
        <w:t xml:space="preserve"> Overview</w:t>
      </w:r>
    </w:p>
    <w:p>
      <w:pPr>
        <w:jc w:val="both"/>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March 31, 2018, we have originated a total of approximately $14.6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40" w:type="dxa"/>
            <w:vAlign w:val="bottom"/>
            <w:gridSpan w:val="5"/>
          </w:tcPr>
          <w:p>
            <w:pPr>
              <w:ind w:left="1820"/>
              <w:spacing w:after="0"/>
              <w:rPr>
                <w:sz w:val="20"/>
                <w:szCs w:val="20"/>
                <w:color w:val="auto"/>
              </w:rPr>
            </w:pPr>
            <w:r>
              <w:rPr>
                <w:rFonts w:ascii="Arial" w:cs="Arial" w:eastAsia="Arial" w:hAnsi="Arial"/>
                <w:sz w:val="18"/>
                <w:szCs w:val="18"/>
                <w:b w:val="1"/>
                <w:bCs w:val="1"/>
                <w:color w:val="auto"/>
                <w:w w:val="91"/>
              </w:rPr>
              <w:t>Contract Purchases and Outstanding Managed Portfolio</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5"/>
          </w:tcPr>
          <w:p>
            <w:pPr>
              <w:ind w:left="10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0"/>
              </w:rPr>
              <w:t>Contracts</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Purchased in</w:t>
            </w: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Managed Portfolio</w:t>
            </w:r>
          </w:p>
        </w:tc>
      </w:tr>
      <w:tr>
        <w:trPr>
          <w:trHeight w:val="234"/>
        </w:trPr>
        <w:tc>
          <w:tcPr>
            <w:tcW w:w="4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Period End</w:t>
            </w:r>
          </w:p>
        </w:tc>
      </w:tr>
      <w:tr>
        <w:trPr>
          <w:trHeight w:val="210"/>
        </w:trPr>
        <w:tc>
          <w:tcPr>
            <w:tcW w:w="41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764,087</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944,944</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1,643,920</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1,060,538</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2,031,136</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2016</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1,088,785</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2,308,070</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333333"/>
                <w:w w:val="89"/>
              </w:rPr>
              <w:t>2017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859,069</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2,333,530</w:t>
            </w: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Three months ended March 31, 2018</w:t>
            </w: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210,594</w:t>
            </w: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2,332,317</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1994 we have conducted 77 term securitizations of automobile contracts that we originated. As of March 31, 2018, 19 of those securitizations are active and all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34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Recent Asset-Backed Term Securitizations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6"/>
          </w:tcPr>
          <w:p>
            <w:pPr>
              <w:ind w:left="12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00" w:type="dxa"/>
            <w:vAlign w:val="bottom"/>
          </w:tcPr>
          <w:p>
            <w:pPr>
              <w:spacing w:after="0"/>
              <w:rPr>
                <w:sz w:val="16"/>
                <w:szCs w:val="16"/>
                <w:color w:val="auto"/>
              </w:rPr>
            </w:pPr>
          </w:p>
        </w:tc>
      </w:tr>
      <w:tr>
        <w:trPr>
          <w:trHeight w:val="216"/>
        </w:trPr>
        <w:tc>
          <w:tcPr>
            <w:tcW w:w="2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Number of Term</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Pledged in Term</w:t>
            </w:r>
          </w:p>
        </w:tc>
      </w:tr>
      <w:tr>
        <w:trPr>
          <w:trHeight w:val="234"/>
        </w:trPr>
        <w:tc>
          <w:tcPr>
            <w:tcW w:w="2340" w:type="dxa"/>
            <w:vAlign w:val="bottom"/>
          </w:tcPr>
          <w:p>
            <w:pPr>
              <w:jc w:val="center"/>
              <w:ind w:left="1670"/>
              <w:spacing w:after="0"/>
              <w:rPr>
                <w:sz w:val="20"/>
                <w:szCs w:val="20"/>
                <w:color w:val="auto"/>
              </w:rPr>
            </w:pPr>
            <w:r>
              <w:rPr>
                <w:rFonts w:ascii="Arial" w:cs="Arial" w:eastAsia="Arial" w:hAnsi="Arial"/>
                <w:sz w:val="18"/>
                <w:szCs w:val="18"/>
                <w:b w:val="1"/>
                <w:bCs w:val="1"/>
                <w:color w:val="auto"/>
                <w:w w:val="89"/>
              </w:rPr>
              <w:t>Period</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Securitizations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340" w:type="dxa"/>
            <w:vAlign w:val="bottom"/>
            <w:tcBorders>
              <w:top w:val="single" w:sz="8" w:color="auto"/>
            </w:tcBorders>
            <w:shd w:val="clear" w:color="auto" w:fill="EEEEEE"/>
          </w:tcPr>
          <w:p>
            <w:pPr>
              <w:jc w:val="center"/>
              <w:ind w:left="1650"/>
              <w:spacing w:after="0"/>
              <w:rPr>
                <w:sz w:val="20"/>
                <w:szCs w:val="20"/>
                <w:color w:val="auto"/>
              </w:rPr>
            </w:pPr>
            <w:r>
              <w:rPr>
                <w:rFonts w:ascii="Arial" w:cs="Arial" w:eastAsia="Arial" w:hAnsi="Arial"/>
                <w:sz w:val="18"/>
                <w:szCs w:val="18"/>
                <w:color w:val="333333"/>
                <w:w w:val="89"/>
              </w:rPr>
              <w:t>2012</w:t>
            </w:r>
          </w:p>
        </w:tc>
        <w:tc>
          <w:tcPr>
            <w:tcW w:w="17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4</w:t>
            </w:r>
          </w:p>
        </w:tc>
        <w:tc>
          <w:tcPr>
            <w:tcW w:w="3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340" w:type="dxa"/>
            <w:vAlign w:val="bottom"/>
          </w:tcPr>
          <w:p>
            <w:pPr>
              <w:jc w:val="center"/>
              <w:ind w:left="1650"/>
              <w:spacing w:after="0"/>
              <w:rPr>
                <w:sz w:val="20"/>
                <w:szCs w:val="20"/>
                <w:color w:val="auto"/>
              </w:rPr>
            </w:pPr>
            <w:r>
              <w:rPr>
                <w:rFonts w:ascii="Arial" w:cs="Arial" w:eastAsia="Arial" w:hAnsi="Arial"/>
                <w:sz w:val="18"/>
                <w:szCs w:val="18"/>
                <w:color w:val="333333"/>
                <w:w w:val="89"/>
              </w:rPr>
              <w:t>2013</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2340" w:type="dxa"/>
            <w:vAlign w:val="bottom"/>
            <w:shd w:val="clear" w:color="auto" w:fill="EEEEEE"/>
          </w:tcPr>
          <w:p>
            <w:pPr>
              <w:jc w:val="center"/>
              <w:ind w:left="1650"/>
              <w:spacing w:after="0"/>
              <w:rPr>
                <w:sz w:val="20"/>
                <w:szCs w:val="20"/>
                <w:color w:val="auto"/>
              </w:rPr>
            </w:pPr>
            <w:r>
              <w:rPr>
                <w:rFonts w:ascii="Arial" w:cs="Arial" w:eastAsia="Arial" w:hAnsi="Arial"/>
                <w:sz w:val="18"/>
                <w:szCs w:val="18"/>
                <w:color w:val="333333"/>
                <w:w w:val="89"/>
              </w:rPr>
              <w:t>2014</w:t>
            </w:r>
          </w:p>
        </w:tc>
        <w:tc>
          <w:tcPr>
            <w:tcW w:w="1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923,000</w:t>
            </w:r>
          </w:p>
        </w:tc>
      </w:tr>
      <w:tr>
        <w:trPr>
          <w:trHeight w:val="216"/>
        </w:trPr>
        <w:tc>
          <w:tcPr>
            <w:tcW w:w="2340" w:type="dxa"/>
            <w:vAlign w:val="bottom"/>
          </w:tcPr>
          <w:p>
            <w:pPr>
              <w:jc w:val="center"/>
              <w:ind w:left="1650"/>
              <w:spacing w:after="0"/>
              <w:rPr>
                <w:sz w:val="20"/>
                <w:szCs w:val="20"/>
                <w:color w:val="auto"/>
              </w:rPr>
            </w:pPr>
            <w:r>
              <w:rPr>
                <w:rFonts w:ascii="Arial" w:cs="Arial" w:eastAsia="Arial" w:hAnsi="Arial"/>
                <w:sz w:val="18"/>
                <w:szCs w:val="18"/>
                <w:color w:val="333333"/>
                <w:w w:val="89"/>
              </w:rPr>
              <w:t>2015</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795,000</w:t>
            </w:r>
          </w:p>
        </w:tc>
      </w:tr>
      <w:tr>
        <w:trPr>
          <w:trHeight w:val="216"/>
        </w:trPr>
        <w:tc>
          <w:tcPr>
            <w:tcW w:w="2340" w:type="dxa"/>
            <w:vAlign w:val="bottom"/>
            <w:shd w:val="clear" w:color="auto" w:fill="EEEEEE"/>
          </w:tcPr>
          <w:p>
            <w:pPr>
              <w:jc w:val="center"/>
              <w:ind w:left="1650"/>
              <w:spacing w:after="0"/>
              <w:rPr>
                <w:sz w:val="20"/>
                <w:szCs w:val="20"/>
                <w:color w:val="auto"/>
              </w:rPr>
            </w:pPr>
            <w:r>
              <w:rPr>
                <w:rFonts w:ascii="Arial" w:cs="Arial" w:eastAsia="Arial" w:hAnsi="Arial"/>
                <w:sz w:val="18"/>
                <w:szCs w:val="18"/>
                <w:color w:val="333333"/>
                <w:w w:val="89"/>
              </w:rPr>
              <w:t>2016</w:t>
            </w:r>
          </w:p>
        </w:tc>
        <w:tc>
          <w:tcPr>
            <w:tcW w:w="1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1,214,997</w:t>
            </w:r>
          </w:p>
        </w:tc>
      </w:tr>
      <w:tr>
        <w:trPr>
          <w:trHeight w:val="216"/>
        </w:trPr>
        <w:tc>
          <w:tcPr>
            <w:tcW w:w="2340" w:type="dxa"/>
            <w:vAlign w:val="bottom"/>
          </w:tcPr>
          <w:p>
            <w:pPr>
              <w:jc w:val="center"/>
              <w:ind w:left="1650"/>
              <w:spacing w:after="0"/>
              <w:rPr>
                <w:sz w:val="20"/>
                <w:szCs w:val="20"/>
                <w:color w:val="auto"/>
              </w:rPr>
            </w:pPr>
            <w:r>
              <w:rPr>
                <w:rFonts w:ascii="Arial" w:cs="Arial" w:eastAsia="Arial" w:hAnsi="Arial"/>
                <w:sz w:val="18"/>
                <w:szCs w:val="18"/>
                <w:color w:val="333333"/>
                <w:w w:val="89"/>
              </w:rPr>
              <w:t>2017</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870,000</w:t>
            </w:r>
          </w:p>
        </w:tc>
      </w:tr>
      <w:tr>
        <w:trPr>
          <w:trHeight w:val="216"/>
        </w:trPr>
        <w:tc>
          <w:tcPr>
            <w:tcW w:w="58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Three months ended March 31, 2018</w:t>
            </w:r>
          </w:p>
        </w:tc>
        <w:tc>
          <w:tcPr>
            <w:tcW w:w="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193,581</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second $100 million facility. This facility was renewed in April 2017, extending the revolving period to April 2019, followed by an amortization period to April 2021. In November 2015, we entered into a third $100 million facility. This facility was renewed in November 2017, extending the revolving period to November 2019, followed by an amortization period to November 2021.</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2018,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2018 with the three months ended March 31, 2017</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March 31, 2018, our revenues were $103.6 million, a decrease of $4.0 million, or 3.8%,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$107.6 million. The primary reason for the decrease in revenues is a decrease in interest income. Interest income for the three months ended March 31, 2018 decreased $3.7 million, or 3.41%, to $100.9 million from $104.6 million in the prior year. The primary reason for the decrease in interest income is the lower interest yield on the receivables measured at fair value. The interest yield on receivables measured at fair value is reduced for the impact of expected losses and is therefore less than the yield on other finance receivables. The table below shows the average balances and interest yields of our loan portfolio for the three months ended March 31, 2018 and 2017:</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40" w:firstLine="1046"/>
        <w:spacing w:after="0" w:line="261" w:lineRule="auto"/>
        <w:rPr>
          <w:sz w:val="20"/>
          <w:szCs w:val="20"/>
          <w:color w:val="auto"/>
        </w:rPr>
      </w:pPr>
      <w:r>
        <w:rPr>
          <w:rFonts w:ascii="Arial" w:cs="Arial" w:eastAsia="Arial" w:hAnsi="Arial"/>
          <w:sz w:val="18"/>
          <w:szCs w:val="18"/>
          <w:b w:val="1"/>
          <w:bCs w:val="1"/>
          <w:u w:val="single" w:color="auto"/>
          <w:color w:val="auto"/>
        </w:rPr>
        <w:t xml:space="preserve">Interest Earning Assets </w:t>
      </w:r>
      <w:r>
        <w:rPr>
          <w:rFonts w:ascii="Arial" w:cs="Arial" w:eastAsia="Arial" w:hAnsi="Arial"/>
          <w:sz w:val="18"/>
          <w:szCs w:val="18"/>
          <w:color w:val="auto"/>
        </w:rPr>
        <w:t>Finance receivables</w:t>
      </w:r>
    </w:p>
    <w:p>
      <w:pPr>
        <w:ind w:right="320"/>
        <w:spacing w:after="0" w:line="276" w:lineRule="auto"/>
        <w:rPr>
          <w:sz w:val="20"/>
          <w:szCs w:val="20"/>
          <w:color w:val="auto"/>
        </w:rPr>
      </w:pPr>
      <w:r>
        <w:rPr>
          <w:rFonts w:ascii="Arial" w:cs="Arial" w:eastAsia="Arial" w:hAnsi="Arial"/>
          <w:sz w:val="18"/>
          <w:szCs w:val="18"/>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r>
      <w:tr>
        <w:trPr>
          <w:trHeight w:val="191"/>
        </w:trPr>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gridSpan w:val="5"/>
          </w:tcPr>
          <w:p>
            <w:pPr>
              <w:ind w:left="1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12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Interest</w:t>
            </w:r>
          </w:p>
        </w:tc>
      </w:tr>
      <w:tr>
        <w:trPr>
          <w:trHeight w:val="234"/>
        </w:trPr>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Balance</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Interest</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Yield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Yield</w:t>
            </w:r>
          </w:p>
        </w:tc>
      </w:tr>
      <w:tr>
        <w:trPr>
          <w:trHeight w:val="42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2,160,975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97,398</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2,271,937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104,575</w:t>
            </w: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133,543</w:t>
            </w:r>
          </w:p>
        </w:tc>
        <w:tc>
          <w:tcPr>
            <w:tcW w:w="1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3,508</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2,294,518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100,906</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2,271,937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104,575</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-608330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-325120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796"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three months ended March 31, 2018, other income of $2.7 million decreased by $366,000, or 12.1% compared to the prior year. The three-month period ended March 31, 2018 includes a decrease of $202,000 in revenue associated with direct mail and other related products and services that we offer to our dealers, a decrease of $120,000 in payments from third-party providers of convenience fees paid by our customers for web based and other electronic payments, and a decrease of $68,000 on payments to us for our interest in certain sold charge offs and acquired third-party portfolios, Those decreases were somewhat offset by an increase of $38,000 on sales tax refunds.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Our operating expenses consist largely of provision for credit losses, interest expense, employee costs, marketing and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Provision for credit losses is affected by the balance and credit performance of our portfolio of finance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operating expenses were $99.0 million for the three months ended March 31, 2018, compared to $99.8 million for the prior period, a decrease of $800,000, or 0.8%. The decrease is primarily due to a decrease in provision for credit losses, offsetting increases in employee costs, interest expense and general and administrative expenses.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costs increased by $2.9 million or 16.1%, to $20.6 million during the three months ended March 31, 2018, representing 20.9% of total operating expenses, from $17.8 million for the prior year, or 17.8% of total operating expenses. Employee costs for the prior year period were net of $1.4 million of direct employee costs associated with the originations of contracts during that period. Such deferred costs are then recognized over the life of the related receivables using the interest method. In the current period, new originations of our finance receivables contracts are measured at fair value and the related direct originations costs are no longer deferred. All direct origination or acquisition costs are now expensed in the acquisition period. The table below summarizes our employees by category as well as contract purchases and units in our managed portfolio as of, and for the three-month periods ended, March 31, 2018 and 2017:</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March 31, 2018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210.6</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2,332.3</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2,323.2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174,627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$7.5 million, an increase of $573,000, or 8.3% compared to the previous year and represented 7.6% of total operating expenses.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three months ended March 31, 2018 increased by $2.0 million to $24.1 million, or 8.9% and represented 24.3% of total operating expenses, compared to $22.1 million in the previous year, when it was 22.1% of total operating expenses.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on securitization trust debt increased by $1.7 million, or 8.7%, for the three months ended March 31, 2018 compared to the prior period. The average balance of securitization trust debt decreased 0.4% to $2,158.2 million for the three months ended March 31, 2018 compared to $2,168.0 million for the three months ended March 31, 2017. However, the blended interest rates on new term securitizations have generally increased since June 2014. As a result, the cost of securitization debt during the three-month period ended March 31, 2018 was 4.0%, compared to 3.7%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160" w:type="dxa"/>
        <w:tblCellMar>
          <w:top w:w="0" w:type="dxa"/>
          <w:left w:w="0" w:type="dxa"/>
          <w:bottom w:w="0" w:type="dxa"/>
          <w:right w:w="0" w:type="dxa"/>
        </w:tblCellMar>
      </w:tblPr>
      <w:tr>
        <w:trPr>
          <w:trHeight w:val="234"/>
        </w:trPr>
        <w:tc>
          <w:tcPr>
            <w:tcW w:w="28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2"/>
              </w:rPr>
              <w:t>Period</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580" w:type="dxa"/>
            <w:vAlign w:val="bottom"/>
            <w:tcBorders>
              <w:top w:val="single" w:sz="8" w:color="EEEEEE"/>
            </w:tcBorders>
            <w:shd w:val="clear" w:color="auto" w:fill="EEEEEE"/>
          </w:tcPr>
          <w:p>
            <w:pPr>
              <w:spacing w:after="0"/>
              <w:rPr>
                <w:sz w:val="18"/>
                <w:szCs w:val="18"/>
                <w:color w:val="auto"/>
              </w:rPr>
            </w:pPr>
          </w:p>
        </w:tc>
        <w:tc>
          <w:tcPr>
            <w:tcW w:w="22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r>
      <w:tr>
        <w:trPr>
          <w:trHeight w:val="216"/>
        </w:trPr>
        <w:tc>
          <w:tcPr>
            <w:tcW w:w="2840" w:type="dxa"/>
            <w:vAlign w:val="bottom"/>
            <w:gridSpan w:val="2"/>
          </w:tcPr>
          <w:p>
            <w:pPr>
              <w:jc w:val="center"/>
              <w:ind w:right="580"/>
              <w:spacing w:after="0"/>
              <w:rPr>
                <w:sz w:val="20"/>
                <w:szCs w:val="20"/>
                <w:color w:val="auto"/>
              </w:rPr>
            </w:pPr>
            <w:r>
              <w:rPr>
                <w:rFonts w:ascii="Arial" w:cs="Arial" w:eastAsia="Arial" w:hAnsi="Arial"/>
                <w:sz w:val="18"/>
                <w:szCs w:val="18"/>
                <w:color w:val="333333"/>
                <w:w w:val="88"/>
              </w:rPr>
              <w:t>September 2014</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2840" w:type="dxa"/>
            <w:vAlign w:val="bottom"/>
            <w:gridSpan w:val="2"/>
            <w:shd w:val="clear" w:color="auto" w:fill="EEEEEE"/>
          </w:tcPr>
          <w:p>
            <w:pPr>
              <w:jc w:val="center"/>
              <w:ind w:right="580"/>
              <w:spacing w:after="0"/>
              <w:rPr>
                <w:sz w:val="20"/>
                <w:szCs w:val="20"/>
                <w:color w:val="auto"/>
              </w:rPr>
            </w:pPr>
            <w:r>
              <w:rPr>
                <w:rFonts w:ascii="Arial" w:cs="Arial" w:eastAsia="Arial" w:hAnsi="Arial"/>
                <w:sz w:val="18"/>
                <w:szCs w:val="18"/>
                <w:color w:val="333333"/>
                <w:w w:val="88"/>
              </w:rPr>
              <w:t>December 2014</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r>
      <w:tr>
        <w:trPr>
          <w:trHeight w:val="216"/>
        </w:trPr>
        <w:tc>
          <w:tcPr>
            <w:tcW w:w="2840" w:type="dxa"/>
            <w:vAlign w:val="bottom"/>
            <w:gridSpan w:val="2"/>
          </w:tcPr>
          <w:p>
            <w:pPr>
              <w:jc w:val="center"/>
              <w:ind w:right="600"/>
              <w:spacing w:after="0"/>
              <w:rPr>
                <w:sz w:val="20"/>
                <w:szCs w:val="20"/>
                <w:color w:val="auto"/>
              </w:rPr>
            </w:pPr>
            <w:r>
              <w:rPr>
                <w:rFonts w:ascii="Arial" w:cs="Arial" w:eastAsia="Arial" w:hAnsi="Arial"/>
                <w:sz w:val="18"/>
                <w:szCs w:val="18"/>
                <w:color w:val="333333"/>
                <w:w w:val="92"/>
              </w:rPr>
              <w:t>March 2015</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2840" w:type="dxa"/>
            <w:vAlign w:val="bottom"/>
            <w:gridSpan w:val="2"/>
            <w:shd w:val="clear" w:color="auto" w:fill="EEEEEE"/>
          </w:tcPr>
          <w:p>
            <w:pPr>
              <w:jc w:val="center"/>
              <w:ind w:right="580"/>
              <w:spacing w:after="0"/>
              <w:rPr>
                <w:sz w:val="20"/>
                <w:szCs w:val="20"/>
                <w:color w:val="auto"/>
              </w:rPr>
            </w:pPr>
            <w:r>
              <w:rPr>
                <w:rFonts w:ascii="Arial" w:cs="Arial" w:eastAsia="Arial" w:hAnsi="Arial"/>
                <w:sz w:val="18"/>
                <w:szCs w:val="18"/>
                <w:color w:val="333333"/>
                <w:w w:val="87"/>
              </w:rPr>
              <w:t>June 2015</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2840" w:type="dxa"/>
            <w:vAlign w:val="bottom"/>
            <w:gridSpan w:val="2"/>
          </w:tcPr>
          <w:p>
            <w:pPr>
              <w:jc w:val="center"/>
              <w:ind w:right="580"/>
              <w:spacing w:after="0"/>
              <w:rPr>
                <w:sz w:val="20"/>
                <w:szCs w:val="20"/>
                <w:color w:val="auto"/>
              </w:rPr>
            </w:pPr>
            <w:r>
              <w:rPr>
                <w:rFonts w:ascii="Arial" w:cs="Arial" w:eastAsia="Arial" w:hAnsi="Arial"/>
                <w:sz w:val="18"/>
                <w:szCs w:val="18"/>
                <w:color w:val="333333"/>
                <w:w w:val="88"/>
              </w:rPr>
              <w:t>September 2015</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284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333333"/>
                <w:w w:val="87"/>
              </w:rPr>
              <w:t>January 2016</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2840" w:type="dxa"/>
            <w:vAlign w:val="bottom"/>
            <w:gridSpan w:val="2"/>
          </w:tcPr>
          <w:p>
            <w:pPr>
              <w:jc w:val="center"/>
              <w:ind w:right="580"/>
              <w:spacing w:after="0"/>
              <w:rPr>
                <w:sz w:val="20"/>
                <w:szCs w:val="20"/>
                <w:color w:val="auto"/>
              </w:rPr>
            </w:pPr>
            <w:r>
              <w:rPr>
                <w:rFonts w:ascii="Arial" w:cs="Arial" w:eastAsia="Arial" w:hAnsi="Arial"/>
                <w:sz w:val="18"/>
                <w:szCs w:val="18"/>
                <w:color w:val="333333"/>
                <w:w w:val="96"/>
              </w:rPr>
              <w:t>April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284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93"/>
              </w:rPr>
              <w:t>July 2016</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r>
        <w:trPr>
          <w:trHeight w:val="216"/>
        </w:trPr>
        <w:tc>
          <w:tcPr>
            <w:tcW w:w="284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October 2016</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3.62%</w:t>
            </w:r>
          </w:p>
        </w:tc>
      </w:tr>
      <w:tr>
        <w:trPr>
          <w:trHeight w:val="216"/>
        </w:trPr>
        <w:tc>
          <w:tcPr>
            <w:tcW w:w="284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87"/>
              </w:rPr>
              <w:t>January 2017</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84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April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84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93"/>
              </w:rPr>
              <w:t>July 2017</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284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October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2840" w:type="dxa"/>
            <w:vAlign w:val="bottom"/>
            <w:gridSpan w:val="2"/>
            <w:shd w:val="clear" w:color="auto" w:fill="EEEEEE"/>
          </w:tcPr>
          <w:p>
            <w:pPr>
              <w:jc w:val="center"/>
              <w:ind w:right="600"/>
              <w:spacing w:after="0"/>
              <w:rPr>
                <w:sz w:val="20"/>
                <w:szCs w:val="20"/>
                <w:color w:val="auto"/>
              </w:rPr>
            </w:pPr>
            <w:r>
              <w:rPr>
                <w:rFonts w:ascii="Arial" w:cs="Arial" w:eastAsia="Arial" w:hAnsi="Arial"/>
                <w:sz w:val="18"/>
                <w:szCs w:val="18"/>
                <w:color w:val="auto"/>
                <w:w w:val="87"/>
              </w:rPr>
              <w:t>January 2018</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on subordinated renewable notes increased by $46,000, or 15.3 %. The increase is due to an increase in the average balance by $1.2 million, or 7.8%, for the three months ended March 31, 2018 compared to the prior period. In addition, the average yield of subordinated notes increased to 8.4% in the three-month period ended March 31, 2018 compared to 7.8% in the prior period.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warehouse debt increased by $179,000, or 10.5 %, for the three months ended March 31, 2018 compared to the prior period. The interest is due to the higher outstanding debt balance in the current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March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8"/>
                <w:szCs w:val="18"/>
                <w:b w:val="1"/>
                <w:bCs w:val="1"/>
                <w:color w:val="auto"/>
                <w:w w:val="93"/>
              </w:rPr>
              <w:t>Three Months Ended March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2620" w:type="dxa"/>
            <w:vAlign w:val="bottom"/>
            <w:tcBorders>
              <w:top w:val="single" w:sz="8" w:color="EEEEEE"/>
            </w:tcBorders>
            <w:gridSpan w:val="3"/>
            <w:shd w:val="clear" w:color="auto" w:fill="EEEEEE"/>
          </w:tcPr>
          <w:p>
            <w:pPr>
              <w:jc w:val="center"/>
              <w:ind w:right="840"/>
              <w:spacing w:after="0" w:line="170" w:lineRule="exact"/>
              <w:rPr>
                <w:sz w:val="20"/>
                <w:szCs w:val="20"/>
                <w:color w:val="auto"/>
              </w:rPr>
            </w:pPr>
            <w:r>
              <w:rPr>
                <w:rFonts w:ascii="Arial" w:cs="Arial" w:eastAsia="Arial" w:hAnsi="Arial"/>
                <w:sz w:val="18"/>
                <w:szCs w:val="18"/>
                <w:b w:val="1"/>
                <w:bCs w:val="1"/>
                <w:color w:val="auto"/>
                <w:w w:val="88"/>
              </w:rPr>
              <w:t>Interest Earning Assets</w:t>
            </w:r>
          </w:p>
        </w:tc>
        <w:tc>
          <w:tcPr>
            <w:tcW w:w="10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auto"/>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20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2,160,975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97,398</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2,271,937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104,575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133,543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3,508</w:t>
            </w: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gridSpan w:val="5"/>
            <w:shd w:val="clear" w:color="auto" w:fill="EEEEEE"/>
          </w:tcPr>
          <w:p>
            <w:pPr>
              <w:jc w:val="center"/>
              <w:ind w:right="1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62,258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52,409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2,158,224</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21,829</w:t>
            </w: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2,167,961</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20,080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1360" w:type="dxa"/>
            <w:vAlign w:val="bottom"/>
            <w:gridSpan w:val="3"/>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2,236,992</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vMerge w:val="continue"/>
            <w:shd w:val="clear" w:color="auto" w:fill="EEEEEE"/>
          </w:tcPr>
          <w:p>
            <w:pPr>
              <w:spacing w:after="0"/>
              <w:rPr>
                <w:sz w:val="20"/>
                <w:szCs w:val="20"/>
                <w:color w:val="auto"/>
              </w:rPr>
            </w:pPr>
          </w:p>
        </w:tc>
        <w:tc>
          <w:tcPr>
            <w:tcW w:w="1360" w:type="dxa"/>
            <w:vAlign w:val="bottom"/>
            <w:gridSpan w:val="3"/>
            <w:vMerge w:val="continue"/>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2,235,682</w:t>
            </w: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22,088</w:t>
            </w:r>
          </w:p>
        </w:tc>
        <w:tc>
          <w:tcPr>
            <w:tcW w:w="220" w:type="dxa"/>
            <w:vAlign w:val="bottom"/>
            <w:vMerge w:val="continue"/>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76,844</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82,487</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(3)</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97"/>
        </w:trPr>
        <w:tc>
          <w:tcPr>
            <w:tcW w:w="334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 assets to</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shd w:val="clear" w:color="auto" w:fill="EEEEEE"/>
          </w:tcPr>
          <w:p>
            <w:pPr>
              <w:ind w:left="16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80" w:type="dxa"/>
            <w:vAlign w:val="bottom"/>
            <w:gridSpan w:val="3"/>
          </w:tcPr>
          <w:p>
            <w:pPr>
              <w:spacing w:after="0" w:line="245" w:lineRule="exact"/>
              <w:rPr>
                <w:sz w:val="20"/>
                <w:szCs w:val="20"/>
                <w:color w:val="auto"/>
              </w:rPr>
            </w:pPr>
            <w:r>
              <w:rPr>
                <w:rFonts w:ascii="Arial" w:cs="Arial" w:eastAsia="Arial" w:hAnsi="Arial"/>
                <w:sz w:val="22"/>
                <w:szCs w:val="22"/>
                <w:color w:val="auto"/>
              </w:rPr>
              <w:t>________________</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7"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2"/>
              </w:rPr>
              <w:t>Three Months Ended March 31, 20</w:t>
            </w:r>
            <w:r>
              <w:rPr>
                <w:rFonts w:ascii="Arial" w:cs="Arial" w:eastAsia="Arial" w:hAnsi="Arial"/>
                <w:sz w:val="18"/>
                <w:szCs w:val="18"/>
                <w:color w:val="auto"/>
                <w:w w:val="92"/>
              </w:rPr>
              <w:t>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Compared to March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87"/>
              </w:rPr>
              <w:t>Change Due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to Volume</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940" w:type="dxa"/>
            <w:vAlign w:val="bottom"/>
            <w:gridSpan w:val="2"/>
            <w:shd w:val="clear" w:color="auto" w:fill="EEEEEE"/>
          </w:tcPr>
          <w:p>
            <w:pPr>
              <w:jc w:val="center"/>
              <w:ind w:right="140"/>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5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Finance receivables gross</w:t>
            </w:r>
          </w:p>
        </w:tc>
        <w:tc>
          <w:tcPr>
            <w:tcW w:w="1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(7,177)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5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206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5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6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EEEEEE"/>
            </w:tcBorders>
            <w:gridSpan w:val="4"/>
          </w:tcPr>
          <w:p>
            <w:pPr>
              <w:spacing w:after="0"/>
              <w:rPr>
                <w:sz w:val="20"/>
                <w:szCs w:val="20"/>
                <w:color w:val="auto"/>
              </w:rPr>
            </w:pPr>
            <w:r>
              <w:rPr>
                <w:rFonts w:ascii="Arial" w:cs="Arial" w:eastAsia="Arial" w:hAnsi="Arial"/>
                <w:sz w:val="18"/>
                <w:szCs w:val="18"/>
                <w:color w:val="auto"/>
              </w:rPr>
              <w:t>Warehouse lines of credit</w:t>
            </w:r>
          </w:p>
        </w:tc>
        <w:tc>
          <w:tcPr>
            <w:tcW w:w="15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60" w:type="dxa"/>
            <w:vAlign w:val="bottom"/>
            <w:tcBorders>
              <w:top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EEEEEE"/>
            </w:tcBorders>
          </w:tcPr>
          <w:p>
            <w:pPr>
              <w:spacing w:after="0"/>
              <w:rPr>
                <w:sz w:val="18"/>
                <w:szCs w:val="18"/>
                <w:color w:val="auto"/>
              </w:rPr>
            </w:pPr>
          </w:p>
        </w:tc>
        <w:tc>
          <w:tcPr>
            <w:tcW w:w="1380" w:type="dxa"/>
            <w:vAlign w:val="bottom"/>
            <w:tcBorders>
              <w:top w:val="single" w:sz="8" w:color="EEEEEE"/>
            </w:tcBorders>
            <w:gridSpan w:val="2"/>
          </w:tcPr>
          <w:p>
            <w:pPr>
              <w:jc w:val="right"/>
              <w:ind w:right="240"/>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EEEEEE"/>
            </w:tcBorders>
          </w:tcPr>
          <w:p>
            <w:pPr>
              <w:spacing w:after="0"/>
              <w:rPr>
                <w:sz w:val="18"/>
                <w:szCs w:val="18"/>
                <w:color w:val="auto"/>
              </w:rPr>
            </w:pPr>
          </w:p>
        </w:tc>
        <w:tc>
          <w:tcPr>
            <w:tcW w:w="1180" w:type="dxa"/>
            <w:vAlign w:val="bottom"/>
            <w:tcBorders>
              <w:top w:val="single" w:sz="8" w:color="EEEEEE"/>
            </w:tcBorders>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5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rPr>
              <w:t>Subordinated renewable notes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1,974</w:t>
            </w:r>
          </w:p>
        </w:tc>
        <w:tc>
          <w:tcPr>
            <w:tcW w:w="3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470</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5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5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(5,643</w:t>
            </w:r>
          </w:p>
        </w:tc>
        <w:tc>
          <w:tcPr>
            <w:tcW w:w="300" w:type="dxa"/>
            <w:vAlign w:val="bottom"/>
            <w:tcBorders>
              <w:bottom w:val="single" w:sz="8" w:color="EEEEEE"/>
            </w:tcBorders>
            <w:shd w:val="clear" w:color="auto" w:fill="EEEEEE"/>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(1,978</w:t>
            </w:r>
          </w:p>
        </w:tc>
        <w:tc>
          <w:tcPr>
            <w:tcW w:w="320" w:type="dxa"/>
            <w:vAlign w:val="bottom"/>
            <w:tcBorders>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reduction in the annualized yield on our finance receivables for the three months ended March 31, 2018 compared to the prior year period is the result of our decision over the last twelve months to offer dealers slightly lower acquisition fees and to require slightly lower contract interest rates on a portion of the contracts we purchase. Another reason for the decrease in the annualized yield is the lower interest yield on the receivables measured at fair value. The interest yield on receivables measured at fair value is reduced for the impact of expected losses and is therefore less than the yield on other finance receivables.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Provision for credit losses was $40.5 million for the three months ended March 31, 2018, a decrease of $6.7 million, or 14.1% compared to the prior year and represented 40.9%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 by $251,000, or 6.3%, to $4.2 million during the three months ended March 31, 2018, compared to $4.0 million in the prior year period, and represented 4.3% of total operating expenses. Our marketing staff increased to 129 as of March 31, 2018 compared to 124 at March 31, 2017. In addition, in recent months, we have gradually shifted to more field marketing representatives as compared to in-house marketing representatives. Field marketing representatives are somewhat more costly than in-house marketing representatives, but we feel will ultimately be more effective. For the three months ended March 31, 2018, we purchased 13,067 contracts representing $210.6 million in receivables compared to 14,304 contracts representing $229.6 million in receivables in the prior period.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expenses increased by $189,000 or 11.4%, to $1.9 million compared to $1.7 million in the previous year and represented 2.0% of total operating expenses. In May 2017, we entered into a lease for additional office space in Las Vegas, Nevada.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increased by $12,000 or 5.3%, to $240,000 compared to $228,000 in the previous year and represented 0.2%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For the three months ended March 31, 2018 we recorded income tax expense of $1.4 million, representing a 31.0% effective income tax rate. In the prior year period, we recorded $3.3 million in income tax expense, representing a 42.5% effective income tax rate. In December 2017, the U.S. government enacted comprehensive tax legislation commonly referred to as the Tax Cuts and Jobs Act (the “Tax Act”). The Tax Act lowered the federal corporate income tax rate from 35% to 21% beginning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March 31, 2018</w:t>
            </w:r>
          </w:p>
        </w:tc>
        <w:tc>
          <w:tcPr>
            <w:tcW w:w="320" w:type="dxa"/>
            <w:vAlign w:val="bottom"/>
          </w:tcPr>
          <w:p>
            <w:pPr>
              <w:spacing w:after="0"/>
              <w:rPr>
                <w:sz w:val="20"/>
                <w:szCs w:val="20"/>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March 31, 2017</w:t>
            </w:r>
          </w:p>
        </w:tc>
        <w:tc>
          <w:tcPr>
            <w:tcW w:w="22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Amount</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w w:val="89"/>
              </w:rPr>
              <w:t>(Dollars in thousands)</w:t>
            </w: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174,626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2,332,313</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172,105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2,323,211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2,333,524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7,684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104,314</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7,913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109,652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10,163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43,330</w:t>
            </w:r>
          </w:p>
        </w:tc>
        <w:tc>
          <w:tcPr>
            <w:tcW w:w="15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45,377</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4,741</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91+ days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18,941</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33,503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12,631</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166,585</w:t>
            </w: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14,195</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188,532</w:t>
            </w:r>
          </w:p>
        </w:tc>
        <w:tc>
          <w:tcPr>
            <w:tcW w:w="3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17,199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228,991</w:t>
            </w: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37,227</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37,650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w w:val="98"/>
              </w:rPr>
              <w:t>Total delinquencies and amount in repossession (2)</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15,513</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203,812</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226,182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19,829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262,670</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Delinquincies as a percentage of gross servicing</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portfolio</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7.1%</w:t>
            </w:r>
          </w:p>
        </w:tc>
        <w:tc>
          <w:tcPr>
            <w:tcW w:w="15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8.1%</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Total delinquencies and amount in repossession as a</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percentage of gross servicing portfolio</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8.7%</w:t>
            </w:r>
          </w:p>
        </w:tc>
        <w:tc>
          <w:tcPr>
            <w:tcW w:w="15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9.7%</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 accruing (4)</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29,683</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397,622</w:t>
            </w:r>
          </w:p>
        </w:tc>
        <w:tc>
          <w:tcPr>
            <w:tcW w:w="15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34,649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480,191</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31,708</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430,801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Contracts with two or more extensions, accruing (4)</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58,254</w:t>
            </w: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794,789</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34,812</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468,778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55,203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756,561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87,937</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1,192,411</w:t>
            </w: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69,461</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948,969</w:t>
            </w:r>
          </w:p>
        </w:tc>
        <w:tc>
          <w:tcPr>
            <w:tcW w:w="3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86,911</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1,187,362</w:t>
            </w: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one extension, non-accrual (4)</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9,958</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18,729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Contracts with two or more extensions, non-accrual</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EEEEEE"/>
          </w:tcPr>
          <w:p>
            <w:pPr>
              <w:spacing w:after="0"/>
              <w:rPr>
                <w:sz w:val="21"/>
                <w:szCs w:val="21"/>
                <w:color w:val="auto"/>
              </w:rPr>
            </w:pPr>
          </w:p>
        </w:tc>
        <w:tc>
          <w:tcPr>
            <w:tcW w:w="8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33,133</w:t>
            </w:r>
          </w:p>
        </w:tc>
        <w:tc>
          <w:tcPr>
            <w:tcW w:w="15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24,380</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2,701</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43,091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43,109</w:t>
            </w:r>
          </w:p>
        </w:tc>
        <w:tc>
          <w:tcPr>
            <w:tcW w:w="3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800" w:type="dxa"/>
            <w:vAlign w:val="bottom"/>
            <w:tcBorders>
              <w:bottom w:val="single" w:sz="8" w:color="auto"/>
            </w:tcBorders>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91,328</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1,235,502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72,951</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992,078</w:t>
            </w: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1,235,229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____________________________________</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7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7980" w:type="dxa"/>
            <w:vAlign w:val="bottom"/>
            <w:gridSpan w:val="3"/>
          </w:tcPr>
          <w:p>
            <w:pPr>
              <w:jc w:val="center"/>
              <w:ind w:left="3250"/>
              <w:spacing w:after="0"/>
              <w:rPr>
                <w:sz w:val="20"/>
                <w:szCs w:val="20"/>
                <w:color w:val="auto"/>
              </w:rPr>
            </w:pPr>
            <w:r>
              <w:rPr>
                <w:rFonts w:ascii="Arial" w:cs="Arial" w:eastAsia="Arial" w:hAnsi="Arial"/>
                <w:sz w:val="18"/>
                <w:szCs w:val="18"/>
                <w:b w:val="1"/>
                <w:bCs w:val="1"/>
                <w:color w:val="auto"/>
                <w:w w:val="92"/>
              </w:rPr>
              <w:t>Net Charge-Off Experience (1)</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jc w:val="center"/>
              <w:ind w:left="4710"/>
              <w:spacing w:after="0"/>
              <w:rPr>
                <w:sz w:val="20"/>
                <w:szCs w:val="20"/>
                <w:color w:val="auto"/>
              </w:rPr>
            </w:pPr>
            <w:r>
              <w:rPr>
                <w:rFonts w:ascii="Arial" w:cs="Arial" w:eastAsia="Arial" w:hAnsi="Arial"/>
                <w:sz w:val="18"/>
                <w:szCs w:val="18"/>
                <w:b w:val="1"/>
                <w:bCs w:val="1"/>
                <w:color w:val="auto"/>
                <w:w w:val="91"/>
              </w:rPr>
              <w:t>Total Owned Portfolio</w:t>
            </w:r>
          </w:p>
        </w:tc>
        <w:tc>
          <w:tcPr>
            <w:tcW w:w="200" w:type="dxa"/>
            <w:vAlign w:val="bottom"/>
          </w:tcPr>
          <w:p>
            <w:pPr>
              <w:spacing w:after="0"/>
              <w:rPr>
                <w:sz w:val="20"/>
                <w:szCs w:val="20"/>
                <w:color w:val="auto"/>
              </w:rPr>
            </w:pP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0"/>
                <w:szCs w:val="20"/>
                <w:color w:val="auto"/>
              </w:rPr>
            </w:pPr>
          </w:p>
        </w:tc>
        <w:tc>
          <w:tcPr>
            <w:tcW w:w="142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0"/>
                <w:szCs w:val="2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2,331,582</w:t>
            </w:r>
          </w:p>
        </w:tc>
        <w:tc>
          <w:tcPr>
            <w:tcW w:w="4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2,311,798</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2,334,008</w:t>
            </w:r>
          </w:p>
        </w:tc>
        <w:tc>
          <w:tcPr>
            <w:tcW w:w="0" w:type="dxa"/>
            <w:vAlign w:val="bottom"/>
          </w:tcPr>
          <w:p>
            <w:pPr>
              <w:spacing w:after="0"/>
              <w:rPr>
                <w:sz w:val="1"/>
                <w:szCs w:val="1"/>
                <w:color w:val="auto"/>
              </w:rPr>
            </w:pP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 average servicing portfolio (2)</w:t>
            </w:r>
          </w:p>
        </w:tc>
        <w:tc>
          <w:tcPr>
            <w:tcW w:w="20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c>
          <w:tcPr>
            <w:tcW w:w="460" w:type="dxa"/>
            <w:vAlign w:val="bottom"/>
          </w:tcPr>
          <w:p>
            <w:pPr>
              <w:spacing w:after="0"/>
              <w:rPr>
                <w:sz w:val="17"/>
                <w:szCs w:val="17"/>
                <w:color w:val="auto"/>
              </w:rPr>
            </w:pPr>
          </w:p>
        </w:tc>
        <w:tc>
          <w:tcPr>
            <w:tcW w:w="14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firstLine="8"/>
        <w:spacing w:after="0" w:line="250"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2018 and March 31, 2017 percentages represent three months ended March 31, 2018 and March 31, 2017 annualized. December 31, 2017 represents 12 months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7" w:name="page28"/>
    <w:bookmarkEnd w:id="27"/>
    <w:p>
      <w:pPr>
        <w:jc w:val="both"/>
        <w:ind w:right="20"/>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2018, for accounts that received extensions from 2008 through 2016 (2017 extension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 Active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Active or Paid</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or Paid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Charged Off</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 Charged Off &gt;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Charged Off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 Charged Off</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Avg Months</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Off 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Off at</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&gt; 6 Months</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6 Months</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&lt;= 6</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&lt;= 6 Months</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to Charge</w:t>
            </w:r>
          </w:p>
        </w:tc>
      </w:tr>
      <w:tr>
        <w:trPr>
          <w:trHeight w:val="149"/>
        </w:trPr>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2"/>
              </w:rPr>
              <w:t>Period of</w:t>
            </w: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 Extensions</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March 31,</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March 31,</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After</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After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 After</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After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Off Post</w:t>
            </w:r>
          </w:p>
        </w:tc>
      </w:tr>
      <w:tr>
        <w:trPr>
          <w:trHeight w:val="167"/>
        </w:trPr>
        <w:tc>
          <w:tcPr>
            <w:tcW w:w="1300" w:type="dxa"/>
            <w:vAlign w:val="bottom"/>
          </w:tcPr>
          <w:p>
            <w:pPr>
              <w:jc w:val="center"/>
              <w:ind w:left="8"/>
              <w:spacing w:after="0"/>
              <w:rPr>
                <w:sz w:val="20"/>
                <w:szCs w:val="20"/>
                <w:color w:val="auto"/>
              </w:rPr>
            </w:pPr>
            <w:r>
              <w:rPr>
                <w:rFonts w:ascii="Arial" w:cs="Arial" w:eastAsia="Arial" w:hAnsi="Arial"/>
                <w:sz w:val="14"/>
                <w:szCs w:val="14"/>
                <w:color w:val="auto"/>
                <w:w w:val="94"/>
              </w:rPr>
              <w:t>Extension</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Granted</w:t>
            </w: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Extension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r>
      <w:tr>
        <w:trPr>
          <w:trHeight w:val="142"/>
        </w:trPr>
        <w:tc>
          <w:tcPr>
            <w:tcW w:w="1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2008</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35,588</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10,710</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30.1%</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20,059</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56.4%</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4,819</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2009</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32,226</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10,275</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31.9%</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16,168</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50.2%</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5,783</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17</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2010</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26,167</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12,167</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46.5%</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12,001</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45.9%</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2011</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18,786</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10,979</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58.4%</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6,875</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36.6%</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932</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2012</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18,783</w:t>
            </w:r>
          </w:p>
        </w:tc>
        <w:tc>
          <w:tcPr>
            <w:tcW w:w="1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11,385</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60.6%</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6,602</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35.1%</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796</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2013</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23,398</w:t>
            </w:r>
          </w:p>
        </w:tc>
        <w:tc>
          <w:tcPr>
            <w:tcW w:w="1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11,983</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51.2%</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10,439</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44.6%</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976</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20</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2014</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25,773</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12,793</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49.6%</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12,154</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826</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2015</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53,319</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31,970</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20,267</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38.0%</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1,082</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17</w:t>
            </w:r>
          </w:p>
        </w:tc>
      </w:tr>
      <w:tr>
        <w:trPr>
          <w:trHeight w:val="149"/>
        </w:trPr>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3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2016</w:t>
            </w:r>
          </w:p>
        </w:tc>
        <w:tc>
          <w:tcPr>
            <w:tcW w:w="13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80,897</w:t>
            </w:r>
          </w:p>
        </w:tc>
        <w:tc>
          <w:tcPr>
            <w:tcW w:w="1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61,125</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75.6%</w:t>
            </w:r>
          </w:p>
        </w:tc>
        <w:tc>
          <w:tcPr>
            <w:tcW w:w="12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17,839</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22.1%</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1,933</w:t>
            </w: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2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60.6% were either paid in full or active and performing at March 31, 2018.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80" w:type="dxa"/>
            <w:vAlign w:val="bottom"/>
            <w:gridSpan w:val="5"/>
          </w:tcPr>
          <w:p>
            <w:pPr>
              <w:jc w:val="right"/>
              <w:ind w:right="340"/>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4"/>
          </w:tcPr>
          <w:p>
            <w:pPr>
              <w:ind w:left="640"/>
              <w:spacing w:after="0"/>
              <w:rPr>
                <w:sz w:val="20"/>
                <w:szCs w:val="20"/>
                <w:color w:val="auto"/>
              </w:rPr>
            </w:pPr>
            <w:r>
              <w:rPr>
                <w:rFonts w:ascii="Arial" w:cs="Arial" w:eastAsia="Arial" w:hAnsi="Arial"/>
                <w:sz w:val="18"/>
                <w:szCs w:val="18"/>
                <w:color w:val="auto"/>
                <w:w w:val="90"/>
              </w:rPr>
              <w:t>Three Months Ended March 31,</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9"/>
              </w:rPr>
              <w:t>2018</w:t>
            </w:r>
          </w:p>
        </w:tc>
        <w:tc>
          <w:tcPr>
            <w:tcW w:w="1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10,630</w:t>
            </w: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7,939</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174,247</w:t>
            </w: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170,888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6.1%</w:t>
            </w: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77"/>
        </w:trPr>
        <w:tc>
          <w:tcPr>
            <w:tcW w:w="5840" w:type="dxa"/>
            <w:vAlign w:val="bottom"/>
            <w:gridSpan w:val="2"/>
          </w:tcPr>
          <w:p>
            <w:pPr>
              <w:spacing w:after="0"/>
              <w:rPr>
                <w:sz w:val="20"/>
                <w:szCs w:val="20"/>
                <w:color w:val="auto"/>
              </w:rPr>
            </w:pPr>
            <w:r>
              <w:rPr>
                <w:rFonts w:ascii="Arial" w:cs="Arial" w:eastAsia="Arial" w:hAnsi="Arial"/>
                <w:sz w:val="18"/>
                <w:szCs w:val="18"/>
                <w:color w:val="auto"/>
              </w:rPr>
              <w:t>_____________________</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20"/>
              <w:spacing w:after="0"/>
              <w:rPr>
                <w:sz w:val="20"/>
                <w:szCs w:val="20"/>
                <w:color w:val="auto"/>
              </w:rPr>
            </w:pPr>
            <w:r>
              <w:rPr>
                <w:rFonts w:ascii="Arial" w:cs="Arial" w:eastAsia="Arial" w:hAnsi="Arial"/>
                <w:sz w:val="18"/>
                <w:szCs w:val="18"/>
                <w:color w:val="auto"/>
              </w:rPr>
              <w:t>March 31, 2018</w:t>
            </w:r>
          </w:p>
        </w:tc>
        <w:tc>
          <w:tcPr>
            <w:tcW w:w="2940" w:type="dxa"/>
            <w:vAlign w:val="bottom"/>
            <w:gridSpan w:val="5"/>
          </w:tcPr>
          <w:p>
            <w:pPr>
              <w:ind w:left="740"/>
              <w:spacing w:after="0"/>
              <w:rPr>
                <w:sz w:val="20"/>
                <w:szCs w:val="20"/>
                <w:color w:val="auto"/>
              </w:rPr>
            </w:pPr>
            <w:r>
              <w:rPr>
                <w:rFonts w:ascii="Arial" w:cs="Arial" w:eastAsia="Arial" w:hAnsi="Arial"/>
                <w:sz w:val="18"/>
                <w:szCs w:val="18"/>
                <w:color w:val="auto"/>
              </w:rPr>
              <w:t>March 31, 2017</w:t>
            </w:r>
          </w:p>
        </w:tc>
        <w:tc>
          <w:tcPr>
            <w:tcW w:w="2700" w:type="dxa"/>
            <w:vAlign w:val="bottom"/>
            <w:gridSpan w:val="6"/>
          </w:tcPr>
          <w:p>
            <w:pPr>
              <w:ind w:left="580"/>
              <w:spacing w:after="0"/>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30,516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407,580</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36,169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498,920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32,740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22,794</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310,711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19,386</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264,968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24,375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17,058</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235,319</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132,569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16,378</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11,282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155,514</w:t>
            </w:r>
          </w:p>
        </w:tc>
        <w:tc>
          <w:tcPr>
            <w:tcW w:w="1160" w:type="dxa"/>
            <w:vAlign w:val="bottom"/>
          </w:tcPr>
          <w:p>
            <w:pPr>
              <w:jc w:val="right"/>
              <w:spacing w:after="0"/>
              <w:rPr>
                <w:sz w:val="20"/>
                <w:szCs w:val="20"/>
                <w:color w:val="auto"/>
              </w:rPr>
            </w:pPr>
            <w:r>
              <w:rPr>
                <w:rFonts w:ascii="Arial" w:cs="Arial" w:eastAsia="Arial" w:hAnsi="Arial"/>
                <w:sz w:val="18"/>
                <w:szCs w:val="18"/>
                <w:color w:val="auto"/>
              </w:rPr>
              <w:t>4,917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64,452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9,506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6,332</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84,695</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1,946</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24,120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5,096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3,346</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41,682</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7,049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91,328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1,235,501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72,951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992,078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90,644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1,235,230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174,626</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2,332,313</w:t>
            </w: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172,105</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2,323,211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173,998</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______________________</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provided by operating activities for the three-month period ended March 31, 2018 was $63.2 million, an increase of $1.0 million, compared to net cash provided by operating activities for the three-month period ended March 31, 2017 of $62.2 million. Cash provided by operating activities is significantly affected by our net income before provisions for credit losses. For the three months ended March 31, 2018, our net income excluding provisions for credit losses was $43.7 million, or $8.0 million less than our net income excluding provisions for credit losses for the three months ended March 31, 2017.</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three-month period ended March 31, 2018 was $67.2 million compared to net cash used in investing activities of $77.9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were $210.6 million and $229.6 million during the first three months of 2018 and 2017,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for the three months ended March 31, 2018 was $2.8 million compared to net cash provided by financing activities of $13.8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2018, we issued $190.0 million in new securitization trust debt compared to $206.3 million in the same period of 2017. In addition, we repaid $193.6 million in securitization trust debt in the three months ended March 31, 2018 compared to repayments of securitization trust debt of $205.3 million in the prior year period. In the three months ended March 31, 2018, we had net advances on warehouse lines of credit of $8.9 million, compared to net advances of $16.5 million in the prior year’s period.</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March 31, 2018, we had unrestricted cash of $11.6 million and $178.3 million aggregate available borrowings under our three warehouse credit facilities (assuming the availability of sufficient eligible collateral). As of March 31, 2018, we had approximately $16.6 million of such eligible collateral. During the three-month period ended March 31, 2018, we completed one securitization aggregating $190.0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2018, we were in compliance with all such financial covenants.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and will continue to have a substantial amount of indebtedness. At March 31, 2018, we had approximately $2,218.1 million of debt outstanding. Such debt consisted primarily of $2,080.1 million of securitization trust debt and $121.7 million of warehouse lines of credit. Our securitization trust debt has decreased by $2.0 million while our warehouse lines of credit have increased by $1.4 million since March 31, 2017 (each net of deferred financing costs). Since 2005, we have offered renewable subordinated notes to the public on a continuous basis, and such notes have maturities that range from nine months to 10 years. We had $16.3 million and $15.3 million in subordinated renewable notes outstanding at March 31, 2018 and 2017, respectively.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7, 2018.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and will continue to have a substantial amount of indebtedness. At March 31, 2018, we had approximately $2,218.1 million of debt outstanding. Such debt consisted primarily of $2,080.1 million of securitization trust debt and $121.7 million of warehouse lines of credit. Our securitization trust debt has decreased by $2.0 million while our warehouse lines of credit have increased by $1.4 million since March 31, 2017 (each net of deferred financing costs). Since 2005, we have offered renewable subordinated notes to the public on a continuous basis, and such notes have maturities that range from six months to 10 years. We had $16.3 million and $15.3 million in subordinated renewable notes outstanding at March 31, 2018 and 2017, respectively. Our substantial indebtedness could adversely affect our financial condition by, among other things:</w:t>
      </w:r>
    </w:p>
    <w:p>
      <w:pPr>
        <w:spacing w:after="0" w:line="17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we repurchased 321,181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32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Purchased as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Average</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Price Paid</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gridSpan w:val="2"/>
          </w:tcPr>
          <w:p>
            <w:pPr>
              <w:ind w:left="1200"/>
              <w:spacing w:after="0"/>
              <w:rPr>
                <w:sz w:val="20"/>
                <w:szCs w:val="20"/>
                <w:color w:val="auto"/>
              </w:rPr>
            </w:pPr>
            <w:r>
              <w:rPr>
                <w:rFonts w:ascii="Arial" w:cs="Arial" w:eastAsia="Arial" w:hAnsi="Arial"/>
                <w:sz w:val="18"/>
                <w:szCs w:val="18"/>
                <w:b w:val="1"/>
                <w:bCs w:val="1"/>
                <w:color w:val="auto"/>
              </w:rPr>
              <w:t>Period (1)</w:t>
            </w: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260" w:type="dxa"/>
            <w:vAlign w:val="bottom"/>
          </w:tcPr>
          <w:p>
            <w:pPr>
              <w:spacing w:after="0"/>
              <w:rPr>
                <w:sz w:val="20"/>
                <w:szCs w:val="20"/>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2018</w:t>
            </w:r>
          </w:p>
        </w:tc>
        <w:tc>
          <w:tcPr>
            <w:tcW w:w="20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12,630,508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138,030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4.07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138,030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12,069,162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2018</w:t>
            </w:r>
          </w:p>
        </w:tc>
        <w:tc>
          <w:tcPr>
            <w:tcW w:w="20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183,151</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3.88</w:t>
            </w:r>
          </w:p>
        </w:tc>
        <w:tc>
          <w:tcPr>
            <w:tcW w:w="1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183,151</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11,358,286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321,181</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340" w:hanging="332"/>
        <w:spacing w:after="0" w:line="255"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2018, our board of directors had authorized the purchase of up to $74.5 million of our outstanding securities, under a program first announced in our annual report for the year 2002, filed on March 26, 2003. All purchases described in the table above were under the program announced in March 2003, which has no fixed expiration date.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4.14</w:t>
            </w: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13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1380" w:type="dxa"/>
            <w:vAlign w:val="bottom"/>
          </w:tcPr>
          <w:p>
            <w:pPr>
              <w:jc w:val="right"/>
              <w:ind w:right="970"/>
              <w:spacing w:after="0" w:line="190" w:lineRule="exact"/>
              <w:rPr>
                <w:sz w:val="20"/>
                <w:szCs w:val="20"/>
                <w:color w:val="auto"/>
              </w:rPr>
            </w:pPr>
            <w:r>
              <w:rPr>
                <w:rFonts w:ascii="Arial" w:cs="Arial" w:eastAsia="Arial" w:hAnsi="Arial"/>
                <w:sz w:val="18"/>
                <w:szCs w:val="18"/>
                <w:color w:val="auto"/>
                <w:w w:val="85"/>
              </w:rPr>
              <w:t>31.1</w:t>
            </w:r>
          </w:p>
        </w:tc>
        <w:tc>
          <w:tcPr>
            <w:tcW w:w="10040" w:type="dxa"/>
            <w:vAlign w:val="bottom"/>
            <w:gridSpan w:val="3"/>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Rule 13a-14(a) Certification of the Chief Executive Officer of the registrant.</w:t>
              </w:r>
            </w:hyperlink>
          </w:p>
        </w:tc>
      </w:tr>
      <w:tr>
        <w:trPr>
          <w:trHeight w:val="196"/>
        </w:trPr>
        <w:tc>
          <w:tcPr>
            <w:tcW w:w="1380" w:type="dxa"/>
            <w:vAlign w:val="bottom"/>
          </w:tcPr>
          <w:p>
            <w:pPr>
              <w:jc w:val="right"/>
              <w:ind w:right="970"/>
              <w:spacing w:after="0" w:line="196" w:lineRule="exact"/>
              <w:rPr>
                <w:sz w:val="20"/>
                <w:szCs w:val="20"/>
                <w:color w:val="auto"/>
              </w:rPr>
            </w:pPr>
            <w:r>
              <w:rPr>
                <w:rFonts w:ascii="Arial" w:cs="Arial" w:eastAsia="Arial" w:hAnsi="Arial"/>
                <w:sz w:val="18"/>
                <w:szCs w:val="18"/>
                <w:color w:val="auto"/>
                <w:w w:val="85"/>
              </w:rPr>
              <w:t>31.2</w:t>
            </w:r>
          </w:p>
        </w:tc>
        <w:tc>
          <w:tcPr>
            <w:tcW w:w="5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13" w:lineRule="exact"/>
        <w:rPr>
          <w:sz w:val="20"/>
          <w:szCs w:val="20"/>
          <w:color w:val="auto"/>
        </w:rPr>
      </w:pPr>
    </w:p>
    <w:p>
      <w:pPr>
        <w:ind w:left="1380" w:hanging="1372"/>
        <w:spacing w:after="0"/>
        <w:tabs>
          <w:tab w:leader="none" w:pos="1380" w:val="left"/>
        </w:tabs>
        <w:numPr>
          <w:ilvl w:val="0"/>
          <w:numId w:val="18"/>
        </w:numPr>
        <w:rPr>
          <w:rFonts w:ascii="Arial" w:cs="Arial" w:eastAsia="Arial" w:hAnsi="Arial"/>
          <w:sz w:val="18"/>
          <w:szCs w:val="18"/>
          <w:color w:val="0000EE"/>
        </w:rPr>
      </w:pPr>
      <w:hyperlink w:anchor="page37">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jc w:val="both"/>
        <w:ind w:firstLine="312"/>
        <w:spacing w:after="0" w:line="312" w:lineRule="auto"/>
        <w:rPr>
          <w:rFonts w:ascii="Arial" w:cs="Arial" w:eastAsia="Arial" w:hAnsi="Arial"/>
          <w:sz w:val="18"/>
          <w:szCs w:val="18"/>
          <w:color w:val="0000EE"/>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30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0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74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2018,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225" w:lineRule="exact"/>
        <w:rPr>
          <w:sz w:val="20"/>
          <w:szCs w:val="20"/>
          <w:color w:val="auto"/>
        </w:rPr>
      </w:pPr>
    </w:p>
    <w:p>
      <w:pPr>
        <w:ind w:left="1020" w:hanging="29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0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606"/>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2"/>
    </w:lvl>
    <w:lvl w:ilvl="1">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2019-12-28T22:20:45Z</dcterms:created>
  <dcterms:modified xsi:type="dcterms:W3CDTF">2019-12-28T22:20:45Z</dcterms:modified>
</cp:coreProperties>
</file>