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00" w:right="1940" w:hanging="3892"/>
        <w:spacing w:after="0" w:line="501" w:lineRule="auto"/>
        <w:tabs>
          <w:tab w:leader="none" w:pos="33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2013</w:t>
      </w: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1"/>
              </w:rPr>
              <w:t>19500 Jamboree Road, Irvine, California</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92612</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Securities Exchange Act of 1934 during</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the preceding 12 months (or for such shorter period that the registrant was required to file such reports) and (2) has been subject to such filing requirements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for the past 90 days.</w:t>
      </w:r>
    </w:p>
    <w:p>
      <w:pPr>
        <w:spacing w:after="0" w:line="9"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Yes T</w:t>
      </w:r>
      <w:r>
        <w:rPr>
          <w:sz w:val="20"/>
          <w:szCs w:val="20"/>
          <w:color w:val="auto"/>
        </w:rPr>
        <w:tab/>
      </w:r>
      <w:r>
        <w:rPr>
          <w:rFonts w:ascii="Arial" w:cs="Arial" w:eastAsia="Arial" w:hAnsi="Arial"/>
          <w:sz w:val="17"/>
          <w:szCs w:val="17"/>
          <w:color w:val="auto"/>
        </w:rPr>
        <w:t>No £</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(§232.405 of this chapter) during the preceding 12 months (or for such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Yes T</w:t>
      </w:r>
      <w:r>
        <w:rPr>
          <w:sz w:val="20"/>
          <w:szCs w:val="20"/>
          <w:color w:val="auto"/>
        </w:rPr>
        <w:tab/>
      </w:r>
      <w:r>
        <w:rPr>
          <w:rFonts w:ascii="Arial" w:cs="Arial" w:eastAsia="Arial" w:hAnsi="Arial"/>
          <w:sz w:val="17"/>
          <w:szCs w:val="17"/>
          <w:color w:val="auto"/>
        </w:rPr>
        <w:t>No £</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70" w:lineRule="exact"/>
        <w:rPr>
          <w:sz w:val="24"/>
          <w:szCs w:val="24"/>
          <w:color w:val="auto"/>
        </w:rPr>
      </w:pPr>
    </w:p>
    <w:p>
      <w:pPr>
        <w:jc w:val="center"/>
        <w:spacing w:after="0"/>
        <w:tabs>
          <w:tab w:leader="none" w:pos="140" w:val="left"/>
        </w:tabs>
        <w:rPr>
          <w:sz w:val="20"/>
          <w:szCs w:val="20"/>
          <w:color w:val="auto"/>
        </w:rPr>
      </w:pPr>
      <w:r>
        <w:rPr>
          <w:rFonts w:ascii="Arial" w:cs="Arial" w:eastAsia="Arial" w:hAnsi="Arial"/>
          <w:sz w:val="18"/>
          <w:szCs w:val="18"/>
          <w:color w:val="auto"/>
        </w:rPr>
        <w:t>Large Accelerated Filer £</w:t>
      </w:r>
      <w:r>
        <w:rPr>
          <w:sz w:val="20"/>
          <w:szCs w:val="20"/>
          <w:color w:val="auto"/>
        </w:rPr>
        <w:tab/>
      </w:r>
      <w:r>
        <w:rPr>
          <w:rFonts w:ascii="Arial" w:cs="Arial" w:eastAsia="Arial" w:hAnsi="Arial"/>
          <w:sz w:val="16"/>
          <w:szCs w:val="16"/>
          <w:color w:val="auto"/>
        </w:rPr>
        <w:t>Accelerated Filer £</w:t>
      </w:r>
    </w:p>
    <w:p>
      <w:pPr>
        <w:spacing w:after="0" w:line="23"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Non-Accelerated Filer £</w:t>
      </w:r>
      <w:r>
        <w:rPr>
          <w:sz w:val="20"/>
          <w:szCs w:val="20"/>
          <w:color w:val="auto"/>
        </w:rPr>
        <w:tab/>
      </w:r>
      <w:r>
        <w:rPr>
          <w:rFonts w:ascii="Arial" w:cs="Arial" w:eastAsia="Arial" w:hAnsi="Arial"/>
          <w:sz w:val="16"/>
          <w:szCs w:val="16"/>
          <w:color w:val="auto"/>
        </w:rPr>
        <w:t>Smaller Reporting Company 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7"/>
          <w:szCs w:val="17"/>
          <w:color w:val="auto"/>
        </w:rPr>
        <w:t>NoT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As of April 24, 2013 the registrant had 20,277,300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rPr>
              <w:t>PART I. FINANCIAL INFORMATION</w:t>
            </w:r>
          </w:p>
        </w:tc>
        <w:tc>
          <w:tcPr>
            <w:tcW w:w="48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40" w:type="dxa"/>
            <w:vAlign w:val="bottom"/>
            <w:vMerge w:val="continue"/>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Financial Statements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Unaudited Condensed Consolidated Balance Sheets as of March 31, 2013 and December 31, 2012</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Unaudited Condensed Consolidated Statements of Operations for the three-month periods ended March 31, 2013 and 2012</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w w:val="93"/>
              </w:rPr>
              <w:t>Unaudited Condensed Consolidated Statements of Comprehensive Income for the three-month periods ended March 31, 2013 and 2012</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Unaudited Condensed Consolidated Statements of Cash Flows for the three-month periods ended March 31, 2013 and 2012</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Notes to Unaudited Condensed Consolidated Financial Statements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Controls and Procedures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40" w:type="dxa"/>
            <w:vAlign w:val="bottom"/>
          </w:tcPr>
          <w:p>
            <w:pPr>
              <w:jc w:val="center"/>
              <w:ind w:right="110"/>
              <w:spacing w:after="0"/>
              <w:rPr>
                <w:sz w:val="20"/>
                <w:szCs w:val="20"/>
                <w:color w:val="auto"/>
              </w:rPr>
            </w:pPr>
            <w:r>
              <w:rPr>
                <w:rFonts w:ascii="Arial" w:cs="Arial" w:eastAsia="Arial" w:hAnsi="Arial"/>
                <w:sz w:val="18"/>
                <w:szCs w:val="18"/>
                <w:b w:val="1"/>
                <w:bCs w:val="1"/>
                <w:color w:val="auto"/>
              </w:rPr>
              <w:t>PART II. OTHER INFORMATION</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Legal Proceedings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EEEEEE"/>
          </w:tcPr>
          <w:p>
            <w:pPr>
              <w:spacing w:after="0"/>
              <w:rPr>
                <w:sz w:val="20"/>
                <w:szCs w:val="20"/>
                <w:color w:val="auto"/>
              </w:rPr>
            </w:pPr>
            <w:r>
              <w:rPr>
                <w:rFonts w:ascii="Arial" w:cs="Arial" w:eastAsia="Arial" w:hAnsi="Arial"/>
                <w:sz w:val="18"/>
                <w:szCs w:val="18"/>
                <w:color w:val="auto"/>
                <w:w w:val="98"/>
              </w:rPr>
              <w:t>Item 1A.</w:t>
            </w: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Risk Factors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Unregistered Sales of Equity Securities and Use of Proceeds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Exhibits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240" w:type="dxa"/>
            <w:vAlign w:val="bottom"/>
            <w:shd w:val="clear" w:color="auto" w:fill="EEEEEE"/>
          </w:tcPr>
          <w:p>
            <w:pPr>
              <w:ind w:left="60"/>
              <w:spacing w:after="0"/>
              <w:rPr>
                <w:sz w:val="20"/>
                <w:szCs w:val="20"/>
                <w:color w:val="auto"/>
              </w:rPr>
            </w:pPr>
            <w:r>
              <w:rPr>
                <w:rFonts w:ascii="Arial" w:cs="Arial" w:eastAsia="Arial" w:hAnsi="Arial"/>
                <w:sz w:val="18"/>
                <w:szCs w:val="18"/>
                <w:color w:val="auto"/>
              </w:rPr>
              <w:t>Signatures</w:t>
            </w:r>
          </w:p>
        </w:tc>
        <w:tc>
          <w:tcPr>
            <w:tcW w:w="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2</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13,866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139,393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857,430</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764,343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(24,881)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(19,594)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832,549</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744,749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43,021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in securitizations</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3,505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9,784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75,640</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10,602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16,373</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15,051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1,145,316</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1,037,620</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21,472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26,676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13,773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40,387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901,679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792,497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50,789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23,558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1,078,334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976,309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20,264,800 and 19,838,913 shares issued</w:t>
            </w: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outstanding at March 31, 2013 and December 31, 2012, respectively</w:t>
            </w:r>
          </w:p>
        </w:tc>
        <w:tc>
          <w:tcPr>
            <w:tcW w:w="240" w:type="dxa"/>
            <w:vAlign w:val="bottom"/>
            <w:shd w:val="clear" w:color="auto" w:fill="EEEEEE"/>
          </w:tcPr>
          <w:p>
            <w:pPr>
              <w:spacing w:after="0"/>
              <w:rPr>
                <w:sz w:val="20"/>
                <w:szCs w:val="20"/>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67,564</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5,055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(5,637)</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66,982</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61,311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1,145,316</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1,037,620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gridSpan w:val="6"/>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51,168</w:t>
            </w:r>
          </w:p>
        </w:tc>
        <w:tc>
          <w:tcPr>
            <w:tcW w:w="5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909</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2,517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54,594</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44,518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Employee costs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8,949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3,755</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16,346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15,147</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3,182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544</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48,066</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44,006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2,743</w:t>
            </w:r>
          </w:p>
        </w:tc>
        <w:tc>
          <w:tcPr>
            <w:tcW w:w="1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3,785</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0.19</w:t>
            </w:r>
          </w:p>
        </w:tc>
        <w:tc>
          <w:tcPr>
            <w:tcW w:w="58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shares used in computing income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20,073</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31,624</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22,601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10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EEEEEE"/>
          </w:tcPr>
          <w:p>
            <w:pPr>
              <w:jc w:val="right"/>
              <w:ind w:right="91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3,785</w:t>
            </w:r>
          </w:p>
        </w:tc>
        <w:tc>
          <w:tcPr>
            <w:tcW w:w="1140" w:type="dxa"/>
            <w:vAlign w:val="bottom"/>
            <w:gridSpan w:val="2"/>
            <w:shd w:val="clear" w:color="auto" w:fill="EEEEEE"/>
          </w:tcPr>
          <w:p>
            <w:pPr>
              <w:jc w:val="right"/>
              <w:ind w:right="101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income/(loss); change in funded status of pension plan</w:t>
            </w:r>
          </w:p>
        </w:tc>
        <w:tc>
          <w:tcPr>
            <w:tcW w:w="108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1120" w:type="dxa"/>
            <w:vAlign w:val="bottom"/>
            <w:shd w:val="clear" w:color="auto" w:fill="EEEEEE"/>
          </w:tcPr>
          <w:p>
            <w:pPr>
              <w:spacing w:after="0"/>
              <w:rPr>
                <w:sz w:val="19"/>
                <w:szCs w:val="19"/>
                <w:color w:val="auto"/>
              </w:rPr>
            </w:pPr>
          </w:p>
        </w:tc>
        <w:tc>
          <w:tcPr>
            <w:tcW w:w="5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3,785</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(5,021)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(886)</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discount on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1,104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Mark to fair value on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Mark to fair value of receivables measured at fair value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15,147</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4,269</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21,045</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(180,123)</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(119,902)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82,197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on receivables portfolio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17,520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received on residual interest in securitizations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(1,318)</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Decreases (increases) in restricted cash and cash equivalents, net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(34,948)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(115,353</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185,000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Net proceeds from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4,945</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(repayments of) residual interest financing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(76,138)</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Repayment of portfolio acquisition facility</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(17,930)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 of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 of financing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(1,574)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95,208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(31,884</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12,966</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10,094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13,866</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10,614</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paid (received) during the period for:</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16,064</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990</w:t>
            </w:r>
          </w:p>
        </w:tc>
        <w:tc>
          <w:tcPr>
            <w:tcW w:w="56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Non-cash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Derivative warrants reclassified from accounts payable to common stock</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583</w:t>
            </w:r>
          </w:p>
        </w:tc>
        <w:tc>
          <w:tcPr>
            <w:tcW w:w="56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883"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low incomes or past credit problems (“sub-prime customers”). We serve as an alternative source of financing for dealers, allowing sales to customers who otherwise might not be able to obtain financing. In addition to purchasing installment purchase contracts directly from dealers, we have also</w:t>
      </w:r>
    </w:p>
    <w:p>
      <w:pPr>
        <w:spacing w:after="0" w:line="2" w:lineRule="exact"/>
        <w:rPr>
          <w:sz w:val="20"/>
          <w:szCs w:val="20"/>
          <w:color w:val="auto"/>
        </w:rPr>
      </w:pPr>
    </w:p>
    <w:p>
      <w:pPr>
        <w:jc w:val="both"/>
        <w:ind w:firstLine="8"/>
        <w:spacing w:after="0" w:line="255" w:lineRule="auto"/>
        <w:tabs>
          <w:tab w:leader="none" w:pos="228"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(ii) purchased immaterial amounts of vehicle purchase money loans from non-affiliated lenders, and (iii) lent money directly to consumers for an immaterial amount of vehicle purchase money loans. In this report, we refer to all of such contracts and loans as "automobile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8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In addition, certain items in prior period financial statements may have been reclassified for comparability to current period presentation. Results for the three-month period ended March 31, 2013 are not necessarily indicative of the operating results to be expected for the full year.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Specifically, a number of estimates were made in connection with determining an appropriate allowance for finance credit losses, valuing finance receivables measured at fair value and the related debt, valuing residual interest in securitizations, accreting net acquisition fees, amortizing deferred costs, valuing warrants issued, and recording deferred tax assets and reserves for uncertain tax positions. These are material estimates that could be susceptible to changes in the near term and, accordingly, actual results could differ from those estimates.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primary components of Other Income for the three-month periods ending March 31, 2013 and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3020" w:type="dxa"/>
            <w:vAlign w:val="bottom"/>
            <w:gridSpan w:val="5"/>
          </w:tcPr>
          <w:p>
            <w:pPr>
              <w:jc w:val="center"/>
              <w:ind w:left="417"/>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77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490"/>
              <w:spacing w:after="0"/>
              <w:rPr>
                <w:sz w:val="20"/>
                <w:szCs w:val="20"/>
                <w:color w:val="auto"/>
              </w:rPr>
            </w:pPr>
            <w:r>
              <w:rPr>
                <w:rFonts w:ascii="Arial" w:cs="Arial" w:eastAsia="Arial" w:hAnsi="Arial"/>
                <w:sz w:val="18"/>
                <w:szCs w:val="18"/>
                <w:b w:val="1"/>
                <w:bCs w:val="1"/>
                <w:color w:val="auto"/>
                <w:w w:val="96"/>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80" w:type="dxa"/>
            <w:vAlign w:val="bottom"/>
            <w:gridSpan w:val="4"/>
          </w:tcPr>
          <w:p>
            <w:pPr>
              <w:jc w:val="center"/>
              <w:ind w:right="490"/>
              <w:spacing w:after="0"/>
              <w:rPr>
                <w:sz w:val="20"/>
                <w:szCs w:val="20"/>
                <w:color w:val="auto"/>
              </w:rPr>
            </w:pPr>
            <w:r>
              <w:rPr>
                <w:rFonts w:ascii="Arial" w:cs="Arial" w:eastAsia="Arial" w:hAnsi="Arial"/>
                <w:sz w:val="18"/>
                <w:szCs w:val="18"/>
                <w:b w:val="1"/>
                <w:bCs w:val="1"/>
                <w:color w:val="auto"/>
                <w:w w:val="90"/>
              </w:rPr>
              <w:t>(In thousands)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040" w:type="dxa"/>
            <w:vAlign w:val="bottom"/>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8"/>
              </w:rPr>
              <w:t>$1,764</w:t>
            </w:r>
          </w:p>
        </w:tc>
        <w:tc>
          <w:tcPr>
            <w:tcW w:w="1060" w:type="dxa"/>
            <w:vAlign w:val="bottom"/>
            <w:gridSpan w:val="2"/>
            <w:shd w:val="clear" w:color="auto" w:fill="EEEEEE"/>
          </w:tcPr>
          <w:p>
            <w:pPr>
              <w:jc w:val="right"/>
              <w:ind w:right="93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10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Sales tax refunds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(68)</w:t>
            </w:r>
          </w:p>
        </w:tc>
        <w:tc>
          <w:tcPr>
            <w:tcW w:w="2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486</w:t>
            </w:r>
          </w:p>
        </w:tc>
        <w:tc>
          <w:tcPr>
            <w:tcW w:w="80" w:type="dxa"/>
            <w:vAlign w:val="bottom"/>
            <w:shd w:val="clear" w:color="auto" w:fill="EEEEEE"/>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104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$2,517</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March 31, 2013 and 2012, we recorded stock-based compensation costs in the amount of $676,000 and $293,000, respectively. As of March 31, 2013, unrecognized stock-based compensation costs to be recognized over future periods equaled $7.8 million. This amount will be recognized as expense over a weighted-average period of 3.3 years.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stock option activity for the three months ended March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 Shares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1"/>
              </w:rPr>
              <w:t>Weighted Average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Exercise Price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8,652</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1.58</w:t>
            </w:r>
          </w:p>
        </w:tc>
        <w:tc>
          <w:tcPr>
            <w:tcW w:w="36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360"/>
              <w:spacing w:after="0"/>
              <w:rPr>
                <w:sz w:val="20"/>
                <w:szCs w:val="20"/>
                <w:color w:val="auto"/>
              </w:rPr>
            </w:pPr>
            <w:r>
              <w:rPr>
                <w:rFonts w:ascii="Arial" w:cs="Arial" w:eastAsia="Arial" w:hAnsi="Arial"/>
                <w:sz w:val="18"/>
                <w:szCs w:val="18"/>
                <w:color w:val="auto"/>
              </w:rPr>
              <w:t>6.86</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1.76</w:t>
            </w: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9,761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2.37</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80" w:type="dxa"/>
            <w:vAlign w:val="bottom"/>
            <w:tcBorders>
              <w:top w:val="single" w:sz="8" w:color="auto"/>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6.56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5,449</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1.69</w:t>
            </w: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4.81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EEEEEE"/>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March 31, 2013, the aggregate intrinsic value of options outstanding and exercisable was $91.2 million and $54.6 million, respectively. There were 356,000 options exercised for the three months ended March 31, 2013 compared to 15,000 for the comparable period in 2012. There were 459,000 shares available for future stock option grants under existing plans as of March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three-month period ended March 31, 2013 and 2012, we purchased 15,213 and 227,298 shares, respectively, of our common stock, at average prices of $7.88 and $1.15,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do not use derivative financial instruments to hedge exposures to cash flow or market risks. However, from 2008 to 2010, we issued warrants to purchase the Company’s common stock in conjunction with various debt financing transactions. At the time of issuance, five of these warrants issued contained "down round," or price reset, features that are subject to classification as liabilities for financial statement purposes. These liabilities are measured at fair value, with the changes in fair value at the end of each period reflected as current period income or loss. Accordingly, changes to the market price per share of our common stock underlying these warrants with "down round," or price reset, features directly affect the fair value computations for these derivative financial instruments. The effect is that any increase in the market price per share of our common stock would also increase the related liability, which in turn would result in a current period loss. Conversely, any decrease in the market price per share of our common stock would also decrease the related liability, which in turn would result in a current period gain. We use a binomial pricing model to compute the fair value of the liabilities associated with the outstanding warrants. In computing the fair value of the warrant liabilities at the end of each period, we use significant judgments with respect to the risk free interest rate, the volatility of our stock price, and the estimated life of the warrants. The effects of these judgments, if proven incorrect, could have a significant effect on our financial statements. The warrant liabilities are included in Accounts payable and accrued expenses on our consolidated balance sheets. On March 29, 2012 we agreed with the holders to amend three of the five warrants that contained the “down round” features, removing those specific price reset terms. On the date of the amendment, we valued each of the three warrants using a binomial pricing model as described above. The aggregate value of the three amended warrants of $1.1 million was then reclassified from Accounts payable to Common Stock. On June 25, 2012 we agreed with the holder to amended one other warrant that contained the “down round” features, removing those specific price reset terms. The $250,000 aggregate value of this amended warrant was reclassified from Accounts payable to Common stock on the date of the amendment. The fifth warrant with the “down round” feature was exercised on February 22, 2013. The $583,000 intrinsic value of this warrant was reclassified from Accounts payable to Common stock on the date of the exercise. As of March 31, 2013 all five of the warrants issued that previously contained price reset features have either been amended or exercised and are no longer subject to quarterly valuations.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2013, we were in compliance with all such covenants. In addition, certain securitization and non-securitization related debt agreements contain cross-default provisions that would allow certain creditors to declare a default if a default occurred under a different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and Related Debt Measured at Fair Value</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September 2011 we purchased approximately $217.8 million of finance receivables from Fireside Bank. These receivables and the related acquisition debt are recorded on our balance sheet at fair value. There are no level 1 or level 2 inputs (as described by ASC 820) available to us for measurement of such receivables, or for the related debt. Our level 3, unobservable inputs reflect our own assumptions about the factors that market participants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18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jc w:val="right"/>
              <w:ind w:right="570"/>
              <w:spacing w:after="0"/>
              <w:rPr>
                <w:sz w:val="20"/>
                <w:szCs w:val="20"/>
                <w:color w:val="auto"/>
              </w:rPr>
            </w:pPr>
            <w:r>
              <w:rPr>
                <w:rFonts w:ascii="Arial" w:cs="Arial" w:eastAsia="Arial" w:hAnsi="Arial"/>
                <w:sz w:val="18"/>
                <w:szCs w:val="18"/>
                <w:color w:val="auto"/>
                <w:w w:val="94"/>
              </w:rPr>
              <w:t>The following table presents the components of Finance Receivables, net of unearned interest:</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780" w:type="dxa"/>
            <w:vAlign w:val="bottom"/>
          </w:tcPr>
          <w:p>
            <w:pPr>
              <w:spacing w:after="0"/>
              <w:rPr>
                <w:sz w:val="24"/>
                <w:szCs w:val="24"/>
                <w:color w:val="auto"/>
              </w:rPr>
            </w:pPr>
          </w:p>
        </w:tc>
        <w:tc>
          <w:tcPr>
            <w:tcW w:w="18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780" w:type="dxa"/>
            <w:vAlign w:val="bottom"/>
            <w:vMerge w:val="restart"/>
          </w:tcPr>
          <w:p>
            <w:pPr>
              <w:jc w:val="right"/>
              <w:ind w:right="6190"/>
              <w:spacing w:after="0"/>
              <w:rPr>
                <w:sz w:val="20"/>
                <w:szCs w:val="20"/>
                <w:color w:val="auto"/>
              </w:rPr>
            </w:pPr>
            <w:r>
              <w:rPr>
                <w:rFonts w:ascii="Arial" w:cs="Arial" w:eastAsia="Arial" w:hAnsi="Arial"/>
                <w:sz w:val="18"/>
                <w:szCs w:val="18"/>
                <w:color w:val="auto"/>
                <w:w w:val="88"/>
              </w:rPr>
              <w:t>Finance Receivables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54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jc w:val="right"/>
              <w:ind w:right="3610"/>
              <w:spacing w:after="0"/>
              <w:rPr>
                <w:sz w:val="20"/>
                <w:szCs w:val="20"/>
                <w:color w:val="auto"/>
              </w:rPr>
            </w:pPr>
            <w:r>
              <w:rPr>
                <w:rFonts w:ascii="Arial" w:cs="Arial" w:eastAsia="Arial" w:hAnsi="Arial"/>
                <w:sz w:val="18"/>
                <w:szCs w:val="18"/>
                <w:color w:val="auto"/>
                <w:w w:val="90"/>
              </w:rPr>
              <w:t>Automobile finance receivables, net of unearned interest</w:t>
            </w:r>
          </w:p>
        </w:tc>
        <w:tc>
          <w:tcPr>
            <w:tcW w:w="1000" w:type="dxa"/>
            <w:vAlign w:val="bottom"/>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9"/>
              </w:rPr>
              <w:t>890,123</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795,786</w:t>
            </w:r>
          </w:p>
        </w:tc>
        <w:tc>
          <w:tcPr>
            <w:tcW w:w="0" w:type="dxa"/>
            <w:vAlign w:val="bottom"/>
          </w:tcPr>
          <w:p>
            <w:pPr>
              <w:spacing w:after="0"/>
              <w:rPr>
                <w:sz w:val="1"/>
                <w:szCs w:val="1"/>
                <w:color w:val="auto"/>
              </w:rPr>
            </w:pPr>
          </w:p>
        </w:tc>
      </w:tr>
      <w:tr>
        <w:trPr>
          <w:trHeight w:val="230"/>
        </w:trPr>
        <w:tc>
          <w:tcPr>
            <w:tcW w:w="7780" w:type="dxa"/>
            <w:vAlign w:val="bottom"/>
          </w:tcPr>
          <w:p>
            <w:pPr>
              <w:jc w:val="right"/>
              <w:ind w:right="3610"/>
              <w:spacing w:after="0"/>
              <w:rPr>
                <w:sz w:val="20"/>
                <w:szCs w:val="20"/>
                <w:color w:val="auto"/>
              </w:rPr>
            </w:pPr>
            <w:r>
              <w:rPr>
                <w:rFonts w:ascii="Arial" w:cs="Arial" w:eastAsia="Arial" w:hAnsi="Arial"/>
                <w:sz w:val="18"/>
                <w:szCs w:val="18"/>
                <w:color w:val="auto"/>
                <w:w w:val="93"/>
              </w:rPr>
              <w:t>Less: Unearned acquisition fees and originations costs</w:t>
            </w:r>
          </w:p>
        </w:tc>
        <w:tc>
          <w:tcPr>
            <w:tcW w:w="10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(32,693)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(31,443)</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jc w:val="right"/>
              <w:ind w:right="6030"/>
              <w:spacing w:after="0"/>
              <w:rPr>
                <w:sz w:val="20"/>
                <w:szCs w:val="20"/>
                <w:color w:val="auto"/>
              </w:rPr>
            </w:pPr>
            <w:r>
              <w:rPr>
                <w:rFonts w:ascii="Arial" w:cs="Arial" w:eastAsia="Arial" w:hAnsi="Arial"/>
                <w:sz w:val="18"/>
                <w:szCs w:val="18"/>
                <w:color w:val="auto"/>
                <w:w w:val="98"/>
              </w:rPr>
              <w:t>Finance Receivables</w:t>
            </w:r>
          </w:p>
        </w:tc>
        <w:tc>
          <w:tcPr>
            <w:tcW w:w="1000" w:type="dxa"/>
            <w:vAlign w:val="bottom"/>
            <w:tcBorders>
              <w:top w:val="single" w:sz="8" w:color="auto"/>
              <w:bottom w:val="single" w:sz="8" w:color="auto"/>
            </w:tcBorders>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857,430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764,343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March 31, 2013 and December 31, 2012: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7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867,664</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764,741</w:t>
            </w:r>
          </w:p>
        </w:tc>
        <w:tc>
          <w:tcPr>
            <w:tcW w:w="8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12,640</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16,925</w:t>
            </w:r>
          </w:p>
        </w:tc>
        <w:tc>
          <w:tcPr>
            <w:tcW w:w="8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7560" w:type="dxa"/>
            <w:vAlign w:val="bottom"/>
          </w:tcPr>
          <w:p>
            <w:pPr>
              <w:ind w:left="20"/>
              <w:spacing w:after="0"/>
              <w:rPr>
                <w:sz w:val="20"/>
                <w:szCs w:val="20"/>
                <w:color w:val="auto"/>
              </w:rPr>
            </w:pPr>
            <w:r>
              <w:rPr>
                <w:rFonts w:ascii="Arial" w:cs="Arial" w:eastAsia="Arial" w:hAnsi="Arial"/>
                <w:sz w:val="18"/>
                <w:szCs w:val="18"/>
                <w:color w:val="auto"/>
              </w:rPr>
              <w:t>- 90 days</w:t>
            </w:r>
          </w:p>
        </w:tc>
        <w:tc>
          <w:tcPr>
            <w:tcW w:w="24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6,768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9,019</w:t>
            </w:r>
          </w:p>
        </w:tc>
        <w:tc>
          <w:tcPr>
            <w:tcW w:w="8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4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3,051</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5,101</w:t>
            </w:r>
          </w:p>
        </w:tc>
        <w:tc>
          <w:tcPr>
            <w:tcW w:w="8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890,123</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795,786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Finance receivables totaling $3.1 million and $5.1 million at March 31, 2013 and December 31, 2012,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credit losses that can be reasonably estimated in our portfolio of automobile contracts. The estimate for probable credit losses is reduced by our estimate for future recoveries on previously incurred losses. Provision for losses is charged to our consolidated statement of operations. Net losses incurred on finance receivables are charged to the allowance. For finance receivables originated through December 31, 2010 we established the allowance at the time of the acquisition of the receivable. Beginning January 1, 2011, we establish the allowance for new receivables over the 12-month period following their acquisition.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summary of the activity for the allowance for credit losses for the three-month periods ended March 31, 2013 and 2012:</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Provision for credit losses on finance receivables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Charge-offs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Recoveries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9"/>
                <w:szCs w:val="19"/>
                <w:color w:val="auto"/>
              </w:rPr>
            </w:pPr>
          </w:p>
        </w:tc>
      </w:tr>
      <w:tr>
        <w:trPr>
          <w:trHeight w:val="195"/>
        </w:trPr>
        <w:tc>
          <w:tcPr>
            <w:tcW w:w="360" w:type="dxa"/>
            <w:vAlign w:val="bottom"/>
          </w:tcPr>
          <w:p>
            <w:pPr>
              <w:spacing w:after="0"/>
              <w:rPr>
                <w:sz w:val="16"/>
                <w:szCs w:val="16"/>
                <w:color w:val="auto"/>
              </w:rPr>
            </w:pPr>
          </w:p>
        </w:tc>
        <w:tc>
          <w:tcPr>
            <w:tcW w:w="2080" w:type="dxa"/>
            <w:vAlign w:val="bottom"/>
            <w:gridSpan w:val="4"/>
          </w:tcPr>
          <w:p>
            <w:pPr>
              <w:jc w:val="right"/>
              <w:ind w:right="70"/>
              <w:spacing w:after="0" w:line="195" w:lineRule="exact"/>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$19,594</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10,351</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15,147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4,836</w:t>
            </w:r>
          </w:p>
        </w:tc>
        <w:tc>
          <w:tcPr>
            <w:tcW w:w="60" w:type="dxa"/>
            <w:vAlign w:val="bottom"/>
          </w:tcPr>
          <w:p>
            <w:pPr>
              <w:spacing w:after="0"/>
              <w:rPr>
                <w:sz w:val="18"/>
                <w:szCs w:val="18"/>
                <w:color w:val="auto"/>
              </w:rPr>
            </w:pPr>
          </w:p>
        </w:tc>
      </w:tr>
      <w:tr>
        <w:trPr>
          <w:trHeight w:val="230"/>
        </w:trPr>
        <w:tc>
          <w:tcPr>
            <w:tcW w:w="3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(12,915)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(8,302)</w:t>
            </w:r>
          </w:p>
        </w:tc>
      </w:tr>
      <w:tr>
        <w:trPr>
          <w:trHeight w:val="230"/>
        </w:trPr>
        <w:tc>
          <w:tcPr>
            <w:tcW w:w="36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3,055</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4,366</w:t>
            </w:r>
          </w:p>
        </w:tc>
        <w:tc>
          <w:tcPr>
            <w:tcW w:w="60" w:type="dxa"/>
            <w:vAlign w:val="bottom"/>
          </w:tcPr>
          <w:p>
            <w:pPr>
              <w:spacing w:after="0"/>
              <w:rPr>
                <w:sz w:val="20"/>
                <w:szCs w:val="20"/>
                <w:color w:val="auto"/>
              </w:rPr>
            </w:pPr>
          </w:p>
        </w:tc>
      </w:tr>
      <w:tr>
        <w:trPr>
          <w:trHeight w:val="223"/>
        </w:trPr>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$24,881</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60" w:type="dxa"/>
            <w:vAlign w:val="bottom"/>
          </w:tcPr>
          <w:p>
            <w:pPr>
              <w:spacing w:after="0"/>
              <w:rPr>
                <w:sz w:val="19"/>
                <w:szCs w:val="19"/>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-736600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877" w:right="239" w:bottom="1440" w:gutter="0" w:footer="0" w:header="0"/>
          <w:type w:val="continuous"/>
        </w:sectPr>
      </w:pPr>
    </w:p>
    <w:p>
      <w:pPr>
        <w:spacing w:after="0" w:line="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credit losses:</w:t>
      </w:r>
    </w:p>
    <w:p>
      <w:pPr>
        <w:sectPr>
          <w:pgSz w:w="11900" w:h="16838" w:orient="portrait"/>
          <w:cols w:equalWidth="0" w:num="1">
            <w:col w:w="11420"/>
          </w:cols>
          <w:pgMar w:left="240" w:top="87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31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Finance Receivables Measured at Fair Value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240" w:type="dxa"/>
            <w:vAlign w:val="bottom"/>
          </w:tcPr>
          <w:p>
            <w:pPr>
              <w:spacing w:after="0"/>
              <w:rPr>
                <w:sz w:val="16"/>
                <w:szCs w:val="16"/>
                <w:color w:val="auto"/>
              </w:rPr>
            </w:pPr>
          </w:p>
        </w:tc>
        <w:tc>
          <w:tcPr>
            <w:tcW w:w="3300" w:type="dxa"/>
            <w:vAlign w:val="bottom"/>
            <w:gridSpan w:val="5"/>
          </w:tcPr>
          <w:p>
            <w:pPr>
              <w:jc w:val="right"/>
              <w:ind w:right="113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6"/>
                <w:szCs w:val="16"/>
                <w:color w:val="auto"/>
              </w:rPr>
            </w:pPr>
          </w:p>
        </w:tc>
      </w:tr>
      <w:tr>
        <w:trPr>
          <w:trHeight w:val="216"/>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14,222</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12,102</w:t>
            </w:r>
          </w:p>
        </w:tc>
        <w:tc>
          <w:tcPr>
            <w:tcW w:w="40" w:type="dxa"/>
            <w:vAlign w:val="bottom"/>
          </w:tcPr>
          <w:p>
            <w:pPr>
              <w:spacing w:after="0"/>
              <w:rPr>
                <w:sz w:val="18"/>
                <w:szCs w:val="18"/>
                <w:color w:val="auto"/>
              </w:rPr>
            </w:pPr>
          </w:p>
        </w:tc>
      </w:tr>
      <w:tr>
        <w:trPr>
          <w:trHeight w:val="244"/>
        </w:trPr>
        <w:tc>
          <w:tcPr>
            <w:tcW w:w="240" w:type="dxa"/>
            <w:vAlign w:val="bottom"/>
          </w:tcPr>
          <w:p>
            <w:pPr>
              <w:spacing w:after="0"/>
              <w:rPr>
                <w:sz w:val="21"/>
                <w:szCs w:val="21"/>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(7,186)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(6,384)</w:t>
            </w:r>
          </w:p>
        </w:tc>
      </w:tr>
      <w:tr>
        <w:trPr>
          <w:trHeight w:val="223"/>
        </w:trPr>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7,036</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5,718</w:t>
            </w:r>
          </w:p>
        </w:tc>
        <w:tc>
          <w:tcPr>
            <w:tcW w:w="4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7060" w:space="720"/>
            <w:col w:w="3640"/>
          </w:cols>
          <w:pgMar w:left="240" w:top="877" w:right="239" w:bottom="1440" w:gutter="0" w:footer="0" w:header="0"/>
          <w:type w:val="continuous"/>
        </w:sectPr>
      </w:pPr>
    </w:p>
    <w:p>
      <w:pPr>
        <w:spacing w:after="0" w:line="6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are recorded on our balance sheet at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The following table presents the components of Finance Receivables measured at fair value:</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780" w:type="dxa"/>
            <w:vAlign w:val="bottom"/>
          </w:tcPr>
          <w:p>
            <w:pPr>
              <w:spacing w:after="0"/>
              <w:rPr>
                <w:sz w:val="24"/>
                <w:szCs w:val="24"/>
                <w:color w:val="auto"/>
              </w:rPr>
            </w:pPr>
          </w:p>
        </w:tc>
        <w:tc>
          <w:tcPr>
            <w:tcW w:w="18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780" w:type="dxa"/>
            <w:vAlign w:val="bottom"/>
            <w:vMerge w:val="restart"/>
          </w:tcPr>
          <w:p>
            <w:pPr>
              <w:spacing w:after="0"/>
              <w:rPr>
                <w:sz w:val="20"/>
                <w:szCs w:val="20"/>
                <w:color w:val="auto"/>
              </w:rPr>
            </w:pPr>
            <w:r>
              <w:rPr>
                <w:rFonts w:ascii="Arial" w:cs="Arial" w:eastAsia="Arial" w:hAnsi="Arial"/>
                <w:sz w:val="18"/>
                <w:szCs w:val="18"/>
                <w:color w:val="auto"/>
              </w:rPr>
              <w:t>Finance Receivables Measured at Fair Value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500" w:type="dxa"/>
            <w:vAlign w:val="bottom"/>
            <w:gridSpan w:val="5"/>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and accrued interest, net of unearned interest</w:t>
            </w:r>
          </w:p>
        </w:tc>
        <w:tc>
          <w:tcPr>
            <w:tcW w:w="1040" w:type="dxa"/>
            <w:vAlign w:val="bottom"/>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8"/>
              </w:rPr>
              <w:t>43,284</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60,804</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Arial" w:cs="Arial" w:eastAsia="Arial" w:hAnsi="Arial"/>
                <w:sz w:val="18"/>
                <w:szCs w:val="18"/>
                <w:color w:val="auto"/>
              </w:rPr>
              <w:t>Less: Fair value adjustment</w:t>
            </w:r>
          </w:p>
        </w:tc>
        <w:tc>
          <w:tcPr>
            <w:tcW w:w="10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Finance receivables measured at fair value</w:t>
            </w:r>
          </w:p>
        </w:tc>
        <w:tc>
          <w:tcPr>
            <w:tcW w:w="1040" w:type="dxa"/>
            <w:vAlign w:val="bottom"/>
            <w:tcBorders>
              <w:top w:val="single" w:sz="8" w:color="auto"/>
              <w:bottom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43,021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59,668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delinquency status of finance receivables measured at fair value as of March 31, 2013 and December 31,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4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41,606</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57,557</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3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4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1,054</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3260" w:type="dxa"/>
            <w:vAlign w:val="bottom"/>
          </w:tcPr>
          <w:p>
            <w:pPr>
              <w:ind w:left="20"/>
              <w:spacing w:after="0"/>
              <w:rPr>
                <w:sz w:val="20"/>
                <w:szCs w:val="20"/>
                <w:color w:val="auto"/>
              </w:rPr>
            </w:pPr>
            <w:r>
              <w:rPr>
                <w:rFonts w:ascii="Arial" w:cs="Arial" w:eastAsia="Arial" w:hAnsi="Arial"/>
                <w:sz w:val="18"/>
                <w:szCs w:val="18"/>
                <w:color w:val="auto"/>
              </w:rPr>
              <w:t>- 90 days</w:t>
            </w: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3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43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43,284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300" w:type="dxa"/>
            <w:vAlign w:val="bottom"/>
            <w:vMerge w:val="restart"/>
          </w:tcPr>
          <w:p>
            <w:pPr>
              <w:jc w:val="right"/>
              <w:ind w:right="189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completed a number of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Receivables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Outstanding</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Final Scheduled</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Pledged at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Principal at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Principal at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Interest Rate at</w:t>
            </w:r>
          </w:p>
        </w:tc>
      </w:tr>
      <w:tr>
        <w:trPr>
          <w:trHeight w:val="230"/>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Payment</w:t>
            </w:r>
          </w:p>
        </w:tc>
        <w:tc>
          <w:tcPr>
            <w:tcW w:w="16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Initial</w:t>
            </w:r>
          </w:p>
        </w:tc>
        <w:tc>
          <w:tcPr>
            <w:tcW w:w="12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1720" w:type="dxa"/>
            <w:vAlign w:val="bottom"/>
            <w:gridSpan w:val="2"/>
          </w:tcPr>
          <w:p>
            <w:pPr>
              <w:ind w:left="520"/>
              <w:spacing w:after="0"/>
              <w:rPr>
                <w:sz w:val="20"/>
                <w:szCs w:val="20"/>
                <w:color w:val="auto"/>
              </w:rPr>
            </w:pPr>
            <w:r>
              <w:rPr>
                <w:rFonts w:ascii="Arial" w:cs="Arial" w:eastAsia="Arial" w:hAnsi="Arial"/>
                <w:sz w:val="18"/>
                <w:szCs w:val="18"/>
                <w:b w:val="1"/>
                <w:bCs w:val="1"/>
                <w:color w:val="auto"/>
              </w:rPr>
              <w:t>Series</w:t>
            </w:r>
          </w:p>
        </w:tc>
        <w:tc>
          <w:tcPr>
            <w:tcW w:w="17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Date (1)</w:t>
            </w: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0"/>
        </w:trPr>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w w:val="91"/>
              </w:rPr>
              <w:t>(Dollars in thousands)</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2008-A</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October 2014</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14,094</w:t>
            </w:r>
          </w:p>
        </w:tc>
        <w:tc>
          <w:tcPr>
            <w:tcW w:w="50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310,359</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35,652</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40,713</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9.05%</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Page Five Funding</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January 2018</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19,076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46,058</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18,151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21,251</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2011-A</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April 2018</w:t>
            </w: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44,425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100,364</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41,667</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48,368</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CPS 2011-B</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September 2018</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65,808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109,936</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64,791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70,863</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2011-C</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March 2019</w:t>
            </w: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80,190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119,400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80,772</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88,269</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CPS 2012-A</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June 2019</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93,543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155,000</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95,319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105,485</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2012-B</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September 2019</w:t>
            </w: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118,141</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141,500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111,722</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122,329</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CPS 2012-C</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December 2019</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127,147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147,000</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122,001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135,219</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r>
      <w:tr>
        <w:trPr>
          <w:trHeight w:val="216"/>
        </w:trPr>
        <w:tc>
          <w:tcPr>
            <w:tcW w:w="1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2012-D</w:t>
            </w:r>
          </w:p>
        </w:tc>
        <w:tc>
          <w:tcPr>
            <w:tcW w:w="1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March 2020</w:t>
            </w: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148,404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146,604</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160,000</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w:t>
            </w: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CPS 2013-A</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June 2020</w:t>
            </w: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114,561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185,000</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185,000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23"/>
        </w:trPr>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7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825,389</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1,474,617</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901,679</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792,497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90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0"/>
          <w:szCs w:val="20"/>
          <w:color w:val="auto"/>
        </w:rPr>
      </w:pPr>
    </w:p>
    <w:p>
      <w:pPr>
        <w:jc w:val="both"/>
        <w:ind w:left="340" w:hanging="332"/>
        <w:spacing w:after="0" w:line="259"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$280.0 million in 2013, $270.0 million in 2014, $185.0 million in 2015, $111.6 million in 2016, $48.0 million in 2017 and $6.9 million in 2018.</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 Principal of $11.9 million, and the related interest payments, are guaranteed by financial guaranty insurance policies issued by a third party financial institution.</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March 31, 2013, we were in compliance with all such covenants. In addition, certain securitization and non-securitization related debt contain cross-default provisions, which would allow certain creditors to declare a default if a default were declared under a different facility.</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responsible for the administration and collection of the automobile contracts. The securitization agreements also require certain funds be held in restricted cash accounts to provide additional collateral for the borrowings or to be applied to make payments on the securitization trust debt. As of March 31, 2013, restricted cash under the various agreements totaled approximately $139.1 million. Interest expense on the securitization trust debt consists of the stated rate of interest plus amortization of additional costs of borrowing. Additional costs of borrowing include facility fees, insurance and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terms and amounts of our other debt outstanding at March 31, 2013 and December 31, 2012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40" w:type="dxa"/>
            <w:vAlign w:val="bottom"/>
            <w:gridSpan w:val="8"/>
          </w:tcPr>
          <w:p>
            <w:pPr>
              <w:ind w:left="86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Pr>
          <w:p>
            <w:pPr>
              <w:spacing w:after="0"/>
              <w:rPr>
                <w:sz w:val="18"/>
                <w:szCs w:val="18"/>
                <w:color w:val="auto"/>
              </w:rPr>
            </w:pPr>
          </w:p>
        </w:tc>
        <w:tc>
          <w:tcPr>
            <w:tcW w:w="1700" w:type="dxa"/>
            <w:vAlign w:val="bottom"/>
            <w:gridSpan w:val="2"/>
            <w:vMerge w:val="restart"/>
          </w:tcPr>
          <w:p>
            <w:pPr>
              <w:jc w:val="center"/>
              <w:ind w:right="700"/>
              <w:spacing w:after="0"/>
              <w:rPr>
                <w:sz w:val="20"/>
                <w:szCs w:val="20"/>
                <w:color w:val="auto"/>
              </w:rPr>
            </w:pPr>
            <w:r>
              <w:rPr>
                <w:rFonts w:ascii="Arial" w:cs="Arial" w:eastAsia="Arial" w:hAnsi="Arial"/>
                <w:sz w:val="18"/>
                <w:szCs w:val="18"/>
                <w:b w:val="1"/>
                <w:bCs w:val="1"/>
                <w:color w:val="auto"/>
                <w:w w:val="91"/>
              </w:rPr>
              <w:t>Interest Rate</w:t>
            </w:r>
          </w:p>
        </w:tc>
        <w:tc>
          <w:tcPr>
            <w:tcW w:w="29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20" w:type="dxa"/>
            <w:vAlign w:val="bottom"/>
            <w:tcBorders>
              <w:top w:val="single" w:sz="8" w:color="auto"/>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9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40" w:type="dxa"/>
            <w:vAlign w:val="bottom"/>
            <w:gridSpan w:val="5"/>
          </w:tcPr>
          <w:p>
            <w:pPr>
              <w:jc w:val="right"/>
              <w:ind w:right="1130"/>
              <w:spacing w:after="0" w:line="170" w:lineRule="exact"/>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Residual interest financing</w:t>
            </w:r>
          </w:p>
        </w:tc>
        <w:tc>
          <w:tcPr>
            <w:tcW w:w="2360" w:type="dxa"/>
            <w:vAlign w:val="bottom"/>
            <w:gridSpan w:val="3"/>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0"/>
              </w:rPr>
              <w:t>12.875% over one month</w:t>
            </w:r>
          </w:p>
        </w:tc>
        <w:tc>
          <w:tcPr>
            <w:tcW w:w="294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88"/>
              </w:rPr>
              <w:t>September 2013</w:t>
            </w:r>
          </w:p>
        </w:tc>
        <w:tc>
          <w:tcPr>
            <w:tcW w:w="1140" w:type="dxa"/>
            <w:vAlign w:val="bottom"/>
            <w:gridSpan w:val="2"/>
            <w:shd w:val="clear" w:color="auto" w:fill="EEEEEE"/>
          </w:tcPr>
          <w:p>
            <w:pPr>
              <w:jc w:val="right"/>
              <w:ind w:right="79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340"/>
              <w:spacing w:after="0" w:line="201" w:lineRule="exact"/>
              <w:rPr>
                <w:sz w:val="20"/>
                <w:szCs w:val="20"/>
                <w:color w:val="auto"/>
              </w:rPr>
            </w:pPr>
            <w:r>
              <w:rPr>
                <w:rFonts w:ascii="Arial" w:cs="Arial" w:eastAsia="Arial" w:hAnsi="Arial"/>
                <w:sz w:val="18"/>
                <w:szCs w:val="18"/>
                <w:color w:val="auto"/>
              </w:rPr>
              <w:t>13,773</w:t>
            </w:r>
          </w:p>
        </w:tc>
        <w:tc>
          <w:tcPr>
            <w:tcW w:w="180" w:type="dxa"/>
            <w:vAlign w:val="bottom"/>
            <w:gridSpan w:val="2"/>
            <w:shd w:val="clear" w:color="auto" w:fill="EEEEEE"/>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20"/>
              <w:spacing w:after="0" w:line="201" w:lineRule="exact"/>
              <w:rPr>
                <w:sz w:val="20"/>
                <w:szCs w:val="20"/>
                <w:color w:val="auto"/>
              </w:rPr>
            </w:pPr>
            <w:r>
              <w:rPr>
                <w:rFonts w:ascii="Arial" w:cs="Arial" w:eastAsia="Arial" w:hAnsi="Arial"/>
                <w:sz w:val="18"/>
                <w:szCs w:val="18"/>
                <w:color w:val="auto"/>
              </w:rPr>
              <w:t>13,773</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1700" w:type="dxa"/>
            <w:vAlign w:val="bottom"/>
            <w:gridSpan w:val="2"/>
            <w:shd w:val="clear" w:color="auto" w:fill="EEEEEE"/>
          </w:tcPr>
          <w:p>
            <w:pPr>
              <w:jc w:val="center"/>
              <w:ind w:right="700"/>
              <w:spacing w:after="0"/>
              <w:rPr>
                <w:sz w:val="20"/>
                <w:szCs w:val="20"/>
                <w:color w:val="auto"/>
              </w:rPr>
            </w:pPr>
            <w:r>
              <w:rPr>
                <w:rFonts w:ascii="Arial" w:cs="Arial" w:eastAsia="Arial" w:hAnsi="Arial"/>
                <w:sz w:val="18"/>
                <w:szCs w:val="18"/>
                <w:color w:val="auto"/>
                <w:w w:val="99"/>
              </w:rPr>
              <w:t>Libor</w:t>
            </w:r>
          </w:p>
        </w:tc>
        <w:tc>
          <w:tcPr>
            <w:tcW w:w="114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11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Senior secured debt, related</w:t>
            </w:r>
          </w:p>
        </w:tc>
        <w:tc>
          <w:tcPr>
            <w:tcW w:w="1660" w:type="dxa"/>
            <w:vAlign w:val="bottom"/>
            <w:gridSpan w:val="2"/>
            <w:shd w:val="clear" w:color="auto" w:fill="EEEEEE"/>
          </w:tcPr>
          <w:p>
            <w:pPr>
              <w:jc w:val="right"/>
              <w:ind w:right="130"/>
              <w:spacing w:after="0" w:line="201" w:lineRule="exact"/>
              <w:rPr>
                <w:sz w:val="20"/>
                <w:szCs w:val="20"/>
                <w:color w:val="auto"/>
              </w:rPr>
            </w:pPr>
            <w:r>
              <w:rPr>
                <w:rFonts w:ascii="Arial" w:cs="Arial" w:eastAsia="Arial" w:hAnsi="Arial"/>
                <w:sz w:val="18"/>
                <w:szCs w:val="18"/>
                <w:color w:val="auto"/>
              </w:rPr>
              <w:t>16.00%</w:t>
            </w:r>
          </w:p>
        </w:tc>
        <w:tc>
          <w:tcPr>
            <w:tcW w:w="700" w:type="dxa"/>
            <w:vAlign w:val="bottom"/>
            <w:shd w:val="clear" w:color="auto" w:fill="EEEEEE"/>
          </w:tcPr>
          <w:p>
            <w:pPr>
              <w:spacing w:after="0"/>
              <w:rPr>
                <w:sz w:val="17"/>
                <w:szCs w:val="17"/>
                <w:color w:val="auto"/>
              </w:rPr>
            </w:pPr>
          </w:p>
        </w:tc>
        <w:tc>
          <w:tcPr>
            <w:tcW w:w="294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88"/>
              </w:rPr>
              <w:t>December 2013</w:t>
            </w: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340"/>
              <w:spacing w:after="0" w:line="201" w:lineRule="exact"/>
              <w:rPr>
                <w:sz w:val="20"/>
                <w:szCs w:val="20"/>
                <w:color w:val="auto"/>
              </w:rPr>
            </w:pPr>
            <w:r>
              <w:rPr>
                <w:rFonts w:ascii="Arial" w:cs="Arial" w:eastAsia="Arial" w:hAnsi="Arial"/>
                <w:sz w:val="18"/>
                <w:szCs w:val="18"/>
                <w:color w:val="auto"/>
              </w:rPr>
              <w:t>50,789</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right"/>
              <w:ind w:right="20"/>
              <w:spacing w:after="0" w:line="201" w:lineRule="exact"/>
              <w:rPr>
                <w:sz w:val="20"/>
                <w:szCs w:val="20"/>
                <w:color w:val="auto"/>
              </w:rPr>
            </w:pPr>
            <w:r>
              <w:rPr>
                <w:rFonts w:ascii="Arial" w:cs="Arial" w:eastAsia="Arial" w:hAnsi="Arial"/>
                <w:sz w:val="18"/>
                <w:szCs w:val="18"/>
                <w:color w:val="auto"/>
              </w:rPr>
              <w:t>50,135</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party</w:t>
            </w:r>
          </w:p>
        </w:tc>
        <w:tc>
          <w:tcPr>
            <w:tcW w:w="66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11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4"/>
              </w:rPr>
              <w:t>Subordinated renewable notes</w:t>
            </w:r>
          </w:p>
        </w:tc>
        <w:tc>
          <w:tcPr>
            <w:tcW w:w="2360" w:type="dxa"/>
            <w:vAlign w:val="bottom"/>
            <w:gridSpan w:val="3"/>
            <w:shd w:val="clear" w:color="auto" w:fill="EEEEEE"/>
          </w:tcPr>
          <w:p>
            <w:pPr>
              <w:jc w:val="center"/>
              <w:ind w:right="40"/>
              <w:spacing w:after="0" w:line="201" w:lineRule="exact"/>
              <w:rPr>
                <w:sz w:val="20"/>
                <w:szCs w:val="20"/>
                <w:color w:val="auto"/>
              </w:rPr>
            </w:pPr>
            <w:r>
              <w:rPr>
                <w:rFonts w:ascii="Arial" w:cs="Arial" w:eastAsia="Arial" w:hAnsi="Arial"/>
                <w:sz w:val="18"/>
                <w:szCs w:val="18"/>
                <w:color w:val="auto"/>
                <w:w w:val="89"/>
              </w:rPr>
              <w:t>Weighted average rate of</w:t>
            </w:r>
          </w:p>
        </w:tc>
        <w:tc>
          <w:tcPr>
            <w:tcW w:w="294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Weighted average maturity of</w:t>
            </w: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340"/>
              <w:spacing w:after="0" w:line="201" w:lineRule="exact"/>
              <w:rPr>
                <w:sz w:val="20"/>
                <w:szCs w:val="20"/>
                <w:color w:val="auto"/>
              </w:rPr>
            </w:pPr>
            <w:r>
              <w:rPr>
                <w:rFonts w:ascii="Arial" w:cs="Arial" w:eastAsia="Arial" w:hAnsi="Arial"/>
                <w:sz w:val="18"/>
                <w:szCs w:val="18"/>
                <w:color w:val="auto"/>
              </w:rPr>
              <w:t>23,558</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right"/>
              <w:ind w:right="20"/>
              <w:spacing w:after="0" w:line="201" w:lineRule="exact"/>
              <w:rPr>
                <w:sz w:val="20"/>
                <w:szCs w:val="20"/>
                <w:color w:val="auto"/>
              </w:rPr>
            </w:pPr>
            <w:r>
              <w:rPr>
                <w:rFonts w:ascii="Arial" w:cs="Arial" w:eastAsia="Arial" w:hAnsi="Arial"/>
                <w:sz w:val="18"/>
                <w:szCs w:val="18"/>
                <w:color w:val="auto"/>
              </w:rPr>
              <w:t>23,281</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360" w:type="dxa"/>
            <w:vAlign w:val="bottom"/>
            <w:gridSpan w:val="3"/>
            <w:shd w:val="clear" w:color="auto" w:fill="EEEEEE"/>
          </w:tcPr>
          <w:p>
            <w:pPr>
              <w:jc w:val="center"/>
              <w:ind w:right="40"/>
              <w:spacing w:after="0"/>
              <w:rPr>
                <w:sz w:val="20"/>
                <w:szCs w:val="20"/>
                <w:color w:val="auto"/>
              </w:rPr>
            </w:pPr>
            <w:r>
              <w:rPr>
                <w:rFonts w:ascii="Arial" w:cs="Arial" w:eastAsia="Arial" w:hAnsi="Arial"/>
                <w:sz w:val="18"/>
                <w:szCs w:val="18"/>
                <w:color w:val="auto"/>
                <w:w w:val="90"/>
              </w:rPr>
              <w:t>14.1% and 14.4% at March</w:t>
            </w:r>
          </w:p>
        </w:tc>
        <w:tc>
          <w:tcPr>
            <w:tcW w:w="29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88"/>
              </w:rPr>
              <w:t>September 2015 and June 2015 at</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360" w:type="dxa"/>
            <w:vAlign w:val="bottom"/>
            <w:gridSpan w:val="3"/>
            <w:shd w:val="clear" w:color="auto" w:fill="EEEEEE"/>
          </w:tcPr>
          <w:p>
            <w:pPr>
              <w:jc w:val="center"/>
              <w:ind w:right="40"/>
              <w:spacing w:after="0"/>
              <w:rPr>
                <w:sz w:val="20"/>
                <w:szCs w:val="20"/>
                <w:color w:val="auto"/>
              </w:rPr>
            </w:pPr>
            <w:r>
              <w:rPr>
                <w:rFonts w:ascii="Arial" w:cs="Arial" w:eastAsia="Arial" w:hAnsi="Arial"/>
                <w:sz w:val="18"/>
                <w:szCs w:val="18"/>
                <w:color w:val="auto"/>
                <w:w w:val="89"/>
              </w:rPr>
              <w:t>31, 2013 and December 31,</w:t>
            </w:r>
          </w:p>
        </w:tc>
        <w:tc>
          <w:tcPr>
            <w:tcW w:w="29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89"/>
              </w:rPr>
              <w:t>March 31, 2013 and December 31,</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2360" w:type="dxa"/>
            <w:vAlign w:val="bottom"/>
            <w:gridSpan w:val="3"/>
            <w:shd w:val="clear" w:color="auto" w:fill="EEEEEE"/>
          </w:tcPr>
          <w:p>
            <w:pPr>
              <w:jc w:val="center"/>
              <w:ind w:right="40"/>
              <w:spacing w:after="0"/>
              <w:rPr>
                <w:sz w:val="20"/>
                <w:szCs w:val="20"/>
                <w:color w:val="auto"/>
              </w:rPr>
            </w:pPr>
            <w:r>
              <w:rPr>
                <w:rFonts w:ascii="Arial" w:cs="Arial" w:eastAsia="Arial" w:hAnsi="Arial"/>
                <w:sz w:val="18"/>
                <w:szCs w:val="18"/>
                <w:color w:val="auto"/>
                <w:w w:val="90"/>
              </w:rPr>
              <w:t>2012, respectively</w:t>
            </w:r>
          </w:p>
        </w:tc>
        <w:tc>
          <w:tcPr>
            <w:tcW w:w="29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0"/>
              </w:rPr>
              <w:t>2012, respectively</w:t>
            </w:r>
          </w:p>
        </w:tc>
        <w:tc>
          <w:tcPr>
            <w:tcW w:w="1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660" w:type="dxa"/>
            <w:vAlign w:val="bottom"/>
            <w:gridSpan w:val="2"/>
            <w:shd w:val="clear" w:color="auto" w:fill="EEEEEE"/>
          </w:tcPr>
          <w:p>
            <w:pPr>
              <w:jc w:val="right"/>
              <w:ind w:right="170"/>
              <w:spacing w:after="0" w:line="201" w:lineRule="exact"/>
              <w:rPr>
                <w:sz w:val="20"/>
                <w:szCs w:val="20"/>
                <w:color w:val="auto"/>
              </w:rPr>
            </w:pPr>
            <w:r>
              <w:rPr>
                <w:rFonts w:ascii="Arial" w:cs="Arial" w:eastAsia="Arial" w:hAnsi="Arial"/>
                <w:sz w:val="18"/>
                <w:szCs w:val="18"/>
                <w:color w:val="auto"/>
              </w:rPr>
              <w:t>8.00%</w:t>
            </w:r>
          </w:p>
        </w:tc>
        <w:tc>
          <w:tcPr>
            <w:tcW w:w="700" w:type="dxa"/>
            <w:vAlign w:val="bottom"/>
            <w:shd w:val="clear" w:color="auto" w:fill="EEEEEE"/>
          </w:tcPr>
          <w:p>
            <w:pPr>
              <w:spacing w:after="0"/>
              <w:rPr>
                <w:sz w:val="17"/>
                <w:szCs w:val="17"/>
                <w:color w:val="auto"/>
              </w:rPr>
            </w:pPr>
          </w:p>
        </w:tc>
        <w:tc>
          <w:tcPr>
            <w:tcW w:w="294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88"/>
              </w:rPr>
              <w:t>Repayment is based on payments</w:t>
            </w: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960" w:type="dxa"/>
            <w:vAlign w:val="bottom"/>
            <w:gridSpan w:val="2"/>
            <w:shd w:val="clear" w:color="auto" w:fill="EEEEEE"/>
          </w:tcPr>
          <w:p>
            <w:pPr>
              <w:jc w:val="right"/>
              <w:ind w:right="340"/>
              <w:spacing w:after="0" w:line="201" w:lineRule="exact"/>
              <w:rPr>
                <w:sz w:val="20"/>
                <w:szCs w:val="20"/>
                <w:color w:val="auto"/>
              </w:rPr>
            </w:pPr>
            <w:r>
              <w:rPr>
                <w:rFonts w:ascii="Arial" w:cs="Arial" w:eastAsia="Arial" w:hAnsi="Arial"/>
                <w:sz w:val="18"/>
                <w:szCs w:val="18"/>
                <w:color w:val="auto"/>
              </w:rPr>
              <w:t>40,387</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gridSpan w:val="2"/>
            <w:shd w:val="clear" w:color="auto" w:fill="EEEEEE"/>
          </w:tcPr>
          <w:p>
            <w:pPr>
              <w:jc w:val="right"/>
              <w:ind w:right="20"/>
              <w:spacing w:after="0" w:line="201" w:lineRule="exact"/>
              <w:rPr>
                <w:sz w:val="20"/>
                <w:szCs w:val="20"/>
                <w:color w:val="auto"/>
              </w:rPr>
            </w:pPr>
            <w:r>
              <w:rPr>
                <w:rFonts w:ascii="Arial" w:cs="Arial" w:eastAsia="Arial" w:hAnsi="Arial"/>
                <w:sz w:val="18"/>
                <w:szCs w:val="18"/>
                <w:color w:val="auto"/>
              </w:rPr>
              <w:t>57,107</w:t>
            </w: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6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9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4"/>
              </w:rPr>
              <w:t>from underlying receivables. Final</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9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0"/>
              </w:rPr>
              <w:t>payment of the 8.00% note is</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9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1"/>
              </w:rPr>
              <w:t>expected in July 2013, with residual</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shd w:val="clear" w:color="auto" w:fill="EEEEEE"/>
          </w:tcPr>
          <w:p>
            <w:pPr>
              <w:spacing w:after="0"/>
              <w:rPr>
                <w:sz w:val="21"/>
                <w:szCs w:val="21"/>
                <w:color w:val="auto"/>
              </w:rPr>
            </w:pPr>
          </w:p>
        </w:tc>
        <w:tc>
          <w:tcPr>
            <w:tcW w:w="880" w:type="dxa"/>
            <w:vAlign w:val="bottom"/>
            <w:shd w:val="clear" w:color="auto" w:fill="EEEEEE"/>
          </w:tcPr>
          <w:p>
            <w:pPr>
              <w:spacing w:after="0"/>
              <w:rPr>
                <w:sz w:val="21"/>
                <w:szCs w:val="21"/>
                <w:color w:val="auto"/>
              </w:rPr>
            </w:pPr>
          </w:p>
        </w:tc>
        <w:tc>
          <w:tcPr>
            <w:tcW w:w="800" w:type="dxa"/>
            <w:vAlign w:val="bottom"/>
            <w:shd w:val="clear" w:color="auto" w:fill="EEEEEE"/>
          </w:tcPr>
          <w:p>
            <w:pPr>
              <w:spacing w:after="0"/>
              <w:rPr>
                <w:sz w:val="21"/>
                <w:szCs w:val="21"/>
                <w:color w:val="auto"/>
              </w:rPr>
            </w:pPr>
          </w:p>
        </w:tc>
        <w:tc>
          <w:tcPr>
            <w:tcW w:w="660" w:type="dxa"/>
            <w:vAlign w:val="bottom"/>
            <w:shd w:val="clear" w:color="auto" w:fill="EEEEEE"/>
          </w:tcPr>
          <w:p>
            <w:pPr>
              <w:spacing w:after="0"/>
              <w:rPr>
                <w:sz w:val="21"/>
                <w:szCs w:val="21"/>
                <w:color w:val="auto"/>
              </w:rPr>
            </w:pPr>
          </w:p>
        </w:tc>
        <w:tc>
          <w:tcPr>
            <w:tcW w:w="1000" w:type="dxa"/>
            <w:vAlign w:val="bottom"/>
            <w:shd w:val="clear" w:color="auto" w:fill="EEEEEE"/>
          </w:tcPr>
          <w:p>
            <w:pPr>
              <w:spacing w:after="0"/>
              <w:rPr>
                <w:sz w:val="21"/>
                <w:szCs w:val="21"/>
                <w:color w:val="auto"/>
              </w:rPr>
            </w:pPr>
          </w:p>
        </w:tc>
        <w:tc>
          <w:tcPr>
            <w:tcW w:w="700" w:type="dxa"/>
            <w:vAlign w:val="bottom"/>
            <w:shd w:val="clear" w:color="auto" w:fill="EEEEEE"/>
          </w:tcPr>
          <w:p>
            <w:pPr>
              <w:spacing w:after="0"/>
              <w:rPr>
                <w:sz w:val="21"/>
                <w:szCs w:val="21"/>
                <w:color w:val="auto"/>
              </w:rPr>
            </w:pPr>
          </w:p>
        </w:tc>
        <w:tc>
          <w:tcPr>
            <w:tcW w:w="294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0"/>
              </w:rPr>
              <w:t>payments extending through 2016</w:t>
            </w:r>
          </w:p>
        </w:tc>
        <w:tc>
          <w:tcPr>
            <w:tcW w:w="140" w:type="dxa"/>
            <w:vAlign w:val="bottom"/>
            <w:shd w:val="clear" w:color="auto" w:fill="EEEEEE"/>
          </w:tcPr>
          <w:p>
            <w:pPr>
              <w:spacing w:after="0"/>
              <w:rPr>
                <w:sz w:val="21"/>
                <w:szCs w:val="21"/>
                <w:color w:val="auto"/>
              </w:rPr>
            </w:pPr>
          </w:p>
        </w:tc>
        <w:tc>
          <w:tcPr>
            <w:tcW w:w="1000" w:type="dxa"/>
            <w:vAlign w:val="bottom"/>
            <w:tcBorders>
              <w:bottom w:val="single" w:sz="8" w:color="auto"/>
            </w:tcBorders>
            <w:shd w:val="clear" w:color="auto" w:fill="EEEEEE"/>
          </w:tcPr>
          <w:p>
            <w:pPr>
              <w:spacing w:after="0"/>
              <w:rPr>
                <w:sz w:val="21"/>
                <w:szCs w:val="21"/>
                <w:color w:val="auto"/>
              </w:rPr>
            </w:pPr>
          </w:p>
        </w:tc>
        <w:tc>
          <w:tcPr>
            <w:tcW w:w="620" w:type="dxa"/>
            <w:vAlign w:val="bottom"/>
            <w:tcBorders>
              <w:bottom w:val="single" w:sz="8" w:color="auto"/>
            </w:tcBorders>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160" w:type="dxa"/>
            <w:vAlign w:val="bottom"/>
            <w:tcBorders>
              <w:bottom w:val="single" w:sz="8" w:color="auto"/>
            </w:tcBorders>
            <w:shd w:val="clear" w:color="auto" w:fill="EEEEEE"/>
          </w:tcPr>
          <w:p>
            <w:pPr>
              <w:spacing w:after="0"/>
              <w:rPr>
                <w:sz w:val="21"/>
                <w:szCs w:val="21"/>
                <w:color w:val="auto"/>
              </w:rPr>
            </w:pPr>
          </w:p>
        </w:tc>
        <w:tc>
          <w:tcPr>
            <w:tcW w:w="1400" w:type="dxa"/>
            <w:vAlign w:val="bottom"/>
            <w:tcBorders>
              <w:bottom w:val="single" w:sz="8" w:color="auto"/>
            </w:tcBorders>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128,507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Subsequent to the end of the quarter, on April 11, 2013 we entered into a new $20 million five-year residual financing facility secured by eligible residual assets in two previously securitized pools of automobile receivables. On April 12, 2013, we prepaid $15 million of our senior secured debt and reduced the interest rate on the remaining outstanding amount from 16.00% to 13.00%. The maturity date on the remaining outstanding amount was extended from December 2013 to June 2014.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i w:val="1"/>
                <w:iCs w:val="1"/>
                <w:color w:val="auto"/>
              </w:rPr>
              <w:t>Interest Income and Interest Expense</w:t>
            </w: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60" w:type="dxa"/>
            <w:vAlign w:val="bottom"/>
          </w:tcPr>
          <w:p>
            <w:pPr>
              <w:ind w:left="340"/>
              <w:spacing w:after="0"/>
              <w:rPr>
                <w:sz w:val="20"/>
                <w:szCs w:val="20"/>
                <w:color w:val="auto"/>
              </w:rPr>
            </w:pPr>
            <w:r>
              <w:rPr>
                <w:rFonts w:ascii="Arial" w:cs="Arial" w:eastAsia="Arial" w:hAnsi="Arial"/>
                <w:sz w:val="18"/>
                <w:szCs w:val="18"/>
                <w:color w:val="auto"/>
              </w:rPr>
              <w:t>The following table presents the components of interest income:</w:t>
            </w: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80" w:type="dxa"/>
            <w:vAlign w:val="bottom"/>
            <w:gridSpan w:val="5"/>
          </w:tcPr>
          <w:p>
            <w:pPr>
              <w:jc w:val="center"/>
              <w:ind w:left="455"/>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425"/>
              <w:spacing w:after="0"/>
              <w:rPr>
                <w:sz w:val="20"/>
                <w:szCs w:val="20"/>
                <w:color w:val="auto"/>
              </w:rPr>
            </w:pPr>
            <w:r>
              <w:rPr>
                <w:rFonts w:ascii="Arial" w:cs="Arial" w:eastAsia="Arial" w:hAnsi="Arial"/>
                <w:sz w:val="18"/>
                <w:szCs w:val="18"/>
                <w:b w:val="1"/>
                <w:bCs w:val="1"/>
                <w:color w:val="auto"/>
                <w:w w:val="96"/>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gridSpan w:val="4"/>
          </w:tcPr>
          <w:p>
            <w:pPr>
              <w:jc w:val="center"/>
              <w:ind w:right="42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2560" w:type="dxa"/>
            <w:vAlign w:val="bottom"/>
            <w:gridSpan w:val="2"/>
            <w:shd w:val="clear" w:color="auto" w:fill="EEEEEE"/>
          </w:tcPr>
          <w:p>
            <w:pPr>
              <w:jc w:val="right"/>
              <w:ind w:right="87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51,159</w:t>
            </w:r>
          </w:p>
        </w:tc>
        <w:tc>
          <w:tcPr>
            <w:tcW w:w="1200" w:type="dxa"/>
            <w:vAlign w:val="bottom"/>
            <w:gridSpan w:val="2"/>
            <w:shd w:val="clear" w:color="auto" w:fill="EEEEEE"/>
          </w:tcPr>
          <w:p>
            <w:pPr>
              <w:jc w:val="right"/>
              <w:ind w:right="86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8"/>
              </w:rPr>
              <w:t>40,145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152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Interest income</w:t>
            </w:r>
          </w:p>
        </w:tc>
        <w:tc>
          <w:tcPr>
            <w:tcW w:w="15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51,168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The following table presents the components of interest expense:</w:t>
            </w:r>
          </w:p>
        </w:tc>
        <w:tc>
          <w:tcPr>
            <w:tcW w:w="1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80" w:type="dxa"/>
            <w:vAlign w:val="bottom"/>
            <w:gridSpan w:val="5"/>
          </w:tcPr>
          <w:p>
            <w:pPr>
              <w:jc w:val="center"/>
              <w:ind w:left="455"/>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425"/>
              <w:spacing w:after="0"/>
              <w:rPr>
                <w:sz w:val="20"/>
                <w:szCs w:val="20"/>
                <w:color w:val="auto"/>
              </w:rPr>
            </w:pPr>
            <w:r>
              <w:rPr>
                <w:rFonts w:ascii="Arial" w:cs="Arial" w:eastAsia="Arial" w:hAnsi="Arial"/>
                <w:sz w:val="18"/>
                <w:szCs w:val="18"/>
                <w:b w:val="1"/>
                <w:bCs w:val="1"/>
                <w:color w:val="auto"/>
                <w:w w:val="96"/>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gridSpan w:val="4"/>
          </w:tcPr>
          <w:p>
            <w:pPr>
              <w:jc w:val="center"/>
              <w:ind w:right="42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560" w:type="dxa"/>
            <w:vAlign w:val="bottom"/>
            <w:gridSpan w:val="2"/>
            <w:shd w:val="clear" w:color="auto" w:fill="EEEEEE"/>
          </w:tcPr>
          <w:p>
            <w:pPr>
              <w:jc w:val="right"/>
              <w:ind w:right="875"/>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9,137</w:t>
            </w:r>
          </w:p>
        </w:tc>
        <w:tc>
          <w:tcPr>
            <w:tcW w:w="1200" w:type="dxa"/>
            <w:vAlign w:val="bottom"/>
            <w:gridSpan w:val="2"/>
            <w:shd w:val="clear" w:color="auto" w:fill="EEEEEE"/>
          </w:tcPr>
          <w:p>
            <w:pPr>
              <w:jc w:val="right"/>
              <w:ind w:right="86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8"/>
              </w:rPr>
              <w:t>10,020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Warehouse debt</w:t>
            </w: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1,282</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2,764</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Debt secured by receivables at fair value</w:t>
            </w: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1,786</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16"/>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debt</w:t>
            </w:r>
          </w:p>
        </w:tc>
        <w:tc>
          <w:tcPr>
            <w:tcW w:w="1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Subordinated debt</w:t>
            </w:r>
          </w:p>
        </w:tc>
        <w:tc>
          <w:tcPr>
            <w:tcW w:w="1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885</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6260" w:type="dxa"/>
            <w:vAlign w:val="bottom"/>
            <w:tcBorders>
              <w:top w:val="single" w:sz="8" w:color="EEEEEE"/>
              <w:bottom w:val="single" w:sz="8" w:color="EEEEEE"/>
            </w:tcBorders>
            <w:shd w:val="clear" w:color="auto" w:fill="EEEEEE"/>
          </w:tcPr>
          <w:p>
            <w:pPr>
              <w:spacing w:after="0"/>
              <w:rPr>
                <w:sz w:val="19"/>
                <w:szCs w:val="19"/>
                <w:color w:val="auto"/>
              </w:rPr>
            </w:pPr>
          </w:p>
        </w:tc>
        <w:tc>
          <w:tcPr>
            <w:tcW w:w="152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7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16,346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22,309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i w:val="1"/>
          <w:iCs w:val="1"/>
          <w:color w:val="auto"/>
        </w:rPr>
        <w:t>Earnings Per Share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per share for the three-month periods ended March 31, 2013 and 2012 were calculated using the weighted average number of shares outstanding for the related period. The following table reconciles the number of shares used in the computations of basic and diluted earnings per share for the three-month periods ended March 31, 2013 and 2012:</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0" w:hanging="158"/>
        <w:spacing w:after="0" w:line="258"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right="680"/>
        <w:spacing w:after="0" w:line="341" w:lineRule="auto"/>
        <w:rPr>
          <w:sz w:val="20"/>
          <w:szCs w:val="20"/>
          <w:color w:val="auto"/>
        </w:rPr>
      </w:pPr>
      <w:r>
        <w:rPr>
          <w:rFonts w:ascii="Arial" w:cs="Arial" w:eastAsia="Arial" w:hAnsi="Arial"/>
          <w:sz w:val="16"/>
          <w:szCs w:val="16"/>
          <w:color w:val="auto"/>
        </w:rPr>
        <w:t>Incremental common shares attributable to exercise of outstanding options and warrants Weighted average number of common shares used to compute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28"/>
        </w:trPr>
        <w:tc>
          <w:tcPr>
            <w:tcW w:w="2440" w:type="dxa"/>
            <w:vAlign w:val="bottom"/>
            <w:gridSpan w:val="3"/>
          </w:tcPr>
          <w:p>
            <w:pPr>
              <w:ind w:left="1200"/>
              <w:spacing w:after="0"/>
              <w:rPr>
                <w:sz w:val="20"/>
                <w:szCs w:val="20"/>
                <w:color w:val="auto"/>
              </w:rPr>
            </w:pPr>
            <w:r>
              <w:rPr>
                <w:rFonts w:ascii="Arial" w:cs="Arial" w:eastAsia="Arial" w:hAnsi="Arial"/>
                <w:sz w:val="18"/>
                <w:szCs w:val="18"/>
                <w:b w:val="1"/>
                <w:bCs w:val="1"/>
                <w:color w:val="auto"/>
                <w:w w:val="98"/>
              </w:rPr>
              <w:t>(In thousands)</w:t>
            </w:r>
          </w:p>
        </w:tc>
        <w:tc>
          <w:tcPr>
            <w:tcW w:w="1100" w:type="dxa"/>
            <w:vAlign w:val="bottom"/>
          </w:tcPr>
          <w:p>
            <w:pPr>
              <w:spacing w:after="0"/>
              <w:rPr>
                <w:sz w:val="19"/>
                <w:szCs w:val="19"/>
                <w:color w:val="auto"/>
              </w:rPr>
            </w:pPr>
          </w:p>
        </w:tc>
      </w:tr>
      <w:tr>
        <w:trPr>
          <w:trHeight w:val="413"/>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20,073</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19,416</w:t>
            </w:r>
          </w:p>
        </w:tc>
      </w:tr>
      <w:tr>
        <w:trPr>
          <w:trHeight w:val="230"/>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11,551</w:t>
            </w:r>
          </w:p>
        </w:tc>
        <w:tc>
          <w:tcPr>
            <w:tcW w:w="3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r>
      <w:tr>
        <w:trPr>
          <w:trHeight w:val="223"/>
        </w:trPr>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31,624</w:t>
            </w:r>
          </w:p>
        </w:tc>
        <w:tc>
          <w:tcPr>
            <w:tcW w:w="3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22,601</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ectPr>
          <w:pgSz w:w="11900" w:h="16838" w:orient="portrait"/>
          <w:cols w:equalWidth="0" w:num="2">
            <w:col w:w="7060" w:space="720"/>
            <w:col w:w="3640"/>
          </w:cols>
          <w:pgMar w:left="240" w:top="877" w:right="239" w:bottom="1440" w:gutter="0" w:footer="0" w:header="0"/>
          <w:type w:val="continuous"/>
        </w:sectPr>
      </w:pP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periods ended March 31, 2013 and 2012 would have included an additional 1.3 million and 3.3 million shares, respectively, attributable to the exercise of outstanding options and warrants.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2008.</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anticipate that total unrecognized tax benefits will significantly change due to any settlements of audits or expirations of statutes of limitations over the next 12 months.</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However, since the fourth quarter of 2011, we have reported six consecutive quarters of increasing profitability, observed improvement in credit metrics, and produced reliable internal financial projections. Furthermore, we have demonstrated an ability to increase our volumes of contract purchases, grow our managed portfolio and obtain cost effective short and long-term financing for our finance receivables. As a result of these and other factors, we determined at December 31, 2012 that, based on the weight of the available objective evidence, it was more likely than not that we would generate sufficient future taxable income to utilize our net deferred tax assets. Accordingly, we reversed the related valuation allowance of $62.8 million in the fourth quarter of 2012.</w:t>
      </w:r>
    </w:p>
    <w:p>
      <w:pPr>
        <w:spacing w:after="0" w:line="16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Although realization is not assured, we believe that the realization of the recognized net deferred tax asset of $75.6 million as of March 31, 2013 is more likely than not based on forecasted future net earnings. Our net deferred tax asset of $75.6 million consists of approximately $62.4 million of net U.S. federal deferred tax assets and $13.2 million of net state deferred tax assets. The major components of the deferred tax asset are $62.5 million in net operating loss carryforwards and built in losses and $13.1 million in net deductions which have not yet been taken on a tax return. We estimate that we would need to generate approximately $189 million of taxable income during the applicable carryforward periods to realize fully our federal and state net deferred tax assets.</w:t>
      </w:r>
    </w:p>
    <w:p>
      <w:pPr>
        <w:spacing w:after="0" w:line="15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Stanwich Litigation. </w:t>
      </w:r>
      <w:r>
        <w:rPr>
          <w:rFonts w:ascii="Arial" w:cs="Arial" w:eastAsia="Arial" w:hAnsi="Arial"/>
          <w:sz w:val="18"/>
          <w:szCs w:val="18"/>
          <w:color w:val="auto"/>
        </w:rPr>
        <w:t>We were for some time a defendant in a class action (the “Stanwich Case”) brought in the California Superior Court, Los Angeles</w:t>
      </w:r>
      <w:r>
        <w:rPr>
          <w:rFonts w:ascii="Arial" w:cs="Arial" w:eastAsia="Arial" w:hAnsi="Arial"/>
          <w:sz w:val="18"/>
          <w:szCs w:val="18"/>
          <w:i w:val="1"/>
          <w:iCs w:val="1"/>
          <w:color w:val="auto"/>
        </w:rPr>
        <w:t xml:space="preserve"> </w:t>
      </w:r>
      <w:r>
        <w:rPr>
          <w:rFonts w:ascii="Arial" w:cs="Arial" w:eastAsia="Arial" w:hAnsi="Arial"/>
          <w:sz w:val="18"/>
          <w:szCs w:val="18"/>
          <w:color w:val="auto"/>
        </w:rPr>
        <w:t>County. The original plaintiffs in that case were persons entitled to receive regular payments (the “Settlement Payments”) pursuant to earlier settlements of claims, generally personal injury claims, against unrelated defendants. Stanwich Financial Services Corp. (“Stanwich”), an affiliate of the former chairman of our board of directors, is the entity that was obligated to pay the Settlement Payments. Stanwich defaulted on its payment obligations to the plaintiffs and in June 2001 filed for reorganization under the Bankruptcy Code, in the federal bankruptcy court in Connecticut. By February 2005, we had settled all claims brought against us in the Stanwich Case.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November 2001, one of the defendants in the Stanwich Case, Jonathan Pardee, asserted claims for indemnity against us in a separate action, which is now pending in federal district court in Rhode Island. We have filed counterclaims in the Rhode Island federal court against Mr. Pardee, and have filed a separate action against Mr. Pardee's Rhode Island attorneys, in the same court. The litigation between Mr. Pardee and us was stayed for several years through September 2011, awaiting resolution of an adversary action brought against Mr. Pardee in the bankruptcy court, which is hearing the bankruptcy of Stanwich.</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an agreement with the representative of creditors in the Stanwich bankruptcy, that adversary action has been dismissed. Under that agreement, we paid the bankruptcy estate $800,000 and abandoned our claims against the estate, while the estate has abandoned its adversary action against Mr. Pardee. With the dismissal of the adversary action, all known claims asserted against Mr. Pardee have been resolved without his incurring any liability. Accordingly, we believe that this resolution of the adversary action will result in limitation of our exposure to Mr. Pardee to no more than some portion of his attorneys fees incurred. The stay in the action against us in Rhode Island has been lifted, and both we and Mr. Pardee filed motions for summary judgment. The court ruled on those motions in February 2013, denying our motion, and granting Mr. Pardee’s motion as to liability. The issues remaining for trial are the extent of our obligation to indemnify Mr. Pardee. There is no trial date set, but our expectation is that a trial may be scheduled not earlier than December 2013.</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reader should consider that an adverse judgment against us in the Rhode Island case for indemnification, if in an amount materially in excess of any liability already recorded in respect thereof, could have a material adverse effect on our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routinely involved in various legal proceedings resulting from our consumer finance activities and practices, both continuing and discontinued. We believe that there are substantive legal defenses to such claims, and intend to defend them vigorously. There can be no assurance, however, as to their outcomes. We have recorded a liability as of March 31, 2013 that we believe represents a correct allowance for legal contingencies. The amount of losses that are at least reasonably possible above what has already been accrued for cannot be estimated. Any adverse judgment against us, if in an amount materially in excess of the recorded liability, could have a material adverse effect on our financial position or results of operations.</w:t>
      </w:r>
    </w:p>
    <w:p>
      <w:pPr>
        <w:spacing w:after="0" w:line="15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periods ended March 31, 2013 and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3060" w:type="dxa"/>
            <w:vAlign w:val="bottom"/>
            <w:gridSpan w:val="5"/>
          </w:tcPr>
          <w:p>
            <w:pPr>
              <w:jc w:val="center"/>
              <w:ind w:left="377"/>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60" w:type="dxa"/>
            <w:vAlign w:val="bottom"/>
            <w:gridSpan w:val="4"/>
          </w:tcPr>
          <w:p>
            <w:pPr>
              <w:jc w:val="center"/>
              <w:ind w:right="565"/>
              <w:spacing w:after="0"/>
              <w:rPr>
                <w:sz w:val="20"/>
                <w:szCs w:val="20"/>
                <w:color w:val="auto"/>
              </w:rPr>
            </w:pPr>
            <w:r>
              <w:rPr>
                <w:rFonts w:ascii="Arial" w:cs="Arial" w:eastAsia="Arial" w:hAnsi="Arial"/>
                <w:sz w:val="18"/>
                <w:szCs w:val="18"/>
                <w:b w:val="1"/>
                <w:bCs w:val="1"/>
                <w:color w:val="auto"/>
                <w:w w:val="96"/>
              </w:rPr>
              <w:t>March 31,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80" w:type="dxa"/>
            <w:vAlign w:val="bottom"/>
          </w:tcPr>
          <w:p>
            <w:pPr>
              <w:spacing w:after="0"/>
              <w:rPr>
                <w:sz w:val="20"/>
                <w:szCs w:val="20"/>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60" w:type="dxa"/>
            <w:vAlign w:val="bottom"/>
            <w:gridSpan w:val="4"/>
          </w:tcPr>
          <w:p>
            <w:pPr>
              <w:jc w:val="center"/>
              <w:ind w:right="565"/>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Service cost</w:t>
            </w:r>
          </w:p>
        </w:tc>
        <w:tc>
          <w:tcPr>
            <w:tcW w:w="1100" w:type="dxa"/>
            <w:vAlign w:val="bottom"/>
          </w:tcPr>
          <w:p>
            <w:pPr>
              <w:jc w:val="right"/>
              <w:ind w:right="93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11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 (asset)/obligation</w:t>
            </w:r>
          </w:p>
        </w:tc>
        <w:tc>
          <w:tcPr>
            <w:tcW w:w="11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Amortization of net (gain) / loss</w:t>
            </w:r>
          </w:p>
        </w:tc>
        <w:tc>
          <w:tcPr>
            <w:tcW w:w="1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23"/>
        </w:trPr>
        <w:tc>
          <w:tcPr>
            <w:tcW w:w="778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periodic cost (benefit)</w:t>
            </w:r>
          </w:p>
        </w:tc>
        <w:tc>
          <w:tcPr>
            <w:tcW w:w="1100" w:type="dxa"/>
            <w:vAlign w:val="bottom"/>
            <w:tcBorders>
              <w:top w:val="single" w:sz="8" w:color="auto"/>
              <w:bottom w:val="single" w:sz="8" w:color="auto"/>
            </w:tcBorders>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ind w:right="9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make any contributions to the Plan during the three-month period ended March 31, 2013 and we anticipate making contributions in the amount of $494,000 for the remainder of 2013.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Fair Value Measurements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5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At the time of issuance, five warrants issued between 2008 and 2010 in conjunction with various debt financing transactions contained features that make them subject to derivative accounting. We valued these warrants using a binomial valuation model using a weighted average volatility assumption of 41%, weighted average term of 8 years and a risk free rate of 3.3%. On March 29, 2012 we agreed with the holders to amend three of the five warrants to remove the price reset features that resulted in derivative accounting. On the date of the amendment, we valued each of the three warrants using a binomial pricing model as described above. The aggregate value of the three amended warrants of $1.1 million was then reclassified from Accounts Payable to Common Stock. On June 25, 2012 we agreed with the holder to amend one other warrant that contained the “down round,” or price reset, features to remove those specific price reset terms. The $250,000 aggregate value of this amended warrant was reclassified from Accounts Payable to Common Stock on the date of the amendment. The fifth warrant with the “down round” feature was exercised on February 22, 2013. The $583,000 intrinsic value of this warrant was reclassified from Accounts Payable to Common Stock on the date of the exercise. As of March 31, 2013 all five of the warrants issued that previously contained price reset features have either been amended or exercised and are no longer subject to quarterly valuations.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September 2008 we sold automobile contracts in a securitization that was structured as a sale for financial accounting purposes. In that sale, we retained both securities and a residual interest in the transaction that are measured at fair value. In September 2010 we took advantage of improvement in the market for asset-backed securities by re-securitizing the underlying receivables from our unrated September 2008 securitization. We also sold the securities retained from the September 2008 transaction. We describe below the valuation methodologies we use for the securities retained and the residual interest in the cash flows of the transaction, as well as the general classification of such instruments pursuant to the valuation hierarchy. The residual interest in such securitization is $3.5 million as of March 31, 2013 and $4.8 million as of December 31, 2012 and is classified as level 3 in the three-level valuation hierarchy. We determine the value of that residual interest using a discounted cash flow model that includes estimates for prepayments and losses. We use a discount rate of 20% per annum and a cumulative net loss rate of 14%. The assumptions we use are based on historical performance of automobile contracts we have originated and serviced in the past, adjusted for current market conditions. No gain or loss was recorded as a result of the re-securitization transaction described above.</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 The table below presents a reconciliation of the acquired finance receivables and related debt measured at fair value on a recurring basis using significant unobservable inputs: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940" w:type="dxa"/>
            <w:vAlign w:val="bottom"/>
            <w:gridSpan w:val="5"/>
          </w:tcPr>
          <w:p>
            <w:pPr>
              <w:jc w:val="center"/>
              <w:ind w:left="500"/>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365"/>
              <w:spacing w:after="0"/>
              <w:rPr>
                <w:sz w:val="20"/>
                <w:szCs w:val="20"/>
                <w:color w:val="auto"/>
              </w:rPr>
            </w:pPr>
            <w:r>
              <w:rPr>
                <w:rFonts w:ascii="Arial" w:cs="Arial" w:eastAsia="Arial" w:hAnsi="Arial"/>
                <w:sz w:val="18"/>
                <w:szCs w:val="18"/>
                <w:b w:val="1"/>
                <w:bCs w:val="1"/>
                <w:color w:val="auto"/>
                <w:w w:val="96"/>
              </w:rPr>
              <w:t>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20" w:type="dxa"/>
            <w:vAlign w:val="bottom"/>
            <w:gridSpan w:val="4"/>
          </w:tcPr>
          <w:p>
            <w:pPr>
              <w:jc w:val="center"/>
              <w:ind w:right="345"/>
              <w:spacing w:after="0"/>
              <w:rPr>
                <w:sz w:val="20"/>
                <w:szCs w:val="20"/>
                <w:color w:val="auto"/>
              </w:rPr>
            </w:pPr>
            <w:r>
              <w:rPr>
                <w:rFonts w:ascii="Arial" w:cs="Arial" w:eastAsia="Arial" w:hAnsi="Arial"/>
                <w:sz w:val="18"/>
                <w:szCs w:val="18"/>
                <w:b w:val="1"/>
                <w:bCs w:val="1"/>
                <w:color w:val="auto"/>
                <w:w w:val="88"/>
              </w:rPr>
              <w:t>(in thousands)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Receivables Measured at Fair Value:</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59,668</w:t>
            </w:r>
          </w:p>
        </w:tc>
        <w:tc>
          <w:tcPr>
            <w:tcW w:w="114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Payments on finance receivables at fair value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2"/>
              </w:rPr>
              <w:t>(16,519)</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5"/>
              </w:rPr>
              <w:t>(36,500)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Charge-offs on finance receivables at fair value</w:t>
            </w:r>
          </w:p>
        </w:tc>
        <w:tc>
          <w:tcPr>
            <w:tcW w:w="10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Discount accretion</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886</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 to fair value</w:t>
            </w:r>
          </w:p>
        </w:tc>
        <w:tc>
          <w:tcPr>
            <w:tcW w:w="10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20" w:type="dxa"/>
            <w:vAlign w:val="bottom"/>
            <w:tcBorders>
              <w:top w:val="single" w:sz="8" w:color="auto"/>
              <w:bottom w:val="single" w:sz="8" w:color="auto"/>
            </w:tcBorders>
            <w:shd w:val="clear" w:color="auto" w:fill="EEEEEE"/>
          </w:tcPr>
          <w:p>
            <w:pPr>
              <w:jc w:val="right"/>
              <w:ind w:right="8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43,021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126,923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Debt Secured by Finance Receivables Measured at Fair Value:</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20" w:type="dxa"/>
            <w:vAlign w:val="bottom"/>
            <w:shd w:val="clear" w:color="auto" w:fill="EEEEEE"/>
          </w:tcPr>
          <w:p>
            <w:pPr>
              <w:jc w:val="right"/>
              <w:ind w:right="86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57,107</w:t>
            </w:r>
          </w:p>
        </w:tc>
        <w:tc>
          <w:tcPr>
            <w:tcW w:w="1140" w:type="dxa"/>
            <w:vAlign w:val="bottom"/>
            <w:gridSpan w:val="2"/>
            <w:shd w:val="clear" w:color="auto" w:fill="EEEEEE"/>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9"/>
              </w:rPr>
              <w:t>166,828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Principal payments on debt at fair value</w:t>
            </w:r>
          </w:p>
        </w:tc>
        <w:tc>
          <w:tcPr>
            <w:tcW w:w="10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(17,930)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(39,191)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Premium accretion</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1,104</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 to fair value</w:t>
            </w:r>
          </w:p>
        </w:tc>
        <w:tc>
          <w:tcPr>
            <w:tcW w:w="10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40,387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133,017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Reduction for principal payments collected and payable</w:t>
            </w:r>
          </w:p>
        </w:tc>
        <w:tc>
          <w:tcPr>
            <w:tcW w:w="10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(5,687)</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Adjusted balance at end of period</w:t>
            </w:r>
          </w:p>
        </w:tc>
        <w:tc>
          <w:tcPr>
            <w:tcW w:w="1020" w:type="dxa"/>
            <w:vAlign w:val="bottom"/>
            <w:tcBorders>
              <w:top w:val="single" w:sz="8" w:color="auto"/>
              <w:bottom w:val="single" w:sz="8" w:color="auto"/>
            </w:tcBorders>
            <w:shd w:val="clear" w:color="auto" w:fill="EEEEEE"/>
          </w:tcPr>
          <w:p>
            <w:pPr>
              <w:jc w:val="right"/>
              <w:ind w:right="8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34,700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119,747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compares the fair values of the Fireside receivables and the related secured debt to their contractual balances for the periods shown: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2013</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430"/>
              <w:spacing w:after="0" w:line="205" w:lineRule="exact"/>
              <w:rPr>
                <w:sz w:val="20"/>
                <w:szCs w:val="20"/>
                <w:color w:val="auto"/>
              </w:rPr>
            </w:pPr>
            <w:r>
              <w:rPr>
                <w:rFonts w:ascii="Arial" w:cs="Arial" w:eastAsia="Arial" w:hAnsi="Arial"/>
                <w:sz w:val="18"/>
                <w:szCs w:val="18"/>
                <w:b w:val="1"/>
                <w:bCs w:val="1"/>
                <w:color w:val="auto"/>
              </w:rPr>
              <w:t>Contractual</w:t>
            </w:r>
          </w:p>
        </w:tc>
        <w:tc>
          <w:tcPr>
            <w:tcW w:w="680" w:type="dxa"/>
            <w:vAlign w:val="bottom"/>
          </w:tcPr>
          <w:p>
            <w:pPr>
              <w:spacing w:after="0"/>
              <w:rPr>
                <w:sz w:val="17"/>
                <w:szCs w:val="17"/>
                <w:color w:val="auto"/>
              </w:rPr>
            </w:pPr>
          </w:p>
        </w:tc>
        <w:tc>
          <w:tcPr>
            <w:tcW w:w="1100" w:type="dxa"/>
            <w:vAlign w:val="bottom"/>
          </w:tcPr>
          <w:p>
            <w:pPr>
              <w:jc w:val="right"/>
              <w:ind w:right="550"/>
              <w:spacing w:after="0" w:line="205"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90"/>
              <w:spacing w:after="0" w:line="205" w:lineRule="exact"/>
              <w:rPr>
                <w:sz w:val="20"/>
                <w:szCs w:val="20"/>
                <w:color w:val="auto"/>
              </w:rPr>
            </w:pPr>
            <w:r>
              <w:rPr>
                <w:rFonts w:ascii="Arial" w:cs="Arial" w:eastAsia="Arial" w:hAnsi="Arial"/>
                <w:sz w:val="18"/>
                <w:szCs w:val="18"/>
                <w:b w:val="1"/>
                <w:bCs w:val="1"/>
                <w:color w:val="auto"/>
              </w:rPr>
              <w:t>Contractual</w:t>
            </w:r>
          </w:p>
        </w:tc>
        <w:tc>
          <w:tcPr>
            <w:tcW w:w="740" w:type="dxa"/>
            <w:vAlign w:val="bottom"/>
          </w:tcPr>
          <w:p>
            <w:pPr>
              <w:spacing w:after="0"/>
              <w:rPr>
                <w:sz w:val="17"/>
                <w:szCs w:val="17"/>
                <w:color w:val="auto"/>
              </w:rPr>
            </w:pPr>
          </w:p>
        </w:tc>
        <w:tc>
          <w:tcPr>
            <w:tcW w:w="1020" w:type="dxa"/>
            <w:vAlign w:val="bottom"/>
          </w:tcPr>
          <w:p>
            <w:pPr>
              <w:jc w:val="center"/>
              <w:ind w:right="4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Balance</w:t>
            </w:r>
          </w:p>
        </w:tc>
        <w:tc>
          <w:tcPr>
            <w:tcW w:w="680" w:type="dxa"/>
            <w:vAlign w:val="bottom"/>
          </w:tcPr>
          <w:p>
            <w:pPr>
              <w:spacing w:after="0"/>
              <w:rPr>
                <w:sz w:val="20"/>
                <w:szCs w:val="20"/>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Balance</w:t>
            </w:r>
          </w:p>
        </w:tc>
        <w:tc>
          <w:tcPr>
            <w:tcW w:w="740" w:type="dxa"/>
            <w:vAlign w:val="bottom"/>
          </w:tcPr>
          <w:p>
            <w:pPr>
              <w:spacing w:after="0"/>
              <w:rPr>
                <w:sz w:val="20"/>
                <w:szCs w:val="20"/>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5"/>
          </w:tcPr>
          <w:p>
            <w:pPr>
              <w:jc w:val="right"/>
              <w:ind w:right="131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43,284</w:t>
            </w:r>
          </w:p>
        </w:tc>
        <w:tc>
          <w:tcPr>
            <w:tcW w:w="68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43,021</w:t>
            </w: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60,804</w:t>
            </w:r>
          </w:p>
        </w:tc>
        <w:tc>
          <w:tcPr>
            <w:tcW w:w="74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22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23,466</w:t>
            </w:r>
          </w:p>
        </w:tc>
        <w:tc>
          <w:tcPr>
            <w:tcW w:w="6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40,387</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41,365</w:t>
            </w:r>
          </w:p>
        </w:tc>
        <w:tc>
          <w:tcPr>
            <w:tcW w:w="7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Repossessed vehicle inventory, which is included in Other Assets on our balance sheet, is measured at fair value using level 2 assumptions based on our actual loss experience on sale of repossessed vehicles. At March 31, 2013, the finance receivables related to the repossessed vehicles in inventory totaled $14.2 million. We have applied a valuation adjustment of $7.2 million, which is based on a recovery rate of 49%, resulting in an estimated fair value and carrying amount of $7.0 million. The fair value and carrying amount of the repossessed inventory at December 31, 2012 was $5.7 million after applying a valuation adjustment of $6.4 million.</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transfers in or out of level 1 or level 2 assets and liabilities for the three months ended March 31, 2013 and 2012. We have no level 3 assets that are measured at fair value on a non-recurring basis. The table below presents a reconciliation for level 3 assets measured at fair value on a recurring basis using significant unobservable inputs: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000" w:type="dxa"/>
            <w:vAlign w:val="bottom"/>
            <w:gridSpan w:val="5"/>
          </w:tcPr>
          <w:p>
            <w:pPr>
              <w:jc w:val="center"/>
              <w:ind w:left="44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490"/>
              <w:spacing w:after="0"/>
              <w:rPr>
                <w:sz w:val="20"/>
                <w:szCs w:val="20"/>
                <w:color w:val="auto"/>
              </w:rPr>
            </w:pPr>
            <w:r>
              <w:rPr>
                <w:rFonts w:ascii="Arial" w:cs="Arial" w:eastAsia="Arial" w:hAnsi="Arial"/>
                <w:sz w:val="18"/>
                <w:szCs w:val="18"/>
                <w:b w:val="1"/>
                <w:bCs w:val="1"/>
                <w:color w:val="auto"/>
                <w:w w:val="96"/>
              </w:rPr>
              <w:t>March 31,</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40" w:type="dxa"/>
            <w:vAlign w:val="bottom"/>
            <w:gridSpan w:val="4"/>
          </w:tcPr>
          <w:p>
            <w:pPr>
              <w:jc w:val="center"/>
              <w:ind w:right="470"/>
              <w:spacing w:after="0"/>
              <w:rPr>
                <w:sz w:val="20"/>
                <w:szCs w:val="20"/>
                <w:color w:val="auto"/>
              </w:rPr>
            </w:pPr>
            <w:r>
              <w:rPr>
                <w:rFonts w:ascii="Arial" w:cs="Arial" w:eastAsia="Arial" w:hAnsi="Arial"/>
                <w:sz w:val="18"/>
                <w:szCs w:val="18"/>
                <w:b w:val="1"/>
                <w:bCs w:val="1"/>
                <w:color w:val="auto"/>
                <w:w w:val="88"/>
              </w:rPr>
              <w:t>(in thousands)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in Securitizations:</w:t>
            </w: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60" w:type="dxa"/>
            <w:vAlign w:val="bottom"/>
          </w:tcPr>
          <w:p>
            <w:pPr>
              <w:jc w:val="right"/>
              <w:ind w:right="9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4,824</w:t>
            </w:r>
          </w:p>
        </w:tc>
        <w:tc>
          <w:tcPr>
            <w:tcW w:w="1040" w:type="dxa"/>
            <w:vAlign w:val="bottom"/>
            <w:gridSpan w:val="2"/>
          </w:tcPr>
          <w:p>
            <w:pPr>
              <w:jc w:val="right"/>
              <w:ind w:right="9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Cash paid (received) during period</w:t>
            </w:r>
          </w:p>
        </w:tc>
        <w:tc>
          <w:tcPr>
            <w:tcW w:w="1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(1,319)</w:t>
            </w:r>
          </w:p>
        </w:tc>
        <w:tc>
          <w:tcPr>
            <w:tcW w:w="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Included in earnings</w:t>
            </w:r>
          </w:p>
        </w:tc>
        <w:tc>
          <w:tcPr>
            <w:tcW w:w="10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60" w:type="dxa"/>
            <w:vAlign w:val="bottom"/>
            <w:tcBorders>
              <w:top w:val="single" w:sz="8" w:color="auto"/>
              <w:bottom w:val="single" w:sz="8" w:color="auto"/>
            </w:tcBorders>
            <w:shd w:val="clear" w:color="auto" w:fill="EEEEEE"/>
          </w:tcPr>
          <w:p>
            <w:pPr>
              <w:jc w:val="right"/>
              <w:ind w:right="90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3,505</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4,612</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Warrant Derivative Liability:</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60" w:type="dxa"/>
            <w:vAlign w:val="bottom"/>
            <w:shd w:val="clear" w:color="auto" w:fill="EEEEEE"/>
          </w:tcPr>
          <w:p>
            <w:pPr>
              <w:jc w:val="right"/>
              <w:ind w:right="9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355</w:t>
            </w:r>
          </w:p>
        </w:tc>
        <w:tc>
          <w:tcPr>
            <w:tcW w:w="1040" w:type="dxa"/>
            <w:vAlign w:val="bottom"/>
            <w:gridSpan w:val="2"/>
            <w:shd w:val="clear" w:color="auto" w:fill="EEEEEE"/>
          </w:tcPr>
          <w:p>
            <w:pPr>
              <w:jc w:val="right"/>
              <w:ind w:right="9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Included in earnings</w:t>
            </w:r>
          </w:p>
        </w:tc>
        <w:tc>
          <w:tcPr>
            <w:tcW w:w="10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Reclassification to equity</w:t>
            </w:r>
          </w:p>
        </w:tc>
        <w:tc>
          <w:tcPr>
            <w:tcW w:w="106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(583)</w:t>
            </w:r>
          </w:p>
        </w:tc>
        <w:tc>
          <w:tcPr>
            <w:tcW w:w="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6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6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certain qualitative information about our level 3 fair value measurements for assets and liabilities carried at fair value: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Pr>
          <w:p>
            <w:pPr>
              <w:spacing w:after="0"/>
              <w:rPr>
                <w:sz w:val="20"/>
                <w:szCs w:val="20"/>
                <w:color w:val="auto"/>
              </w:rPr>
            </w:pPr>
          </w:p>
        </w:tc>
        <w:tc>
          <w:tcPr>
            <w:tcW w:w="23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Fair Values as of</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Valuation</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2600" w:type="dxa"/>
            <w:vAlign w:val="bottom"/>
            <w:gridSpan w:val="4"/>
          </w:tcPr>
          <w:p>
            <w:pPr>
              <w:ind w:left="80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330"/>
              <w:spacing w:after="0" w:line="205" w:lineRule="exact"/>
              <w:rPr>
                <w:sz w:val="20"/>
                <w:szCs w:val="20"/>
                <w:color w:val="auto"/>
              </w:rPr>
            </w:pPr>
            <w:r>
              <w:rPr>
                <w:rFonts w:ascii="Arial" w:cs="Arial" w:eastAsia="Arial" w:hAnsi="Arial"/>
                <w:sz w:val="18"/>
                <w:szCs w:val="18"/>
                <w:b w:val="1"/>
                <w:bCs w:val="1"/>
                <w:color w:val="auto"/>
              </w:rPr>
              <w:t>March 31,</w:t>
            </w:r>
          </w:p>
        </w:tc>
        <w:tc>
          <w:tcPr>
            <w:tcW w:w="1500" w:type="dxa"/>
            <w:vAlign w:val="bottom"/>
            <w:tcBorders>
              <w:top w:val="single" w:sz="8" w:color="auto"/>
            </w:tcBorders>
            <w:gridSpan w:val="2"/>
          </w:tcPr>
          <w:p>
            <w:pPr>
              <w:jc w:val="right"/>
              <w:ind w:right="90"/>
              <w:spacing w:after="0" w:line="205" w:lineRule="exact"/>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93"/>
              </w:rPr>
              <w:t>March 31,</w:t>
            </w:r>
          </w:p>
        </w:tc>
        <w:tc>
          <w:tcPr>
            <w:tcW w:w="11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Techniques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(In thousands)</w:t>
            </w: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Finance receivables</w:t>
            </w: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43,021</w:t>
            </w:r>
          </w:p>
        </w:tc>
        <w:tc>
          <w:tcPr>
            <w:tcW w:w="1000" w:type="dxa"/>
            <w:vAlign w:val="bottom"/>
          </w:tcPr>
          <w:p>
            <w:pPr>
              <w:jc w:val="right"/>
              <w:ind w:right="67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w w:val="87"/>
              </w:rPr>
              <w:t>59,668</w:t>
            </w:r>
          </w:p>
        </w:tc>
        <w:tc>
          <w:tcPr>
            <w:tcW w:w="17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Discounted cash</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Discount rate</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20.4%</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Arial" w:cs="Arial" w:eastAsia="Arial" w:hAnsi="Arial"/>
                <w:sz w:val="18"/>
                <w:szCs w:val="18"/>
                <w:color w:val="auto"/>
              </w:rPr>
              <w:t>measured at fair value</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flows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9"/>
              </w:rPr>
              <w:t>Cumulative net losses</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Monthly average</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0.5%</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prepayments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Residual interest in</w:t>
            </w:r>
          </w:p>
        </w:tc>
        <w:tc>
          <w:tcPr>
            <w:tcW w:w="200" w:type="dxa"/>
            <w:vAlign w:val="bottom"/>
          </w:tcPr>
          <w:p>
            <w:pPr>
              <w:spacing w:after="0"/>
              <w:rPr>
                <w:sz w:val="17"/>
                <w:szCs w:val="17"/>
                <w:color w:val="auto"/>
              </w:rPr>
            </w:pPr>
          </w:p>
        </w:tc>
        <w:tc>
          <w:tcPr>
            <w:tcW w:w="13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3,505</w:t>
            </w:r>
          </w:p>
        </w:tc>
        <w:tc>
          <w:tcPr>
            <w:tcW w:w="1000" w:type="dxa"/>
            <w:vAlign w:val="bottom"/>
          </w:tcPr>
          <w:p>
            <w:pPr>
              <w:spacing w:after="0"/>
              <w:rPr>
                <w:sz w:val="17"/>
                <w:szCs w:val="17"/>
                <w:color w:val="auto"/>
              </w:rPr>
            </w:pPr>
          </w:p>
        </w:tc>
        <w:tc>
          <w:tcPr>
            <w:tcW w:w="7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4,824</w:t>
            </w:r>
          </w:p>
        </w:tc>
        <w:tc>
          <w:tcPr>
            <w:tcW w:w="17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Discounted cash</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Discount rate</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20.0%</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Arial" w:cs="Arial" w:eastAsia="Arial" w:hAnsi="Arial"/>
                <w:sz w:val="18"/>
                <w:szCs w:val="18"/>
                <w:color w:val="auto"/>
              </w:rPr>
              <w:t>securitizations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flows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9"/>
              </w:rPr>
              <w:t>Cumulative net losses</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Monthly average</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0.5%</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prepayments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9"/>
              </w:rPr>
              <w:t>Warrant derivative liability</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355</w:t>
            </w:r>
          </w:p>
        </w:tc>
        <w:tc>
          <w:tcPr>
            <w:tcW w:w="17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8"/>
              </w:rPr>
              <w:t>Binomial</w:t>
            </w:r>
          </w:p>
        </w:tc>
        <w:tc>
          <w:tcPr>
            <w:tcW w:w="180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2"/>
              </w:rPr>
              <w:t>Stock price</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$5.36/sh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Volatility</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1"/>
              </w:rPr>
              <w:t>Risk free rate</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Debt secured by</w:t>
            </w:r>
          </w:p>
        </w:tc>
        <w:tc>
          <w:tcPr>
            <w:tcW w:w="200" w:type="dxa"/>
            <w:vAlign w:val="bottom"/>
            <w:shd w:val="clear" w:color="auto" w:fill="EEEEEE"/>
          </w:tcPr>
          <w:p>
            <w:pPr>
              <w:spacing w:after="0"/>
              <w:rPr>
                <w:sz w:val="17"/>
                <w:szCs w:val="17"/>
                <w:color w:val="auto"/>
              </w:rPr>
            </w:pPr>
          </w:p>
        </w:tc>
        <w:tc>
          <w:tcPr>
            <w:tcW w:w="1300" w:type="dxa"/>
            <w:vAlign w:val="bottom"/>
            <w:shd w:val="clear" w:color="auto" w:fill="EEEEEE"/>
          </w:tcPr>
          <w:p>
            <w:pPr>
              <w:jc w:val="right"/>
              <w:ind w:right="30"/>
              <w:spacing w:after="0" w:line="201" w:lineRule="exact"/>
              <w:rPr>
                <w:sz w:val="20"/>
                <w:szCs w:val="20"/>
                <w:color w:val="auto"/>
              </w:rPr>
            </w:pPr>
            <w:r>
              <w:rPr>
                <w:rFonts w:ascii="Arial" w:cs="Arial" w:eastAsia="Arial" w:hAnsi="Arial"/>
                <w:sz w:val="18"/>
                <w:szCs w:val="18"/>
                <w:color w:val="auto"/>
              </w:rPr>
              <w:t>40,387</w:t>
            </w:r>
          </w:p>
        </w:tc>
        <w:tc>
          <w:tcPr>
            <w:tcW w:w="1000" w:type="dxa"/>
            <w:vAlign w:val="bottom"/>
            <w:shd w:val="clear" w:color="auto" w:fill="EEEEEE"/>
          </w:tcPr>
          <w:p>
            <w:pPr>
              <w:spacing w:after="0"/>
              <w:rPr>
                <w:sz w:val="17"/>
                <w:szCs w:val="17"/>
                <w:color w:val="auto"/>
              </w:rPr>
            </w:pPr>
          </w:p>
        </w:tc>
        <w:tc>
          <w:tcPr>
            <w:tcW w:w="740" w:type="dxa"/>
            <w:vAlign w:val="bottom"/>
            <w:gridSpan w:val="2"/>
            <w:shd w:val="clear" w:color="auto" w:fill="EEEEEE"/>
          </w:tcPr>
          <w:p>
            <w:pPr>
              <w:jc w:val="right"/>
              <w:ind w:right="240"/>
              <w:spacing w:after="0" w:line="201" w:lineRule="exact"/>
              <w:rPr>
                <w:sz w:val="20"/>
                <w:szCs w:val="20"/>
                <w:color w:val="auto"/>
              </w:rPr>
            </w:pPr>
            <w:r>
              <w:rPr>
                <w:rFonts w:ascii="Arial" w:cs="Arial" w:eastAsia="Arial" w:hAnsi="Arial"/>
                <w:sz w:val="18"/>
                <w:szCs w:val="18"/>
                <w:color w:val="auto"/>
                <w:w w:val="87"/>
              </w:rPr>
              <w:t>57,107</w:t>
            </w:r>
          </w:p>
        </w:tc>
        <w:tc>
          <w:tcPr>
            <w:tcW w:w="170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Discounted cash</w:t>
            </w:r>
          </w:p>
        </w:tc>
        <w:tc>
          <w:tcPr>
            <w:tcW w:w="1800" w:type="dxa"/>
            <w:vAlign w:val="bottom"/>
            <w:gridSpan w:val="2"/>
            <w:shd w:val="clear" w:color="auto" w:fill="EEEEEE"/>
          </w:tcPr>
          <w:p>
            <w:pPr>
              <w:ind w:left="380"/>
              <w:spacing w:after="0" w:line="201" w:lineRule="exact"/>
              <w:rPr>
                <w:sz w:val="20"/>
                <w:szCs w:val="20"/>
                <w:color w:val="auto"/>
              </w:rPr>
            </w:pPr>
            <w:r>
              <w:rPr>
                <w:rFonts w:ascii="Arial" w:cs="Arial" w:eastAsia="Arial" w:hAnsi="Arial"/>
                <w:sz w:val="18"/>
                <w:szCs w:val="18"/>
                <w:color w:val="auto"/>
              </w:rPr>
              <w:t>Discount rate</w:t>
            </w:r>
          </w:p>
        </w:tc>
        <w:tc>
          <w:tcPr>
            <w:tcW w:w="1360" w:type="dxa"/>
            <w:vAlign w:val="bottom"/>
            <w:gridSpan w:val="2"/>
            <w:shd w:val="clear" w:color="auto" w:fill="EEEEEE"/>
          </w:tcPr>
          <w:p>
            <w:pPr>
              <w:jc w:val="right"/>
              <w:ind w:right="220"/>
              <w:spacing w:after="0" w:line="201" w:lineRule="exact"/>
              <w:rPr>
                <w:sz w:val="20"/>
                <w:szCs w:val="20"/>
                <w:color w:val="auto"/>
              </w:rPr>
            </w:pPr>
            <w:r>
              <w:rPr>
                <w:rFonts w:ascii="Arial" w:cs="Arial" w:eastAsia="Arial" w:hAnsi="Arial"/>
                <w:sz w:val="18"/>
                <w:szCs w:val="18"/>
                <w:color w:val="auto"/>
              </w:rPr>
              <w:t>16.2%</w:t>
            </w:r>
          </w:p>
        </w:tc>
        <w:tc>
          <w:tcPr>
            <w:tcW w:w="124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w w:val="94"/>
              </w:rPr>
              <w:t>receivables measured at</w:t>
            </w:r>
          </w:p>
        </w:tc>
        <w:tc>
          <w:tcPr>
            <w:tcW w:w="2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7"/>
              </w:rPr>
              <w:t>flows</w:t>
            </w:r>
          </w:p>
        </w:tc>
        <w:tc>
          <w:tcPr>
            <w:tcW w:w="1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fair value</w:t>
            </w:r>
          </w:p>
        </w:tc>
        <w:tc>
          <w:tcPr>
            <w:tcW w:w="200" w:type="dxa"/>
            <w:vAlign w:val="bottom"/>
            <w:shd w:val="clear" w:color="auto" w:fill="EEEEEE"/>
          </w:tcPr>
          <w:p>
            <w:pPr>
              <w:spacing w:after="0"/>
              <w:rPr>
                <w:sz w:val="20"/>
                <w:szCs w:val="20"/>
                <w:color w:val="auto"/>
              </w:rPr>
            </w:pPr>
          </w:p>
        </w:tc>
        <w:tc>
          <w:tcPr>
            <w:tcW w:w="13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7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60" w:type="dxa"/>
            <w:vAlign w:val="bottom"/>
            <w:gridSpan w:val="16"/>
          </w:tcPr>
          <w:p>
            <w:pPr>
              <w:ind w:left="140"/>
              <w:spacing w:after="0"/>
              <w:rPr>
                <w:sz w:val="20"/>
                <w:szCs w:val="20"/>
                <w:color w:val="auto"/>
              </w:rPr>
            </w:pPr>
            <w:r>
              <w:rPr>
                <w:rFonts w:ascii="Arial" w:cs="Arial" w:eastAsia="Arial" w:hAnsi="Arial"/>
                <w:sz w:val="18"/>
                <w:szCs w:val="18"/>
                <w:color w:val="auto"/>
              </w:rPr>
              <w:t>The estimated fair values of financial assets and liabilities at March 31, 2013 and December 31, 2012, were as follows: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As of March 31, 2013</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13,866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13,866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13,866</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139,393</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139,393</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139,393</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832,549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822,921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822,921</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43,021</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43,021</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43,021</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3,505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3,505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10,602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10,602</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10,602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26,676</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26,676</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26,676</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3,077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3,077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13,773</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13,773</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at fair value</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40,387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40,387</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40,387</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901,679</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913,591</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913,591</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Senior secured debt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50,789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50,789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50,789</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23,558</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23,558</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23,558</w:t>
            </w:r>
          </w:p>
        </w:tc>
        <w:tc>
          <w:tcPr>
            <w:tcW w:w="0" w:type="dxa"/>
            <w:vAlign w:val="bottom"/>
          </w:tcPr>
          <w:p>
            <w:pPr>
              <w:spacing w:after="0"/>
              <w:rPr>
                <w:sz w:val="1"/>
                <w:szCs w:val="1"/>
                <w:color w:val="auto"/>
              </w:rPr>
            </w:pPr>
          </w:p>
        </w:tc>
      </w:tr>
      <w:tr>
        <w:trPr>
          <w:trHeight w:val="662"/>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As of December 31, 2012</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12,966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12,966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104,445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104,445</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104,445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744,749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740,511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740,511</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59,668</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59,668</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4,824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4,824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10,411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10,411</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10,411</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Warrant derivative liability</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355</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21,731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21,731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21,731</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2,795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2,795</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13,773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13,773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at fair 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57,107</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57,107</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792,497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803,290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803,290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Senior secured debt</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50,135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50,135</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23,281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23,281</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r>
        <w:trPr>
          <w:trHeight w:val="850"/>
        </w:trPr>
        <w:tc>
          <w:tcPr>
            <w:tcW w:w="1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March 31, 2013 and December 31, 2012,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in Securitizations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is estimated by discounting future cash flows using credit and discount rates that we believe reflect the estimated credit, interest rate and prepayment risks associated with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Derivative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method used to estimate fair value is described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Senior Secured Debt and Subordinated Renewable Notes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reflects the current market rates.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low incomes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vehicle purchase money loans. In this report, we refer to all of such contracts and loans as "automobile contracts."</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March 31, 2013, we have purchased a total of approximately $9.8 billion of automobile contracts from dealers. In addition, we obtained a total of approximately $842.0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5"/>
          </w:tcPr>
          <w:p>
            <w:pPr>
              <w:ind w:left="10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180"/>
              <w:spacing w:after="0" w:line="191" w:lineRule="exact"/>
              <w:rPr>
                <w:sz w:val="20"/>
                <w:szCs w:val="20"/>
                <w:color w:val="auto"/>
              </w:rPr>
            </w:pPr>
            <w:r>
              <w:rPr>
                <w:rFonts w:ascii="Arial" w:cs="Arial" w:eastAsia="Arial" w:hAnsi="Arial"/>
                <w:sz w:val="18"/>
                <w:szCs w:val="18"/>
                <w:b w:val="1"/>
                <w:bCs w:val="1"/>
                <w:color w:val="auto"/>
              </w:rPr>
              <w:t>Contracts</w:t>
            </w: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20" w:type="dxa"/>
            <w:vAlign w:val="bottom"/>
          </w:tcPr>
          <w:p>
            <w:pPr>
              <w:spacing w:after="0"/>
              <w:rPr>
                <w:sz w:val="16"/>
                <w:szCs w:val="16"/>
                <w:color w:val="auto"/>
              </w:rPr>
            </w:pPr>
          </w:p>
        </w:tc>
      </w:tr>
      <w:tr>
        <w:trPr>
          <w:trHeight w:val="234"/>
        </w:trPr>
        <w:tc>
          <w:tcPr>
            <w:tcW w:w="2940" w:type="dxa"/>
            <w:vAlign w:val="bottom"/>
          </w:tcPr>
          <w:p>
            <w:pPr>
              <w:jc w:val="right"/>
              <w:ind w:right="1130"/>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0"/>
                <w:szCs w:val="20"/>
                <w:color w:val="auto"/>
              </w:rPr>
            </w:pP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rPr>
              <w:t>Purchased in Period</w:t>
            </w:r>
          </w:p>
        </w:tc>
        <w:tc>
          <w:tcPr>
            <w:tcW w:w="10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at Period End</w:t>
            </w:r>
          </w:p>
        </w:tc>
      </w:tr>
      <w:tr>
        <w:trPr>
          <w:trHeight w:val="210"/>
        </w:trPr>
        <w:tc>
          <w:tcPr>
            <w:tcW w:w="2940" w:type="dxa"/>
            <w:vAlign w:val="bottom"/>
            <w:tcBorders>
              <w:top w:val="single" w:sz="8" w:color="auto"/>
            </w:tcBorders>
            <w:shd w:val="clear" w:color="auto" w:fill="EEEEEE"/>
          </w:tcPr>
          <w:p>
            <w:pPr>
              <w:jc w:val="right"/>
              <w:ind w:right="1150"/>
              <w:spacing w:after="0"/>
              <w:rPr>
                <w:sz w:val="20"/>
                <w:szCs w:val="20"/>
                <w:color w:val="auto"/>
              </w:rPr>
            </w:pPr>
            <w:r>
              <w:rPr>
                <w:rFonts w:ascii="Arial" w:cs="Arial" w:eastAsia="Arial" w:hAnsi="Arial"/>
                <w:sz w:val="18"/>
                <w:szCs w:val="18"/>
                <w:color w:val="333333"/>
              </w:rPr>
              <w:t>2008</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940" w:type="dxa"/>
            <w:vAlign w:val="bottom"/>
          </w:tcPr>
          <w:p>
            <w:pPr>
              <w:jc w:val="right"/>
              <w:ind w:right="1150"/>
              <w:spacing w:after="0"/>
              <w:rPr>
                <w:sz w:val="20"/>
                <w:szCs w:val="20"/>
                <w:color w:val="auto"/>
              </w:rPr>
            </w:pPr>
            <w:r>
              <w:rPr>
                <w:rFonts w:ascii="Arial" w:cs="Arial" w:eastAsia="Arial" w:hAnsi="Arial"/>
                <w:sz w:val="18"/>
                <w:szCs w:val="18"/>
                <w:color w:val="333333"/>
              </w:rPr>
              <w:t>2009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1,194,722</w:t>
            </w:r>
          </w:p>
        </w:tc>
        <w:tc>
          <w:tcPr>
            <w:tcW w:w="120" w:type="dxa"/>
            <w:vAlign w:val="bottom"/>
          </w:tcPr>
          <w:p>
            <w:pPr>
              <w:spacing w:after="0"/>
              <w:rPr>
                <w:sz w:val="18"/>
                <w:szCs w:val="18"/>
                <w:color w:val="auto"/>
              </w:rPr>
            </w:pPr>
          </w:p>
        </w:tc>
      </w:tr>
      <w:tr>
        <w:trPr>
          <w:trHeight w:val="216"/>
        </w:trPr>
        <w:tc>
          <w:tcPr>
            <w:tcW w:w="294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333333"/>
              </w:rPr>
              <w:t>2010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113,023</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120" w:type="dxa"/>
            <w:vAlign w:val="bottom"/>
            <w:shd w:val="clear" w:color="auto" w:fill="EEEEEE"/>
          </w:tcPr>
          <w:p>
            <w:pPr>
              <w:spacing w:after="0"/>
              <w:rPr>
                <w:sz w:val="18"/>
                <w:szCs w:val="18"/>
                <w:color w:val="auto"/>
              </w:rPr>
            </w:pPr>
          </w:p>
        </w:tc>
      </w:tr>
      <w:tr>
        <w:trPr>
          <w:trHeight w:val="216"/>
        </w:trPr>
        <w:tc>
          <w:tcPr>
            <w:tcW w:w="2940" w:type="dxa"/>
            <w:vAlign w:val="bottom"/>
          </w:tcPr>
          <w:p>
            <w:pPr>
              <w:jc w:val="right"/>
              <w:ind w:right="1170"/>
              <w:spacing w:after="0"/>
              <w:rPr>
                <w:sz w:val="20"/>
                <w:szCs w:val="20"/>
                <w:color w:val="auto"/>
              </w:rPr>
            </w:pPr>
            <w:r>
              <w:rPr>
                <w:rFonts w:ascii="Arial" w:cs="Arial" w:eastAsia="Arial" w:hAnsi="Arial"/>
                <w:sz w:val="18"/>
                <w:szCs w:val="18"/>
                <w:color w:val="333333"/>
              </w:rPr>
              <w:t>2011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284,236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794,649</w:t>
            </w:r>
          </w:p>
        </w:tc>
        <w:tc>
          <w:tcPr>
            <w:tcW w:w="120" w:type="dxa"/>
            <w:vAlign w:val="bottom"/>
          </w:tcPr>
          <w:p>
            <w:pPr>
              <w:spacing w:after="0"/>
              <w:rPr>
                <w:sz w:val="18"/>
                <w:szCs w:val="18"/>
                <w:color w:val="auto"/>
              </w:rPr>
            </w:pPr>
          </w:p>
        </w:tc>
      </w:tr>
      <w:tr>
        <w:trPr>
          <w:trHeight w:val="216"/>
        </w:trPr>
        <w:tc>
          <w:tcPr>
            <w:tcW w:w="2940" w:type="dxa"/>
            <w:vAlign w:val="bottom"/>
            <w:shd w:val="clear" w:color="auto" w:fill="EEEEEE"/>
          </w:tcPr>
          <w:p>
            <w:pPr>
              <w:jc w:val="right"/>
              <w:ind w:right="1150"/>
              <w:spacing w:after="0"/>
              <w:rPr>
                <w:sz w:val="20"/>
                <w:szCs w:val="20"/>
                <w:color w:val="auto"/>
              </w:rPr>
            </w:pPr>
            <w:r>
              <w:rPr>
                <w:rFonts w:ascii="Arial" w:cs="Arial" w:eastAsia="Arial" w:hAnsi="Arial"/>
                <w:sz w:val="18"/>
                <w:szCs w:val="18"/>
                <w:color w:val="333333"/>
              </w:rPr>
              <w:t>2012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551,743</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20" w:type="dxa"/>
            <w:vAlign w:val="bottom"/>
            <w:shd w:val="clear" w:color="auto" w:fill="EEEEEE"/>
          </w:tcPr>
          <w:p>
            <w:pPr>
              <w:spacing w:after="0"/>
              <w:rPr>
                <w:sz w:val="18"/>
                <w:szCs w:val="18"/>
                <w:color w:val="auto"/>
              </w:rPr>
            </w:pPr>
          </w:p>
        </w:tc>
      </w:tr>
      <w:tr>
        <w:trPr>
          <w:trHeight w:val="230"/>
        </w:trPr>
        <w:tc>
          <w:tcPr>
            <w:tcW w:w="2940" w:type="dxa"/>
            <w:vAlign w:val="bottom"/>
          </w:tcPr>
          <w:p>
            <w:pPr>
              <w:jc w:val="right"/>
              <w:ind w:right="550"/>
              <w:spacing w:after="0"/>
              <w:rPr>
                <w:sz w:val="20"/>
                <w:szCs w:val="20"/>
                <w:color w:val="auto"/>
              </w:rPr>
            </w:pPr>
            <w:r>
              <w:rPr>
                <w:rFonts w:ascii="Arial" w:cs="Arial" w:eastAsia="Arial" w:hAnsi="Arial"/>
                <w:sz w:val="18"/>
                <w:szCs w:val="18"/>
                <w:color w:val="auto"/>
                <w:w w:val="92"/>
              </w:rPr>
              <w:t>Quarter ended March 31, 2013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180,124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968,539</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headquartered in Irvine, California, where most operational and administrative functions are centralized. Credit and underwriting functions are performed in our California headquarters with certain of these functions also performed in our Florida branch. We service our automobile contracts from our California headquarters and our branches in Virginia, Florida and Illinois.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purchase contracts in our own name (“CPS”) and, until July 2008, also in the name of our wholly-owned subsidiary, TFC. Programs marketed under the CPS name are intended to serve a wide range of sub-prime customers, primarily through franchised new car dealers. Our TFC program served vehicle purchasers enlisted in the U.S. Armed Forces, primarily through independent used car dealers. In July 2008, we suspended contract purchases under our TFC program. We purchase automobile contracts with the intention of financing them on a long-term basis through securitizations. Securitizations are transactions in which we sell a specified pool of contracts to a special purpose entity of ours, which in turn issues asset-backed securities to fund the purchase of the pool of contracts from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or loans to fund the transactions. Depending on the structure, these transactions may properly be accounted for under generally accepted accounting principles as sales of the automobile contracts or as secured financings.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the third quarter of 2003, we have conducted 31 term securitizations. Of these 31, 25 were periodic (generally quarterly) securitizations of automobile contracts that we purchased from automobile dealers under our regular programs. In addition, in March 2004 and November 2005, we completed securitizations of our retained interests in other securitizations that we and our affiliates previously sponsored. The debt from the March 2004 transaction was repaid in August 2005, and the debt from the November 2005 transaction was repaid in May 2007. Also, in June 2004, we completed a securitization of automobile contracts purchased under our TFC program and acquired in a bulk purchase. Further, in December 2005 and May 2007 we completed securitizations that included automobile contracts purchased under the TFC programs, automobile contracts purchased under the CPS programs and automobile contracts we repurchased upon termination of prior securitizations. Since July 2003 all such securitizations have been structured as secured financings, except our September 2008 and September 2010 securitizations. These transactions were in substance sales of the underlying receivables and were treated as sales for financial accounting purposes. The September 2010 securitization was our first securitization since 1993 that did not utilize a financial guaranty for the senior asset-backed notes. Since then we have completed eight senior subordinate securitizations and none have utilized financial guarantees.</w:t>
      </w:r>
    </w:p>
    <w:p>
      <w:pPr>
        <w:spacing w:after="0" w:line="16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March 2013 securitization included a pre-funding feature in which a portion of the receivables to be pledged to the trust were not delivered to the trust until after the initial closing. As a result, our restricted cash balance at March 31, 2013 included $68.7 million from the proceeds of the sale of the asset-backed notes that were held by the trustee pending delivery of the remaining receivables. In April 2013, the requisite additional receivables were delivered to the trust and we received the related restricted cash, most of which was used to repay amounts owed under our warehouse credit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Acquisitions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stated above, we have acquired approximately $822.8 million in finance receivables through four acquisitions. These transactions took place in 2002, 2003, 2004 and September 2011. The September 2011 acquisition consisted of approximately $217.8 million of finance receivables that we purchased from Fireside Bank of Pleasanton, California.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depend upon the availability of warehouse credit facilities and access to long-term financing through the issuance of asset-backed securities collateralized by our automobile contracts. Since 1994, we have completed 58 term securitizations of approximately $7.9 billion in contracts. 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October 2009 we have established new funding facilities and gradually increased our contract purchases and the frequency and amount of our term securitizations. Our recent history of term securitizations is summarized in the table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tbl>
      <w:tblPr>
        <w:tblLayout w:type="fixed"/>
        <w:tblInd w:w="2300" w:type="dxa"/>
        <w:tblCellMar>
          <w:top w:w="0" w:type="dxa"/>
          <w:left w:w="0" w:type="dxa"/>
          <w:bottom w:w="0" w:type="dxa"/>
          <w:right w:w="0" w:type="dxa"/>
        </w:tblCellMar>
      </w:tblPr>
      <w:tr>
        <w:trPr>
          <w:trHeight w:val="234"/>
        </w:trPr>
        <w:tc>
          <w:tcPr>
            <w:tcW w:w="5160" w:type="dxa"/>
            <w:vAlign w:val="bottom"/>
            <w:gridSpan w:val="5"/>
          </w:tcPr>
          <w:p>
            <w:pPr>
              <w:jc w:val="right"/>
              <w:ind w:right="45"/>
              <w:spacing w:after="0"/>
              <w:rPr>
                <w:sz w:val="20"/>
                <w:szCs w:val="20"/>
                <w:color w:val="auto"/>
              </w:rPr>
            </w:pPr>
            <w:r>
              <w:rPr>
                <w:rFonts w:ascii="Arial" w:cs="Arial" w:eastAsia="Arial" w:hAnsi="Arial"/>
                <w:sz w:val="18"/>
                <w:szCs w:val="18"/>
                <w:b w:val="1"/>
                <w:bCs w:val="1"/>
                <w:color w:val="auto"/>
              </w:rPr>
              <w:t>Recent Asset-Backed Term Securitizations</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tcBorders>
              <w:bottom w:val="single" w:sz="8" w:color="auto"/>
            </w:tcBorders>
            <w:gridSpan w:val="5"/>
          </w:tcPr>
          <w:p>
            <w:pPr>
              <w:jc w:val="right"/>
              <w:ind w:right="13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Number of Term</w:t>
            </w:r>
          </w:p>
        </w:tc>
        <w:tc>
          <w:tcPr>
            <w:tcW w:w="140" w:type="dxa"/>
            <w:vAlign w:val="bottom"/>
          </w:tcPr>
          <w:p>
            <w:pPr>
              <w:spacing w:after="0"/>
              <w:rPr>
                <w:sz w:val="16"/>
                <w:szCs w:val="16"/>
                <w:color w:val="auto"/>
              </w:rPr>
            </w:pPr>
          </w:p>
        </w:tc>
        <w:tc>
          <w:tcPr>
            <w:tcW w:w="16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6"/>
              </w:rPr>
              <w:t>Amount of Term</w:t>
            </w:r>
          </w:p>
        </w:tc>
      </w:tr>
      <w:tr>
        <w:trPr>
          <w:trHeight w:val="234"/>
        </w:trPr>
        <w:tc>
          <w:tcPr>
            <w:tcW w:w="3160" w:type="dxa"/>
            <w:vAlign w:val="bottom"/>
            <w:gridSpan w:val="2"/>
          </w:tcPr>
          <w:p>
            <w:pPr>
              <w:ind w:left="1220"/>
              <w:spacing w:after="0"/>
              <w:rPr>
                <w:sz w:val="20"/>
                <w:szCs w:val="20"/>
                <w:color w:val="auto"/>
              </w:rPr>
            </w:pPr>
            <w:r>
              <w:rPr>
                <w:rFonts w:ascii="Arial" w:cs="Arial" w:eastAsia="Arial" w:hAnsi="Arial"/>
                <w:sz w:val="18"/>
                <w:szCs w:val="18"/>
                <w:b w:val="1"/>
                <w:bCs w:val="1"/>
                <w:color w:val="auto"/>
              </w:rPr>
              <w:t>Period</w:t>
            </w: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Securitizations</w:t>
            </w:r>
          </w:p>
        </w:tc>
        <w:tc>
          <w:tcPr>
            <w:tcW w:w="140" w:type="dxa"/>
            <w:vAlign w:val="bottom"/>
          </w:tcPr>
          <w:p>
            <w:pPr>
              <w:spacing w:after="0"/>
              <w:rPr>
                <w:sz w:val="20"/>
                <w:szCs w:val="20"/>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Securitizations</w:t>
            </w:r>
          </w:p>
        </w:tc>
      </w:tr>
      <w:tr>
        <w:trPr>
          <w:trHeight w:val="210"/>
        </w:trPr>
        <w:tc>
          <w:tcPr>
            <w:tcW w:w="2960" w:type="dxa"/>
            <w:vAlign w:val="bottom"/>
            <w:tcBorders>
              <w:top w:val="single" w:sz="8" w:color="auto"/>
            </w:tcBorders>
            <w:shd w:val="clear" w:color="auto" w:fill="EEEEEE"/>
          </w:tcPr>
          <w:p>
            <w:pPr>
              <w:jc w:val="right"/>
              <w:ind w:right="1170"/>
              <w:spacing w:after="0"/>
              <w:rPr>
                <w:sz w:val="20"/>
                <w:szCs w:val="20"/>
                <w:color w:val="auto"/>
              </w:rPr>
            </w:pPr>
            <w:r>
              <w:rPr>
                <w:rFonts w:ascii="Arial" w:cs="Arial" w:eastAsia="Arial" w:hAnsi="Arial"/>
                <w:sz w:val="18"/>
                <w:szCs w:val="18"/>
                <w:color w:val="auto"/>
              </w:rPr>
              <w:t>2006</w:t>
            </w:r>
          </w:p>
        </w:tc>
        <w:tc>
          <w:tcPr>
            <w:tcW w:w="200" w:type="dxa"/>
            <w:vAlign w:val="bottom"/>
            <w:tcBorders>
              <w:top w:val="single" w:sz="8" w:color="EEEEEE"/>
            </w:tcBorders>
            <w:shd w:val="clear" w:color="auto" w:fill="EEEEEE"/>
          </w:tcPr>
          <w:p>
            <w:pPr>
              <w:spacing w:after="0"/>
              <w:rPr>
                <w:sz w:val="18"/>
                <w:szCs w:val="18"/>
                <w:color w:val="auto"/>
              </w:rPr>
            </w:pPr>
          </w:p>
        </w:tc>
        <w:tc>
          <w:tcPr>
            <w:tcW w:w="1660" w:type="dxa"/>
            <w:vAlign w:val="bottom"/>
            <w:tcBorders>
              <w:top w:val="single" w:sz="8" w:color="auto"/>
            </w:tcBorders>
            <w:shd w:val="clear" w:color="auto" w:fill="EEEEEE"/>
          </w:tcPr>
          <w:p>
            <w:pPr>
              <w:jc w:val="right"/>
              <w:ind w:right="650"/>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957.7</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960" w:type="dxa"/>
            <w:vAlign w:val="bottom"/>
          </w:tcPr>
          <w:p>
            <w:pPr>
              <w:jc w:val="right"/>
              <w:ind w:right="117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1,118.1</w:t>
            </w:r>
          </w:p>
        </w:tc>
      </w:tr>
      <w:tr>
        <w:trPr>
          <w:trHeight w:val="216"/>
        </w:trPr>
        <w:tc>
          <w:tcPr>
            <w:tcW w:w="2960" w:type="dxa"/>
            <w:vAlign w:val="bottom"/>
            <w:shd w:val="clear" w:color="auto" w:fill="EEEEEE"/>
          </w:tcPr>
          <w:p>
            <w:pPr>
              <w:jc w:val="right"/>
              <w:ind w:right="1170"/>
              <w:spacing w:after="0"/>
              <w:rPr>
                <w:sz w:val="20"/>
                <w:szCs w:val="20"/>
                <w:color w:val="auto"/>
              </w:rPr>
            </w:pPr>
            <w:r>
              <w:rPr>
                <w:rFonts w:ascii="Arial" w:cs="Arial" w:eastAsia="Arial" w:hAnsi="Arial"/>
                <w:sz w:val="18"/>
                <w:szCs w:val="18"/>
                <w:color w:val="333333"/>
              </w:rPr>
              <w:t>2008</w:t>
            </w:r>
          </w:p>
        </w:tc>
        <w:tc>
          <w:tcPr>
            <w:tcW w:w="200" w:type="dxa"/>
            <w:vAlign w:val="bottom"/>
            <w:shd w:val="clear" w:color="auto" w:fill="EEEEEE"/>
          </w:tcPr>
          <w:p>
            <w:pPr>
              <w:spacing w:after="0"/>
              <w:rPr>
                <w:sz w:val="18"/>
                <w:szCs w:val="18"/>
                <w:color w:val="auto"/>
              </w:rPr>
            </w:pPr>
          </w:p>
        </w:tc>
        <w:tc>
          <w:tcPr>
            <w:tcW w:w="1660" w:type="dxa"/>
            <w:vAlign w:val="bottom"/>
            <w:shd w:val="clear" w:color="auto" w:fill="EEEEEE"/>
          </w:tcPr>
          <w:p>
            <w:pPr>
              <w:jc w:val="right"/>
              <w:ind w:right="650"/>
              <w:spacing w:after="0"/>
              <w:rPr>
                <w:sz w:val="20"/>
                <w:szCs w:val="20"/>
                <w:color w:val="auto"/>
              </w:rPr>
            </w:pPr>
            <w:r>
              <w:rPr>
                <w:rFonts w:ascii="Arial" w:cs="Arial" w:eastAsia="Arial" w:hAnsi="Arial"/>
                <w:sz w:val="18"/>
                <w:szCs w:val="18"/>
                <w:color w:val="auto"/>
              </w:rPr>
              <w:t>2</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509.0</w:t>
            </w:r>
          </w:p>
        </w:tc>
      </w:tr>
      <w:tr>
        <w:trPr>
          <w:trHeight w:val="216"/>
        </w:trPr>
        <w:tc>
          <w:tcPr>
            <w:tcW w:w="2960" w:type="dxa"/>
            <w:vAlign w:val="bottom"/>
          </w:tcPr>
          <w:p>
            <w:pPr>
              <w:jc w:val="right"/>
              <w:ind w:right="1170"/>
              <w:spacing w:after="0"/>
              <w:rPr>
                <w:sz w:val="20"/>
                <w:szCs w:val="20"/>
                <w:color w:val="auto"/>
              </w:rPr>
            </w:pPr>
            <w:r>
              <w:rPr>
                <w:rFonts w:ascii="Arial" w:cs="Arial" w:eastAsia="Arial" w:hAnsi="Arial"/>
                <w:sz w:val="18"/>
                <w:szCs w:val="18"/>
                <w:color w:val="333333"/>
              </w:rPr>
              <w:t>2009</w:t>
            </w:r>
          </w:p>
        </w:tc>
        <w:tc>
          <w:tcPr>
            <w:tcW w:w="200" w:type="dxa"/>
            <w:vAlign w:val="bottom"/>
          </w:tcPr>
          <w:p>
            <w:pPr>
              <w:spacing w:after="0"/>
              <w:rPr>
                <w:sz w:val="18"/>
                <w:szCs w:val="18"/>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EEEEEE"/>
          </w:tcPr>
          <w:p>
            <w:pPr>
              <w:jc w:val="right"/>
              <w:ind w:right="1170"/>
              <w:spacing w:after="0"/>
              <w:rPr>
                <w:sz w:val="20"/>
                <w:szCs w:val="20"/>
                <w:color w:val="auto"/>
              </w:rPr>
            </w:pPr>
            <w:r>
              <w:rPr>
                <w:rFonts w:ascii="Arial" w:cs="Arial" w:eastAsia="Arial" w:hAnsi="Arial"/>
                <w:sz w:val="18"/>
                <w:szCs w:val="18"/>
                <w:color w:val="333333"/>
              </w:rPr>
              <w:t>2010</w:t>
            </w:r>
          </w:p>
        </w:tc>
        <w:tc>
          <w:tcPr>
            <w:tcW w:w="200" w:type="dxa"/>
            <w:vAlign w:val="bottom"/>
            <w:shd w:val="clear" w:color="auto" w:fill="EEEEEE"/>
          </w:tcPr>
          <w:p>
            <w:pPr>
              <w:spacing w:after="0"/>
              <w:rPr>
                <w:sz w:val="18"/>
                <w:szCs w:val="18"/>
                <w:color w:val="auto"/>
              </w:rPr>
            </w:pPr>
          </w:p>
        </w:tc>
        <w:tc>
          <w:tcPr>
            <w:tcW w:w="1660" w:type="dxa"/>
            <w:vAlign w:val="bottom"/>
            <w:shd w:val="clear" w:color="auto" w:fill="EEEEEE"/>
          </w:tcPr>
          <w:p>
            <w:pPr>
              <w:jc w:val="right"/>
              <w:ind w:right="650"/>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103.8</w:t>
            </w:r>
          </w:p>
        </w:tc>
      </w:tr>
      <w:tr>
        <w:trPr>
          <w:trHeight w:val="216"/>
        </w:trPr>
        <w:tc>
          <w:tcPr>
            <w:tcW w:w="2960" w:type="dxa"/>
            <w:vAlign w:val="bottom"/>
          </w:tcPr>
          <w:p>
            <w:pPr>
              <w:jc w:val="right"/>
              <w:ind w:right="1170"/>
              <w:spacing w:after="0"/>
              <w:rPr>
                <w:sz w:val="20"/>
                <w:szCs w:val="20"/>
                <w:color w:val="auto"/>
              </w:rPr>
            </w:pPr>
            <w:r>
              <w:rPr>
                <w:rFonts w:ascii="Arial" w:cs="Arial" w:eastAsia="Arial" w:hAnsi="Arial"/>
                <w:sz w:val="18"/>
                <w:szCs w:val="18"/>
                <w:color w:val="333333"/>
              </w:rPr>
              <w:t>2011</w:t>
            </w:r>
          </w:p>
        </w:tc>
        <w:tc>
          <w:tcPr>
            <w:tcW w:w="200" w:type="dxa"/>
            <w:vAlign w:val="bottom"/>
          </w:tcPr>
          <w:p>
            <w:pPr>
              <w:spacing w:after="0"/>
              <w:rPr>
                <w:sz w:val="18"/>
                <w:szCs w:val="18"/>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335.6</w:t>
            </w:r>
          </w:p>
        </w:tc>
      </w:tr>
      <w:tr>
        <w:trPr>
          <w:trHeight w:val="216"/>
        </w:trPr>
        <w:tc>
          <w:tcPr>
            <w:tcW w:w="2960" w:type="dxa"/>
            <w:vAlign w:val="bottom"/>
            <w:shd w:val="clear" w:color="auto" w:fill="EEEEEE"/>
          </w:tcPr>
          <w:p>
            <w:pPr>
              <w:jc w:val="right"/>
              <w:ind w:right="1170"/>
              <w:spacing w:after="0"/>
              <w:rPr>
                <w:sz w:val="20"/>
                <w:szCs w:val="20"/>
                <w:color w:val="auto"/>
              </w:rPr>
            </w:pPr>
            <w:r>
              <w:rPr>
                <w:rFonts w:ascii="Arial" w:cs="Arial" w:eastAsia="Arial" w:hAnsi="Arial"/>
                <w:sz w:val="18"/>
                <w:szCs w:val="18"/>
                <w:color w:val="333333"/>
              </w:rPr>
              <w:t>2012</w:t>
            </w:r>
          </w:p>
        </w:tc>
        <w:tc>
          <w:tcPr>
            <w:tcW w:w="200" w:type="dxa"/>
            <w:vAlign w:val="bottom"/>
            <w:shd w:val="clear" w:color="auto" w:fill="EEEEEE"/>
          </w:tcPr>
          <w:p>
            <w:pPr>
              <w:spacing w:after="0"/>
              <w:rPr>
                <w:sz w:val="18"/>
                <w:szCs w:val="18"/>
                <w:color w:val="auto"/>
              </w:rPr>
            </w:pPr>
          </w:p>
        </w:tc>
        <w:tc>
          <w:tcPr>
            <w:tcW w:w="1660" w:type="dxa"/>
            <w:vAlign w:val="bottom"/>
            <w:shd w:val="clear" w:color="auto" w:fill="EEEEEE"/>
          </w:tcPr>
          <w:p>
            <w:pPr>
              <w:jc w:val="right"/>
              <w:ind w:right="650"/>
              <w:spacing w:after="0"/>
              <w:rPr>
                <w:sz w:val="20"/>
                <w:szCs w:val="20"/>
                <w:color w:val="auto"/>
              </w:rPr>
            </w:pPr>
            <w:r>
              <w:rPr>
                <w:rFonts w:ascii="Arial" w:cs="Arial" w:eastAsia="Arial" w:hAnsi="Arial"/>
                <w:sz w:val="18"/>
                <w:szCs w:val="18"/>
                <w:color w:val="auto"/>
              </w:rPr>
              <w:t>4</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603.5</w:t>
            </w:r>
          </w:p>
        </w:tc>
      </w:tr>
      <w:tr>
        <w:trPr>
          <w:trHeight w:val="230"/>
        </w:trPr>
        <w:tc>
          <w:tcPr>
            <w:tcW w:w="3160" w:type="dxa"/>
            <w:vAlign w:val="bottom"/>
            <w:gridSpan w:val="2"/>
          </w:tcPr>
          <w:p>
            <w:pPr>
              <w:ind w:left="80"/>
              <w:spacing w:after="0"/>
              <w:rPr>
                <w:sz w:val="20"/>
                <w:szCs w:val="20"/>
                <w:color w:val="auto"/>
              </w:rPr>
            </w:pPr>
            <w:r>
              <w:rPr>
                <w:rFonts w:ascii="Arial" w:cs="Arial" w:eastAsia="Arial" w:hAnsi="Arial"/>
                <w:sz w:val="18"/>
                <w:szCs w:val="18"/>
                <w:color w:val="auto"/>
              </w:rPr>
              <w:t>Quarter ended March 31, 2013</w:t>
            </w: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185.0</w:t>
            </w: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2012 securitizations included $58.2 million in contracts that were repurchased from 2006 and 2007 securitizations during 2012. Since 2011 all of our securitizations have been structured as secured financings and none utilized financial guarantees.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short-term funding capacity is $200 million, comprising two credit facilities. The first $100 million credit facility was established in December 2010. This facility was renewed in March 2013, extending the revolving period to March 2015, and adding an amortization period through March 2017. Our second $100 million credit facility was established in May 2012 and matures in May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130"/>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certain minimum financial ratios and results. Such covenants include maintaining minimum levels of liquidity and net worth and not exceeding maximum leverage levels. As of March 31, 2013 we were in compliance with all such covenants. In addition, certain securitization and non-securitization related debt contain cross-default provisions that would allow certain creditors to declare a default if a default occurred under a different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March 31, 2013 with the three months ended March 31, 2012</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three months ended March 31, 2013, revenues were $54.6 million, an increase of $10.1 million, or 22.6%, from the prior year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of $44.5 million. The primary reason for the increase in revenues is an increase in interest income. Interest income for the three months ended March 31, 2013 increased $10.6 million, or 26.0%, to $51.2 million from $40.6 million in the prior year. The primary reason for the increase in interest income is the increase in finance receivables held by consolidated subsidiaries, which increased from $721.6 million at March 31, 2012 to $948.0 million at March 31, 2013. The table below shows the average balances of our portfolio held by consolidated subsidiaries for the three months ended March 31, 2013 and 2012: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64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89"/>
              </w:rPr>
              <w:t>Average Balances for the Three Months</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90"/>
              </w:rPr>
              <w:t>Ended</w:t>
            </w:r>
          </w:p>
        </w:tc>
        <w:tc>
          <w:tcPr>
            <w:tcW w:w="1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March 31, 2013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March 31, 2012</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5380" w:type="dxa"/>
            <w:vAlign w:val="bottom"/>
            <w:vMerge w:val="restart"/>
          </w:tcPr>
          <w:p>
            <w:pPr>
              <w:jc w:val="right"/>
              <w:ind w:right="2730"/>
              <w:spacing w:after="0"/>
              <w:rPr>
                <w:sz w:val="20"/>
                <w:szCs w:val="20"/>
                <w:color w:val="auto"/>
              </w:rPr>
            </w:pPr>
            <w:r>
              <w:rPr>
                <w:rFonts w:ascii="Arial" w:cs="Arial" w:eastAsia="Arial" w:hAnsi="Arial"/>
                <w:sz w:val="18"/>
                <w:szCs w:val="18"/>
                <w:b w:val="1"/>
                <w:bCs w:val="1"/>
                <w:color w:val="auto"/>
                <w:w w:val="94"/>
              </w:rPr>
              <w:t>Finance Receivables Owned by</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40" w:type="dxa"/>
            <w:vAlign w:val="bottom"/>
            <w:tcBorders>
              <w:top w:val="single" w:sz="8" w:color="auto"/>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538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2380" w:type="dxa"/>
            <w:vAlign w:val="bottom"/>
            <w:gridSpan w:val="5"/>
          </w:tcPr>
          <w:p>
            <w:pPr>
              <w:jc w:val="center"/>
              <w:ind w:right="1070"/>
              <w:spacing w:after="0" w:line="191" w:lineRule="exact"/>
              <w:rPr>
                <w:sz w:val="20"/>
                <w:szCs w:val="20"/>
                <w:color w:val="auto"/>
              </w:rPr>
            </w:pPr>
            <w:r>
              <w:rPr>
                <w:rFonts w:ascii="Arial" w:cs="Arial" w:eastAsia="Arial" w:hAnsi="Arial"/>
                <w:sz w:val="18"/>
                <w:szCs w:val="18"/>
                <w:b w:val="1"/>
                <w:bCs w:val="1"/>
                <w:color w:val="auto"/>
                <w:w w:val="91"/>
              </w:rPr>
              <w:t>($ in millions)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6540" w:type="dxa"/>
            <w:vAlign w:val="bottom"/>
            <w:gridSpan w:val="2"/>
          </w:tcPr>
          <w:p>
            <w:pPr>
              <w:jc w:val="right"/>
              <w:ind w:right="4074"/>
              <w:spacing w:after="0"/>
              <w:rPr>
                <w:sz w:val="20"/>
                <w:szCs w:val="20"/>
                <w:color w:val="auto"/>
              </w:rPr>
            </w:pPr>
            <w:r>
              <w:rPr>
                <w:rFonts w:ascii="Arial" w:cs="Arial" w:eastAsia="Arial" w:hAnsi="Arial"/>
                <w:sz w:val="18"/>
                <w:szCs w:val="18"/>
                <w:b w:val="1"/>
                <w:bCs w:val="1"/>
                <w:color w:val="auto"/>
              </w:rPr>
              <w:t>Consolidated Subsidiaries</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7"/>
              </w:rPr>
              <w:t>CPS Originated Receivables</w:t>
            </w:r>
          </w:p>
        </w:tc>
        <w:tc>
          <w:tcPr>
            <w:tcW w:w="6540" w:type="dxa"/>
            <w:vAlign w:val="bottom"/>
            <w:gridSpan w:val="2"/>
            <w:shd w:val="clear" w:color="auto" w:fill="EEEEEE"/>
          </w:tcPr>
          <w:p>
            <w:pPr>
              <w:jc w:val="right"/>
              <w:ind w:right="994"/>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3"/>
              </w:rPr>
              <w:t>871.8</w:t>
            </w:r>
          </w:p>
        </w:tc>
        <w:tc>
          <w:tcPr>
            <w:tcW w:w="140" w:type="dxa"/>
            <w:vAlign w:val="bottom"/>
            <w:gridSpan w:val="2"/>
            <w:shd w:val="clear" w:color="auto" w:fill="EEEEEE"/>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570.9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160"/>
              <w:spacing w:after="0"/>
              <w:rPr>
                <w:sz w:val="20"/>
                <w:szCs w:val="20"/>
                <w:color w:val="auto"/>
              </w:rPr>
            </w:pPr>
            <w:r>
              <w:rPr>
                <w:rFonts w:ascii="Arial" w:cs="Arial" w:eastAsia="Arial" w:hAnsi="Arial"/>
                <w:sz w:val="18"/>
                <w:szCs w:val="18"/>
                <w:color w:val="auto"/>
              </w:rPr>
              <w:t>Fireside</w:t>
            </w:r>
          </w:p>
        </w:tc>
        <w:tc>
          <w:tcPr>
            <w:tcW w:w="5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53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4"/>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920.8</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Servicing fees totaling $909,000 in the three months ended March 31, 2013 increased $108,000, or 13.5%, from $801,000 in the prior year. We earn base servicing fees on two portfolios that are amortizing and provide us with less base servicing fees each period. On one of such portfolios, however, we recently began earning an incentive servicing fee. Such incentive servicing fee was $463,000 for the three months ended March 31, 2013 and more than offset the decrease of $356,000 in base servicing fees. We did not earn any incentive servicing fee in the prior year’s period. As of March 31, 2013 and 2012, our managed portfolio owned by consolidated vs. non-consolidated subsidiaries and other third parties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ind w:left="960"/>
              <w:spacing w:after="0"/>
              <w:rPr>
                <w:sz w:val="20"/>
                <w:szCs w:val="20"/>
                <w:color w:val="auto"/>
              </w:rPr>
            </w:pPr>
            <w:r>
              <w:rPr>
                <w:rFonts w:ascii="Arial" w:cs="Arial" w:eastAsia="Arial" w:hAnsi="Arial"/>
                <w:sz w:val="18"/>
                <w:szCs w:val="18"/>
                <w:b w:val="1"/>
                <w:bCs w:val="1"/>
                <w:color w:val="auto"/>
                <w:w w:val="99"/>
              </w:rPr>
              <w:t>March 31, 2013</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w w:val="98"/>
              </w:rPr>
              <w:t>March 31, 2012</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Amount (1)</w:t>
            </w: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Amount (1)</w:t>
            </w: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CPS Originated Receivables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904.7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93.4%</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588.4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968.5</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781.8</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March 31, 2013, we were generating income and fees on a managed portfolio with an outstanding principal balance of $968.5 million (this amount includes $12.3 million of automobile contracts on which we earn servicing fees and own a residual interest and also includes another $8.2 million of automobile contracts on which we earn base and incentive servicing fees), compared to a managed portfolio with an outstanding principal balance of $781.8 million as of March 31, 2012. At March 31, 2013 and 2012, the managed portfolio composition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9"/>
              </w:rPr>
              <w:t>March 31, 2013</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8"/>
              </w:rPr>
              <w:t>March 31, 2012</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CPS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917.0</w:t>
            </w:r>
          </w:p>
        </w:tc>
        <w:tc>
          <w:tcPr>
            <w:tcW w:w="5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94.7%</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621.7</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43.3</w:t>
            </w:r>
          </w:p>
        </w:tc>
        <w:tc>
          <w:tcPr>
            <w:tcW w:w="5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133.2</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TFC</w:t>
            </w:r>
          </w:p>
        </w:tc>
        <w:tc>
          <w:tcPr>
            <w:tcW w:w="220" w:type="dxa"/>
            <w:vAlign w:val="bottom"/>
            <w:shd w:val="clear" w:color="auto" w:fill="EEEEEE"/>
          </w:tcPr>
          <w:p>
            <w:pPr>
              <w:spacing w:after="0"/>
              <w:rPr>
                <w:sz w:val="18"/>
                <w:szCs w:val="18"/>
                <w:color w:val="auto"/>
              </w:rPr>
            </w:pPr>
          </w:p>
        </w:tc>
        <w:tc>
          <w:tcPr>
            <w:tcW w:w="2260" w:type="dxa"/>
            <w:vAlign w:val="bottom"/>
            <w:gridSpan w:val="3"/>
            <w:shd w:val="clear" w:color="auto" w:fill="EEEEEE"/>
          </w:tcPr>
          <w:p>
            <w:pPr>
              <w:jc w:val="right"/>
              <w:ind w:right="8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00" w:type="dxa"/>
            <w:vAlign w:val="bottom"/>
          </w:tcPr>
          <w:p>
            <w:pPr>
              <w:ind w:left="100"/>
              <w:spacing w:after="0"/>
              <w:rPr>
                <w:sz w:val="20"/>
                <w:szCs w:val="20"/>
                <w:color w:val="auto"/>
              </w:rPr>
            </w:pPr>
            <w:r>
              <w:rPr>
                <w:rFonts w:ascii="Arial" w:cs="Arial" w:eastAsia="Arial" w:hAnsi="Arial"/>
                <w:sz w:val="18"/>
                <w:szCs w:val="18"/>
                <w:color w:val="auto"/>
              </w:rPr>
              <w:t>Third Party Portfolio</w:t>
            </w:r>
          </w:p>
        </w:tc>
        <w:tc>
          <w:tcPr>
            <w:tcW w:w="220" w:type="dxa"/>
            <w:vAlign w:val="bottom"/>
          </w:tcPr>
          <w:p>
            <w:pPr>
              <w:spacing w:after="0"/>
              <w:rPr>
                <w:sz w:val="19"/>
                <w:szCs w:val="19"/>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5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25.8</w:t>
            </w:r>
          </w:p>
        </w:tc>
        <w:tc>
          <w:tcPr>
            <w:tcW w:w="5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900" w:type="dxa"/>
            <w:vAlign w:val="bottom"/>
            <w:tcBorders>
              <w:top w:val="single" w:sz="8" w:color="EEEEEE"/>
              <w:bottom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968.5</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781.8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5" w:name="page26"/>
    <w:bookmarkEnd w:id="25"/>
    <w:p>
      <w:pPr>
        <w:jc w:val="both"/>
        <w:ind w:firstLine="324"/>
        <w:spacing w:after="0" w:line="297" w:lineRule="auto"/>
        <w:rPr>
          <w:sz w:val="20"/>
          <w:szCs w:val="20"/>
          <w:color w:val="auto"/>
        </w:rPr>
      </w:pPr>
      <w:r>
        <w:rPr>
          <w:rFonts w:ascii="Arial" w:cs="Arial" w:eastAsia="Arial" w:hAnsi="Arial"/>
          <w:sz w:val="16"/>
          <w:szCs w:val="16"/>
          <w:color w:val="auto"/>
        </w:rPr>
        <w:t>Other income decreased by $589,000, or 19.0%, to $2.5 million in the three months ended March 31, 2013 from $3.1 million during the prior year. This decrease is the combination of a $475,000 mark down of the fair value of the receivables and debt associated with the Fireside Bank portfolio acquisition, decreases of $46,000 in recoveries on receivables from the 2002 acquisition of MFN Financial Corporation, and a decrease of $145,000 in remittances from third-party providers of convenience fees paid by our customers for web based and other electronic payments. These decreases in other income were partially offset by an increase of $78,000 in income from direct mail and other related products and services that we offer to our dealers.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12-month trailing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operating expenses were $48.1 million for the three months ended March 31, 2013, compared to $44.0 million for the prior year, an increase of $4.1 million, or 9.2%. The increase is primarily due to the increase in the amount of new contracts we purchased, the resulting increase in our consolidated portfolio and the related increase in our provision for credit losses. Increases in provision for credit losses were somewhat offset by decreases in interest expense.</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Employee costs increased by $78,000 or 0.9%, to $8.9 million during the three months ended March 31, 2013, representing 18.6% of total operating expenses, from $8.8 million for the prior year, or 20.2% of total operating expenses. Since 2010, we have added employees in our Originations and Marketing departments to accommodate the increase in contract purchases. These additions have offset reductions in our Servicing department staff that have resulted from decreases in the number of accounts in our managed portfolio. The table below summarizes our employees by category as well as contract purchases and units in our managed portfolio as of, and for the three-month periods, ended March 31, 2013 and 2012: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 2013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3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180.1</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3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968.5</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91,044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100,345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EEEEEE"/>
          </w:tcPr>
          <w:p>
            <w:pPr>
              <w:spacing w:after="0"/>
              <w:rPr>
                <w:sz w:val="18"/>
                <w:szCs w:val="18"/>
                <w:color w:val="auto"/>
              </w:rPr>
            </w:pPr>
          </w:p>
        </w:tc>
        <w:tc>
          <w:tcPr>
            <w:tcW w:w="3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3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35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3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520" w:type="dxa"/>
            <w:vAlign w:val="bottom"/>
            <w:vMerge w:val="restart"/>
          </w:tcPr>
          <w:p>
            <w:pPr>
              <w:jc w:val="right"/>
              <w:ind w:right="1890"/>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6" w:name="page27"/>
    <w:bookmarkEnd w:id="26"/>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$3.8 million, a decrease of 16.5%, compared to the previous year and represented 7.8% of total operating expenses.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for the three months ended March 31, 2013 decreased by $5.9 million to $16.3 million, or 26.7%, compared to $22.3 million in the previous year. Interest expense on the Fireside portfolio credit facility decreased by $4.0 million compared to the prior period as the Fireside portfolio and the related debt have paid down to significantly lower levels over the last year.</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Interest on securitization trust debt decreased by $1.1 million in the three months ended March 31, 2013 compared to the prior year. Although the outstanding amount of securitization trust debt increased to $901.7 million at March 31, 2013 compared to $792.5 million at March 31, 2012, the blended interest rates on our 2012 term securitizations are significantly less than the blended interest rates on securitization trust debt incurred prior to 2012.</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on senior secured and subordinated debt increased by $502,000. Interest expense on residual interest financing decreased $256,000 in the three months ended March 31, 2013 compared to the prior year as a result of principal amortization.</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Interest expense on warehouse debt decreased by $114,000 for the three months ended March 31, 2013 compared to the prior year. Although we increased our contract purchases to $180.1 million in the three months ended March 31, 2013 compared to $119.9 million in the prior period, recently we have relied less on warehouse credit facilities and instead have used more of our unrestricted cash balances to hold receivables prior to securitization.</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interest expense related to the value of outstanding derivative warrants resulted in an increase of $25,000 in interest expense. In February 2013, the remaining derivative warrant was exercised, which should result in no future interest expense related to derivative warrants.</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Provision for credit losses was $15.1 million for the three months ended March 31, 2013, an increase of $10.3 million, or 213.2% compared to the prior year and represented 31.5% of total operating expenses. The provision for credit losses maintains the allowance for loan losses at levels that we feel are adequate for probable incurred credit losses that can be reasonably estimated. Our approach for establishing the allowance incorporates greater amounts of provision for credit losses early in the terms of our finance receivables. Consequently, the increase in provision expense is the result of the increase in our contract purchases during the last year and the increase size of the portfolio owned by our consolidated subsidiaries compared to the prior year.</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$562,000, or 21.4%, to $3.2 million during the three months ended March 31, 2013, compared to $2.6 million in the prior year period, and represented 6.6% of total operating expenses. For the three months ended March 31, 2013, we purchased 11,691 contracts representing $180.1 million in receivables in the current period compared to 7,942 contracts representing $119.9 million in receivables in the prior year.</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Occupancy expenses decreased by $177,000 or 24.6%, to $544,000 compared to $721,000 in the previous year and represented 1.1% of total operating expenses.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expenses decreased by $9,000 or 5.6%, to $143,000 compared to $152,000 in the previous year and represented 0.2% of total operating expenses.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March 31, 2013, we recorded tax expense of $2.7 million. In the prior year period, we recorded no net tax expense and reduced our valuation allowance for our deferred tax assets by $195,000.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monthly losses as a percentage of the balance outstanding gradually increasing to a peak between 36 and 42 months, after which they gradually decrease. The weighted average seasoning of our portfolio represented in the tables below (excluding the Fireside portfolio) was 14 months, 36 months and 18 months as of March 31, 2013, March 31, 2012, and December 31, 2012, respectively. The tables below document the delinquency, repossession and net credit loss experience of all such automobile contracts that we were servicing and owned as of the respective dates shown. The tables do not include the experience of third party servicing portfolios.</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20"/>
        <w:spacing w:after="0" w:line="308" w:lineRule="auto"/>
        <w:rPr>
          <w:sz w:val="20"/>
          <w:szCs w:val="20"/>
          <w:color w:val="auto"/>
        </w:rPr>
      </w:pPr>
      <w:r>
        <w:rPr>
          <w:rFonts w:ascii="Arial" w:cs="Arial" w:eastAsia="Arial" w:hAnsi="Arial"/>
          <w:sz w:val="16"/>
          <w:szCs w:val="16"/>
          <w:b w:val="1"/>
          <w:bCs w:val="1"/>
          <w:i w:val="1"/>
          <w:iCs w:val="1"/>
          <w:color w:val="auto"/>
        </w:rPr>
        <w:t xml:space="preserve">Delinquency Experience </w:t>
      </w:r>
      <w:r>
        <w:rPr>
          <w:rFonts w:ascii="Arial" w:cs="Arial" w:eastAsia="Arial" w:hAnsi="Arial"/>
          <w:sz w:val="16"/>
          <w:szCs w:val="16"/>
          <w:color w:val="auto"/>
        </w:rPr>
        <w:t>Gross servicing portfolio (1)</w:t>
      </w:r>
    </w:p>
    <w:p>
      <w:pPr>
        <w:spacing w:after="0"/>
        <w:rPr>
          <w:sz w:val="20"/>
          <w:szCs w:val="20"/>
          <w:color w:val="auto"/>
        </w:rPr>
      </w:pPr>
      <w:r>
        <w:rPr>
          <w:rFonts w:ascii="Arial" w:cs="Arial" w:eastAsia="Arial" w:hAnsi="Arial"/>
          <w:sz w:val="18"/>
          <w:szCs w:val="18"/>
          <w:color w:val="auto"/>
        </w:rPr>
        <w:t>Period of delinquency (2)</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31-60 days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61-90 days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91+ days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delinquencies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 in repossession (3)</w:t>
      </w:r>
    </w:p>
    <w:p>
      <w:pPr>
        <w:spacing w:after="0" w:line="35" w:lineRule="exact"/>
        <w:rPr>
          <w:sz w:val="20"/>
          <w:szCs w:val="20"/>
          <w:color w:val="auto"/>
        </w:rPr>
      </w:pPr>
    </w:p>
    <w:p>
      <w:pPr>
        <w:jc w:val="both"/>
        <w:ind w:left="200" w:hanging="197"/>
        <w:spacing w:after="0" w:line="274" w:lineRule="auto"/>
        <w:rPr>
          <w:sz w:val="20"/>
          <w:szCs w:val="20"/>
          <w:color w:val="auto"/>
        </w:rPr>
      </w:pPr>
      <w:r>
        <w:rPr>
          <w:rFonts w:ascii="Arial" w:cs="Arial" w:eastAsia="Arial" w:hAnsi="Arial"/>
          <w:sz w:val="18"/>
          <w:szCs w:val="18"/>
          <w:color w:val="auto"/>
        </w:rPr>
        <w:t>Total delinquencies and amount in repossession (2)</w:t>
      </w:r>
    </w:p>
    <w:p>
      <w:pPr>
        <w:ind w:left="200" w:right="100" w:hanging="197"/>
        <w:spacing w:after="0" w:line="290" w:lineRule="auto"/>
        <w:rPr>
          <w:sz w:val="20"/>
          <w:szCs w:val="20"/>
          <w:color w:val="auto"/>
        </w:rPr>
      </w:pPr>
      <w:r>
        <w:rPr>
          <w:rFonts w:ascii="Arial" w:cs="Arial" w:eastAsia="Arial" w:hAnsi="Arial"/>
          <w:sz w:val="17"/>
          <w:szCs w:val="17"/>
          <w:color w:val="auto"/>
        </w:rPr>
        <w:t>Delinquencies as a percentage of gross servicing portfolio</w:t>
      </w:r>
    </w:p>
    <w:p>
      <w:pPr>
        <w:jc w:val="both"/>
        <w:ind w:left="180" w:hanging="161"/>
        <w:spacing w:after="0" w:line="312" w:lineRule="auto"/>
        <w:rPr>
          <w:sz w:val="20"/>
          <w:szCs w:val="20"/>
          <w:color w:val="auto"/>
        </w:rPr>
      </w:pPr>
      <w:r>
        <w:rPr>
          <w:rFonts w:ascii="Arial" w:cs="Arial" w:eastAsia="Arial" w:hAnsi="Arial"/>
          <w:sz w:val="16"/>
          <w:szCs w:val="16"/>
          <w:color w:val="auto"/>
        </w:rPr>
        <w:t>Total delinquencies and amount in repossession as a percentage of gross servicing portfolio</w:t>
      </w:r>
    </w:p>
    <w:p>
      <w:pPr>
        <w:spacing w:after="0" w:line="14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b w:val="1"/>
          <w:bCs w:val="1"/>
          <w:i w:val="1"/>
          <w:iCs w:val="1"/>
          <w:color w:val="auto"/>
        </w:rPr>
        <w:t xml:space="preserve">Extension Experience </w:t>
      </w:r>
      <w:r>
        <w:rPr>
          <w:rFonts w:ascii="Arial" w:cs="Arial" w:eastAsia="Arial" w:hAnsi="Arial"/>
          <w:sz w:val="16"/>
          <w:szCs w:val="16"/>
          <w:color w:val="auto"/>
        </w:rPr>
        <w:t>Contracts with one extension,</w:t>
      </w:r>
    </w:p>
    <w:p>
      <w:pPr>
        <w:ind w:left="200"/>
        <w:spacing w:after="0"/>
        <w:rPr>
          <w:sz w:val="20"/>
          <w:szCs w:val="20"/>
          <w:color w:val="auto"/>
        </w:rPr>
      </w:pPr>
      <w:r>
        <w:rPr>
          <w:rFonts w:ascii="Arial" w:cs="Arial" w:eastAsia="Arial" w:hAnsi="Arial"/>
          <w:sz w:val="18"/>
          <w:szCs w:val="18"/>
          <w:color w:val="auto"/>
        </w:rPr>
        <w:t>accruing</w:t>
      </w:r>
    </w:p>
    <w:p>
      <w:pPr>
        <w:spacing w:after="0" w:line="35" w:lineRule="exact"/>
        <w:rPr>
          <w:sz w:val="20"/>
          <w:szCs w:val="20"/>
          <w:color w:val="auto"/>
        </w:rPr>
      </w:pPr>
    </w:p>
    <w:p>
      <w:pPr>
        <w:ind w:left="200" w:right="500" w:hanging="197"/>
        <w:spacing w:after="0" w:line="342" w:lineRule="auto"/>
        <w:rPr>
          <w:sz w:val="20"/>
          <w:szCs w:val="20"/>
          <w:color w:val="auto"/>
        </w:rPr>
      </w:pPr>
      <w:r>
        <w:rPr>
          <w:rFonts w:ascii="Arial" w:cs="Arial" w:eastAsia="Arial" w:hAnsi="Arial"/>
          <w:sz w:val="16"/>
          <w:szCs w:val="16"/>
          <w:color w:val="auto"/>
        </w:rPr>
        <w:t>Contracts with two or more extensions, accruing</w:t>
      </w:r>
    </w:p>
    <w:p>
      <w:pPr>
        <w:spacing w:after="0" w:line="394" w:lineRule="exact"/>
        <w:rPr>
          <w:sz w:val="20"/>
          <w:szCs w:val="20"/>
          <w:color w:val="auto"/>
        </w:rPr>
      </w:pPr>
    </w:p>
    <w:p>
      <w:pPr>
        <w:ind w:left="200" w:right="340" w:hanging="197"/>
        <w:spacing w:after="0" w:line="274" w:lineRule="auto"/>
        <w:rPr>
          <w:sz w:val="20"/>
          <w:szCs w:val="20"/>
          <w:color w:val="auto"/>
        </w:rPr>
      </w:pPr>
      <w:r>
        <w:rPr>
          <w:rFonts w:ascii="Arial" w:cs="Arial" w:eastAsia="Arial" w:hAnsi="Arial"/>
          <w:sz w:val="18"/>
          <w:szCs w:val="18"/>
          <w:color w:val="auto"/>
        </w:rPr>
        <w:t>Contracts with one extension, non-accrual</w:t>
      </w:r>
    </w:p>
    <w:p>
      <w:pPr>
        <w:ind w:left="200" w:right="500" w:hanging="197"/>
        <w:spacing w:after="0" w:line="330" w:lineRule="auto"/>
        <w:rPr>
          <w:sz w:val="20"/>
          <w:szCs w:val="20"/>
          <w:color w:val="auto"/>
        </w:rPr>
      </w:pPr>
      <w:r>
        <w:rPr>
          <w:rFonts w:ascii="Arial" w:cs="Arial" w:eastAsia="Arial" w:hAnsi="Arial"/>
          <w:sz w:val="16"/>
          <w:szCs w:val="16"/>
          <w:color w:val="auto"/>
        </w:rPr>
        <w:t>Contracts with two or more extensions, non-accrual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740"/>
        <w:spacing w:after="0"/>
        <w:rPr>
          <w:sz w:val="20"/>
          <w:szCs w:val="20"/>
          <w:color w:val="auto"/>
        </w:rPr>
      </w:pPr>
      <w:r>
        <w:rPr>
          <w:rFonts w:ascii="Arial" w:cs="Arial" w:eastAsia="Arial" w:hAnsi="Arial"/>
          <w:sz w:val="18"/>
          <w:szCs w:val="18"/>
          <w:b w:val="1"/>
          <w:bCs w:val="1"/>
          <w:color w:val="auto"/>
        </w:rPr>
        <w:t>Delinquency Experience (1)</w:t>
      </w:r>
    </w:p>
    <w:p>
      <w:pPr>
        <w:spacing w:after="0" w:line="27" w:lineRule="exact"/>
        <w:rPr>
          <w:sz w:val="20"/>
          <w:szCs w:val="20"/>
          <w:color w:val="auto"/>
        </w:rPr>
      </w:pPr>
    </w:p>
    <w:p>
      <w:pPr>
        <w:jc w:val="center"/>
        <w:ind w:right="2740"/>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March 31, 2013</w:t>
            </w: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2012</w:t>
            </w:r>
          </w:p>
        </w:tc>
        <w:tc>
          <w:tcPr>
            <w:tcW w:w="262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2012</w:t>
            </w:r>
          </w:p>
        </w:tc>
      </w:tr>
      <w:tr>
        <w:trPr>
          <w:trHeight w:val="191"/>
        </w:trPr>
        <w:tc>
          <w:tcPr>
            <w:tcW w:w="152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28"/>
        </w:trPr>
        <w:tc>
          <w:tcPr>
            <w:tcW w:w="1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54"/>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77,868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917,025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68,975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622,807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74,124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825,186</w:t>
            </w:r>
          </w:p>
        </w:tc>
        <w:tc>
          <w:tcPr>
            <w:tcW w:w="20" w:type="dxa"/>
            <w:vAlign w:val="bottom"/>
          </w:tcPr>
          <w:p>
            <w:pPr>
              <w:spacing w:after="0"/>
              <w:rPr>
                <w:sz w:val="24"/>
                <w:szCs w:val="24"/>
                <w:color w:val="auto"/>
              </w:rPr>
            </w:pPr>
          </w:p>
        </w:tc>
      </w:tr>
      <w:tr>
        <w:trPr>
          <w:trHeight w:val="418"/>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13,121</w:t>
            </w:r>
          </w:p>
        </w:tc>
        <w:tc>
          <w:tcPr>
            <w:tcW w:w="1160" w:type="dxa"/>
            <w:vAlign w:val="bottom"/>
          </w:tcPr>
          <w:p>
            <w:pPr>
              <w:jc w:val="right"/>
              <w:spacing w:after="0"/>
              <w:rPr>
                <w:sz w:val="20"/>
                <w:szCs w:val="20"/>
                <w:color w:val="auto"/>
              </w:rPr>
            </w:pPr>
            <w:r>
              <w:rPr>
                <w:rFonts w:ascii="Arial" w:cs="Arial" w:eastAsia="Arial" w:hAnsi="Arial"/>
                <w:sz w:val="18"/>
                <w:szCs w:val="18"/>
                <w:color w:val="auto"/>
              </w:rPr>
              <w:t>1,081</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5,962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2,545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18,034</w:t>
            </w:r>
          </w:p>
        </w:tc>
        <w:tc>
          <w:tcPr>
            <w:tcW w:w="20" w:type="dxa"/>
            <w:vAlign w:val="bottom"/>
          </w:tcPr>
          <w:p>
            <w:pPr>
              <w:spacing w:after="0"/>
              <w:rPr>
                <w:sz w:val="24"/>
                <w:szCs w:val="24"/>
                <w:color w:val="auto"/>
              </w:rPr>
            </w:pPr>
          </w:p>
        </w:tc>
      </w:tr>
      <w:tr>
        <w:trPr>
          <w:trHeight w:val="230"/>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6,692</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3,823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9,360</w:t>
            </w:r>
          </w:p>
        </w:tc>
        <w:tc>
          <w:tcPr>
            <w:tcW w:w="20" w:type="dxa"/>
            <w:vAlign w:val="bottom"/>
          </w:tcPr>
          <w:p>
            <w:pPr>
              <w:spacing w:after="0"/>
              <w:rPr>
                <w:sz w:val="19"/>
                <w:szCs w:val="19"/>
                <w:color w:val="auto"/>
              </w:rPr>
            </w:pPr>
          </w:p>
        </w:tc>
      </w:tr>
      <w:tr>
        <w:trPr>
          <w:trHeight w:val="230"/>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3,103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3,377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5,297</w:t>
            </w:r>
          </w:p>
        </w:tc>
        <w:tc>
          <w:tcPr>
            <w:tcW w:w="20" w:type="dxa"/>
            <w:vAlign w:val="bottom"/>
          </w:tcPr>
          <w:p>
            <w:pPr>
              <w:spacing w:after="0"/>
              <w:rPr>
                <w:sz w:val="20"/>
                <w:szCs w:val="20"/>
                <w:color w:val="auto"/>
              </w:rPr>
            </w:pPr>
          </w:p>
        </w:tc>
      </w:tr>
      <w:tr>
        <w:trPr>
          <w:trHeight w:val="224"/>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22,916</w:t>
            </w:r>
          </w:p>
        </w:tc>
        <w:tc>
          <w:tcPr>
            <w:tcW w:w="3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13,162</w:t>
            </w:r>
          </w:p>
        </w:tc>
        <w:tc>
          <w:tcPr>
            <w:tcW w:w="3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32,691</w:t>
            </w:r>
          </w:p>
        </w:tc>
        <w:tc>
          <w:tcPr>
            <w:tcW w:w="20" w:type="dxa"/>
            <w:vAlign w:val="bottom"/>
          </w:tcPr>
          <w:p>
            <w:pPr>
              <w:spacing w:after="0"/>
              <w:rPr>
                <w:sz w:val="19"/>
                <w:szCs w:val="19"/>
                <w:color w:val="auto"/>
              </w:rPr>
            </w:pPr>
          </w:p>
        </w:tc>
      </w:tr>
      <w:tr>
        <w:trPr>
          <w:trHeight w:val="242"/>
        </w:trPr>
        <w:tc>
          <w:tcPr>
            <w:tcW w:w="1180" w:type="dxa"/>
            <w:vAlign w:val="bottom"/>
          </w:tcPr>
          <w:p>
            <w:pPr>
              <w:jc w:val="right"/>
              <w:spacing w:after="0"/>
              <w:rPr>
                <w:sz w:val="20"/>
                <w:szCs w:val="20"/>
                <w:color w:val="auto"/>
              </w:rPr>
            </w:pPr>
            <w:r>
              <w:rPr>
                <w:rFonts w:ascii="Arial" w:cs="Arial" w:eastAsia="Arial" w:hAnsi="Arial"/>
                <w:sz w:val="18"/>
                <w:szCs w:val="18"/>
                <w:color w:val="auto"/>
              </w:rPr>
              <w:t>1,933</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14,551</w:t>
            </w:r>
          </w:p>
        </w:tc>
        <w:tc>
          <w:tcPr>
            <w:tcW w:w="1160" w:type="dxa"/>
            <w:vAlign w:val="bottom"/>
          </w:tcPr>
          <w:p>
            <w:pPr>
              <w:jc w:val="right"/>
              <w:spacing w:after="0"/>
              <w:rPr>
                <w:sz w:val="20"/>
                <w:szCs w:val="20"/>
                <w:color w:val="auto"/>
              </w:rPr>
            </w:pPr>
            <w:r>
              <w:rPr>
                <w:rFonts w:ascii="Arial" w:cs="Arial" w:eastAsia="Arial" w:hAnsi="Arial"/>
                <w:sz w:val="18"/>
                <w:szCs w:val="18"/>
                <w:color w:val="auto"/>
              </w:rPr>
              <w:t>1,932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9,204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1,932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12,506</w:t>
            </w:r>
          </w:p>
        </w:tc>
        <w:tc>
          <w:tcPr>
            <w:tcW w:w="20" w:type="dxa"/>
            <w:vAlign w:val="bottom"/>
          </w:tcPr>
          <w:p>
            <w:pPr>
              <w:spacing w:after="0"/>
              <w:rPr>
                <w:sz w:val="21"/>
                <w:szCs w:val="2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80" w:type="dxa"/>
            <w:vAlign w:val="bottom"/>
          </w:tcPr>
          <w:p>
            <w:pPr>
              <w:jc w:val="right"/>
              <w:spacing w:after="0"/>
              <w:rPr>
                <w:sz w:val="20"/>
                <w:szCs w:val="20"/>
                <w:color w:val="auto"/>
              </w:rPr>
            </w:pPr>
            <w:r>
              <w:rPr>
                <w:rFonts w:ascii="Arial" w:cs="Arial" w:eastAsia="Arial" w:hAnsi="Arial"/>
                <w:sz w:val="18"/>
                <w:szCs w:val="18"/>
                <w:color w:val="auto"/>
              </w:rPr>
              <w:t>4,992</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37,467</w:t>
            </w:r>
          </w:p>
        </w:tc>
        <w:tc>
          <w:tcPr>
            <w:tcW w:w="1160" w:type="dxa"/>
            <w:vAlign w:val="bottom"/>
          </w:tcPr>
          <w:p>
            <w:pPr>
              <w:jc w:val="right"/>
              <w:spacing w:after="0"/>
              <w:rPr>
                <w:sz w:val="20"/>
                <w:szCs w:val="20"/>
                <w:color w:val="auto"/>
              </w:rPr>
            </w:pPr>
            <w:r>
              <w:rPr>
                <w:rFonts w:ascii="Arial" w:cs="Arial" w:eastAsia="Arial" w:hAnsi="Arial"/>
                <w:sz w:val="18"/>
                <w:szCs w:val="18"/>
                <w:color w:val="auto"/>
              </w:rPr>
              <w:t>4,095</w:t>
            </w:r>
          </w:p>
        </w:tc>
        <w:tc>
          <w:tcPr>
            <w:tcW w:w="3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22,366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6,429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45,197</w:t>
            </w:r>
          </w:p>
        </w:tc>
        <w:tc>
          <w:tcPr>
            <w:tcW w:w="20" w:type="dxa"/>
            <w:vAlign w:val="bottom"/>
          </w:tcPr>
          <w:p>
            <w:pPr>
              <w:spacing w:after="0"/>
              <w:rPr>
                <w:sz w:val="24"/>
                <w:szCs w:val="24"/>
                <w:color w:val="auto"/>
              </w:rPr>
            </w:pP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648"/>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905"/>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9,475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89,931</w:t>
            </w:r>
          </w:p>
        </w:tc>
        <w:tc>
          <w:tcPr>
            <w:tcW w:w="1160" w:type="dxa"/>
            <w:vAlign w:val="bottom"/>
          </w:tcPr>
          <w:p>
            <w:pPr>
              <w:jc w:val="right"/>
              <w:spacing w:after="0"/>
              <w:rPr>
                <w:sz w:val="20"/>
                <w:szCs w:val="20"/>
                <w:color w:val="auto"/>
              </w:rPr>
            </w:pPr>
            <w:r>
              <w:rPr>
                <w:rFonts w:ascii="Arial" w:cs="Arial" w:eastAsia="Arial" w:hAnsi="Arial"/>
                <w:sz w:val="18"/>
                <w:szCs w:val="18"/>
                <w:color w:val="auto"/>
              </w:rPr>
              <w:t>11,093</w:t>
            </w:r>
          </w:p>
        </w:tc>
        <w:tc>
          <w:tcPr>
            <w:tcW w:w="3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65,260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9,094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73,632</w:t>
            </w:r>
          </w:p>
        </w:tc>
        <w:tc>
          <w:tcPr>
            <w:tcW w:w="20" w:type="dxa"/>
            <w:vAlign w:val="bottom"/>
          </w:tcPr>
          <w:p>
            <w:pPr>
              <w:spacing w:after="0"/>
              <w:rPr>
                <w:sz w:val="24"/>
                <w:szCs w:val="24"/>
                <w:color w:val="auto"/>
              </w:rPr>
            </w:pPr>
          </w:p>
        </w:tc>
      </w:tr>
      <w:tr>
        <w:trPr>
          <w:trHeight w:val="473"/>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6,902</w:t>
            </w:r>
          </w:p>
        </w:tc>
        <w:tc>
          <w:tcPr>
            <w:tcW w:w="18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38,547</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10,701</w:t>
            </w:r>
          </w:p>
        </w:tc>
        <w:tc>
          <w:tcPr>
            <w:tcW w:w="18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62,170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7,795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37,761</w:t>
            </w:r>
          </w:p>
        </w:tc>
        <w:tc>
          <w:tcPr>
            <w:tcW w:w="20" w:type="dxa"/>
            <w:vAlign w:val="bottom"/>
          </w:tcPr>
          <w:p>
            <w:pPr>
              <w:spacing w:after="0"/>
              <w:rPr>
                <w:sz w:val="24"/>
                <w:szCs w:val="24"/>
                <w:color w:val="auto"/>
              </w:rPr>
            </w:pPr>
          </w:p>
        </w:tc>
      </w:tr>
      <w:tr>
        <w:trPr>
          <w:trHeight w:val="224"/>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16,377</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128,478</w:t>
            </w:r>
          </w:p>
        </w:tc>
        <w:tc>
          <w:tcPr>
            <w:tcW w:w="3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21,794</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127,430</w:t>
            </w:r>
          </w:p>
        </w:tc>
        <w:tc>
          <w:tcPr>
            <w:tcW w:w="3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111,393</w:t>
            </w:r>
          </w:p>
        </w:tc>
        <w:tc>
          <w:tcPr>
            <w:tcW w:w="20" w:type="dxa"/>
            <w:vAlign w:val="bottom"/>
          </w:tcPr>
          <w:p>
            <w:pPr>
              <w:spacing w:after="0"/>
              <w:rPr>
                <w:sz w:val="19"/>
                <w:szCs w:val="19"/>
                <w:color w:val="auto"/>
              </w:rPr>
            </w:pPr>
          </w:p>
        </w:tc>
      </w:tr>
      <w:tr>
        <w:trPr>
          <w:trHeight w:val="674"/>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4,090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2,982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4,401</w:t>
            </w:r>
          </w:p>
        </w:tc>
        <w:tc>
          <w:tcPr>
            <w:tcW w:w="20" w:type="dxa"/>
            <w:vAlign w:val="bottom"/>
          </w:tcPr>
          <w:p>
            <w:pPr>
              <w:spacing w:after="0"/>
              <w:rPr>
                <w:sz w:val="24"/>
                <w:szCs w:val="24"/>
                <w:color w:val="auto"/>
              </w:rPr>
            </w:pPr>
          </w:p>
        </w:tc>
      </w:tr>
      <w:tr>
        <w:trPr>
          <w:trHeight w:val="473"/>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2,576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996</w:t>
            </w:r>
          </w:p>
        </w:tc>
        <w:tc>
          <w:tcPr>
            <w:tcW w:w="18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5,382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4,344</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-3935730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-3635375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-3361055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-3077845</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-2769235</wp:posOffset>
            </wp:positionV>
            <wp:extent cx="7246620"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-2169160</wp:posOffset>
            </wp:positionV>
            <wp:extent cx="724662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-1619885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-1183005</wp:posOffset>
            </wp:positionV>
            <wp:extent cx="724662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-736600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-299720</wp:posOffset>
            </wp:positionV>
            <wp:extent cx="724662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480" w:space="260"/>
            <w:col w:w="868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7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27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1,151</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6,666</w:t>
            </w:r>
          </w:p>
        </w:tc>
        <w:tc>
          <w:tcPr>
            <w:tcW w:w="14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1,636</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8,364</w:t>
            </w:r>
          </w:p>
        </w:tc>
        <w:tc>
          <w:tcPr>
            <w:tcW w:w="146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1,676</w:t>
            </w: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8,745</w:t>
            </w:r>
          </w:p>
        </w:tc>
        <w:tc>
          <w:tcPr>
            <w:tcW w:w="80" w:type="dxa"/>
            <w:vAlign w:val="bottom"/>
          </w:tcPr>
          <w:p>
            <w:pPr>
              <w:spacing w:after="0"/>
              <w:rPr>
                <w:sz w:val="16"/>
                <w:szCs w:val="16"/>
                <w:color w:val="auto"/>
              </w:rPr>
            </w:pPr>
          </w:p>
        </w:tc>
      </w:tr>
      <w:tr>
        <w:trPr>
          <w:trHeight w:val="230"/>
        </w:trPr>
        <w:tc>
          <w:tcPr>
            <w:tcW w:w="274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spacing w:after="0"/>
              <w:rPr>
                <w:sz w:val="19"/>
                <w:szCs w:val="19"/>
                <w:color w:val="auto"/>
              </w:rPr>
            </w:pPr>
          </w:p>
        </w:tc>
        <w:tc>
          <w:tcPr>
            <w:tcW w:w="82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82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840" w:type="dxa"/>
            <w:vAlign w:val="bottom"/>
            <w:tcBorders>
              <w:bottom w:val="single" w:sz="8" w:color="auto"/>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17,528</w:t>
            </w:r>
          </w:p>
        </w:tc>
        <w:tc>
          <w:tcPr>
            <w:tcW w:w="3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23,430</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135,794</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18,565</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120,138</w:t>
            </w:r>
          </w:p>
        </w:tc>
        <w:tc>
          <w:tcPr>
            <w:tcW w:w="8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19"/>
        </w:trPr>
        <w:tc>
          <w:tcPr>
            <w:tcW w:w="2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Delinquency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March 31, 2013</w:t>
            </w: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2012</w:t>
            </w:r>
          </w:p>
        </w:tc>
        <w:tc>
          <w:tcPr>
            <w:tcW w:w="270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Borders>
              <w:top w:val="single" w:sz="8" w:color="auto"/>
            </w:tcBorders>
            <w:gridSpan w:val="2"/>
          </w:tcPr>
          <w:p>
            <w:pPr>
              <w:ind w:left="180"/>
              <w:spacing w:after="0" w:line="191" w:lineRule="exact"/>
              <w:rPr>
                <w:sz w:val="20"/>
                <w:szCs w:val="20"/>
                <w:color w:val="auto"/>
              </w:rPr>
            </w:pPr>
            <w:r>
              <w:rPr>
                <w:rFonts w:ascii="Arial" w:cs="Arial" w:eastAsia="Arial" w:hAnsi="Arial"/>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Contracts</w:t>
            </w:r>
          </w:p>
        </w:tc>
        <w:tc>
          <w:tcPr>
            <w:tcW w:w="16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right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right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180" w:type="dxa"/>
            <w:vAlign w:val="bottom"/>
          </w:tcPr>
          <w:p>
            <w:pPr>
              <w:jc w:val="right"/>
              <w:spacing w:after="0"/>
              <w:rPr>
                <w:sz w:val="20"/>
                <w:szCs w:val="20"/>
                <w:color w:val="auto"/>
              </w:rPr>
            </w:pPr>
            <w:r>
              <w:rPr>
                <w:rFonts w:ascii="Arial" w:cs="Arial" w:eastAsia="Arial" w:hAnsi="Arial"/>
                <w:sz w:val="18"/>
                <w:szCs w:val="18"/>
                <w:color w:val="auto"/>
              </w:rPr>
              <w:t>11,374</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43,284</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38,580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211,045</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15,039</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60,807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1,054</w:t>
            </w:r>
          </w:p>
        </w:tc>
        <w:tc>
          <w:tcPr>
            <w:tcW w:w="1160" w:type="dxa"/>
            <w:vAlign w:val="bottom"/>
          </w:tcPr>
          <w:p>
            <w:pPr>
              <w:jc w:val="right"/>
              <w:spacing w:after="0"/>
              <w:rPr>
                <w:sz w:val="20"/>
                <w:szCs w:val="20"/>
                <w:color w:val="auto"/>
              </w:rPr>
            </w:pPr>
            <w:r>
              <w:rPr>
                <w:rFonts w:ascii="Arial" w:cs="Arial" w:eastAsia="Arial" w:hAnsi="Arial"/>
                <w:sz w:val="18"/>
                <w:szCs w:val="18"/>
                <w:color w:val="auto"/>
              </w:rPr>
              <w:t>2,188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11,132</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414</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2,460</w:t>
            </w:r>
          </w:p>
        </w:tc>
        <w:tc>
          <w:tcPr>
            <w:tcW w:w="1480" w:type="dxa"/>
            <w:vAlign w:val="bottom"/>
            <w:tcBorders>
              <w:right w:val="single" w:sz="8" w:color="EEEEEE"/>
            </w:tcBorders>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91+ days</w:t>
            </w: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210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1,178</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525</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1,678</w:t>
            </w:r>
          </w:p>
        </w:tc>
        <w:tc>
          <w:tcPr>
            <w:tcW w:w="3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2,958</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14,770</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939</w:t>
            </w:r>
          </w:p>
        </w:tc>
        <w:tc>
          <w:tcPr>
            <w:tcW w:w="340" w:type="dxa"/>
            <w:vAlign w:val="bottom"/>
            <w:tcBorders>
              <w:top w:val="single" w:sz="8" w:color="EEEEEE"/>
              <w:right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3,247</w:t>
            </w: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568</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990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vMerge w:val="restart"/>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right w:val="single" w:sz="8" w:color="EEEEEE"/>
            </w:tcBorders>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EEEEEE"/>
            </w:tcBorders>
            <w:shd w:val="clear" w:color="auto" w:fill="000000"/>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vMerge w:val="continue"/>
            <w:shd w:val="clear" w:color="auto" w:fill="EEEEEE"/>
          </w:tcPr>
          <w:p>
            <w:pPr>
              <w:spacing w:after="0"/>
              <w:rPr>
                <w:sz w:val="15"/>
                <w:szCs w:val="15"/>
                <w:color w:val="auto"/>
              </w:rPr>
            </w:pPr>
          </w:p>
        </w:tc>
        <w:tc>
          <w:tcPr>
            <w:tcW w:w="1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rPr>
              <w:t>667</w:t>
            </w:r>
          </w:p>
        </w:tc>
        <w:tc>
          <w:tcPr>
            <w:tcW w:w="340" w:type="dxa"/>
            <w:vAlign w:val="bottom"/>
            <w:vMerge w:val="restart"/>
            <w:shd w:val="clear" w:color="auto" w:fill="EEEEEE"/>
          </w:tcPr>
          <w:p>
            <w:pPr>
              <w:spacing w:after="0"/>
              <w:rPr>
                <w:sz w:val="15"/>
                <w:szCs w:val="15"/>
                <w:color w:val="auto"/>
              </w:rPr>
            </w:pP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EEEEEE"/>
          </w:tcPr>
          <w:p>
            <w:pPr>
              <w:jc w:val="right"/>
              <w:ind w:right="360"/>
              <w:spacing w:after="0"/>
              <w:rPr>
                <w:sz w:val="20"/>
                <w:szCs w:val="20"/>
                <w:color w:val="auto"/>
              </w:rPr>
            </w:pPr>
            <w:r>
              <w:rPr>
                <w:rFonts w:ascii="Arial" w:cs="Arial" w:eastAsia="Arial" w:hAnsi="Arial"/>
                <w:sz w:val="18"/>
                <w:szCs w:val="18"/>
                <w:color w:val="auto"/>
              </w:rPr>
              <w:t>2,246</w:t>
            </w:r>
          </w:p>
        </w:tc>
        <w:tc>
          <w:tcPr>
            <w:tcW w:w="116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rPr>
              <w:t>3,088</w:t>
            </w:r>
          </w:p>
        </w:tc>
        <w:tc>
          <w:tcPr>
            <w:tcW w:w="320" w:type="dxa"/>
            <w:vAlign w:val="bottom"/>
            <w:shd w:val="clear" w:color="auto" w:fill="EEEEEE"/>
          </w:tcPr>
          <w:p>
            <w:pPr>
              <w:spacing w:after="0"/>
              <w:rPr>
                <w:sz w:val="15"/>
                <w:szCs w:val="15"/>
                <w:color w:val="auto"/>
              </w:rPr>
            </w:pP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15,760</w:t>
            </w:r>
          </w:p>
        </w:tc>
        <w:tc>
          <w:tcPr>
            <w:tcW w:w="1480" w:type="dxa"/>
            <w:vAlign w:val="bottom"/>
            <w:tcBorders>
              <w:right w:val="single" w:sz="8" w:color="EEEEEE"/>
            </w:tcBorders>
            <w:gridSpan w:val="2"/>
            <w:vMerge w:val="restart"/>
            <w:shd w:val="clear" w:color="auto" w:fill="EEEEEE"/>
          </w:tcPr>
          <w:p>
            <w:pPr>
              <w:jc w:val="right"/>
              <w:ind w:right="340"/>
              <w:spacing w:after="0"/>
              <w:rPr>
                <w:sz w:val="20"/>
                <w:szCs w:val="20"/>
                <w:color w:val="auto"/>
              </w:rPr>
            </w:pPr>
            <w:r>
              <w:rPr>
                <w:rFonts w:ascii="Arial" w:cs="Arial" w:eastAsia="Arial" w:hAnsi="Arial"/>
                <w:sz w:val="18"/>
                <w:szCs w:val="18"/>
                <w:color w:val="auto"/>
              </w:rPr>
              <w:t>1,114</w:t>
            </w:r>
          </w:p>
        </w:tc>
        <w:tc>
          <w:tcPr>
            <w:tcW w:w="160" w:type="dxa"/>
            <w:vAlign w:val="bottom"/>
            <w:vMerge w:val="restart"/>
            <w:shd w:val="clear" w:color="auto" w:fill="EEEEEE"/>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EEEEEE"/>
            </w:tcBorders>
            <w:vMerge w:val="restart"/>
            <w:shd w:val="clear" w:color="auto" w:fill="EEEEEE"/>
          </w:tcPr>
          <w:p>
            <w:pPr>
              <w:jc w:val="right"/>
              <w:spacing w:after="0"/>
              <w:rPr>
                <w:sz w:val="20"/>
                <w:szCs w:val="20"/>
                <w:color w:val="auto"/>
              </w:rPr>
            </w:pPr>
            <w:r>
              <w:rPr>
                <w:rFonts w:ascii="Arial" w:cs="Arial" w:eastAsia="Arial" w:hAnsi="Arial"/>
                <w:sz w:val="18"/>
                <w:szCs w:val="18"/>
                <w:color w:val="auto"/>
              </w:rPr>
              <w:t>3,950</w:t>
            </w:r>
          </w:p>
        </w:tc>
        <w:tc>
          <w:tcPr>
            <w:tcW w:w="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(2)</w:t>
            </w:r>
          </w:p>
        </w:tc>
        <w:tc>
          <w:tcPr>
            <w:tcW w:w="1180" w:type="dxa"/>
            <w:vAlign w:val="bottom"/>
            <w:vMerge w:val="continue"/>
            <w:shd w:val="clear" w:color="auto" w:fill="EEEEEE"/>
          </w:tcPr>
          <w:p>
            <w:pPr>
              <w:spacing w:after="0"/>
              <w:rPr>
                <w:sz w:val="18"/>
                <w:szCs w:val="18"/>
                <w:color w:val="auto"/>
              </w:rPr>
            </w:pPr>
          </w:p>
        </w:tc>
        <w:tc>
          <w:tcPr>
            <w:tcW w:w="340" w:type="dxa"/>
            <w:vAlign w:val="bottom"/>
            <w:vMerge w:val="continue"/>
            <w:shd w:val="clear" w:color="auto" w:fill="EEEEEE"/>
          </w:tcPr>
          <w:p>
            <w:pPr>
              <w:spacing w:after="0"/>
              <w:rPr>
                <w:sz w:val="18"/>
                <w:szCs w:val="18"/>
                <w:color w:val="auto"/>
              </w:rPr>
            </w:pPr>
          </w:p>
        </w:tc>
        <w:tc>
          <w:tcPr>
            <w:tcW w:w="180" w:type="dxa"/>
            <w:vAlign w:val="bottom"/>
            <w:vMerge w:val="continue"/>
            <w:shd w:val="clear" w:color="auto" w:fill="EEEEEE"/>
          </w:tcPr>
          <w:p>
            <w:pPr>
              <w:spacing w:after="0"/>
              <w:rPr>
                <w:sz w:val="18"/>
                <w:szCs w:val="18"/>
                <w:color w:val="auto"/>
              </w:rPr>
            </w:pPr>
          </w:p>
        </w:tc>
        <w:tc>
          <w:tcPr>
            <w:tcW w:w="1340" w:type="dxa"/>
            <w:vAlign w:val="bottom"/>
            <w:gridSpan w:val="2"/>
            <w:vMerge w:val="continue"/>
            <w:shd w:val="clear" w:color="auto" w:fill="EEEEEE"/>
          </w:tcPr>
          <w:p>
            <w:pPr>
              <w:spacing w:after="0"/>
              <w:rPr>
                <w:sz w:val="18"/>
                <w:szCs w:val="18"/>
                <w:color w:val="auto"/>
              </w:rPr>
            </w:pPr>
          </w:p>
        </w:tc>
        <w:tc>
          <w:tcPr>
            <w:tcW w:w="1160" w:type="dxa"/>
            <w:vAlign w:val="bottom"/>
            <w:vMerge w:val="continue"/>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vMerge w:val="continue"/>
            <w:shd w:val="clear" w:color="auto" w:fill="EEEEEE"/>
          </w:tcPr>
          <w:p>
            <w:pPr>
              <w:spacing w:after="0"/>
              <w:rPr>
                <w:sz w:val="18"/>
                <w:szCs w:val="18"/>
                <w:color w:val="auto"/>
              </w:rPr>
            </w:pPr>
          </w:p>
        </w:tc>
        <w:tc>
          <w:tcPr>
            <w:tcW w:w="1280" w:type="dxa"/>
            <w:vAlign w:val="bottom"/>
            <w:gridSpan w:val="2"/>
            <w:vMerge w:val="continue"/>
            <w:shd w:val="clear" w:color="auto" w:fill="EEEEEE"/>
          </w:tcPr>
          <w:p>
            <w:pPr>
              <w:spacing w:after="0"/>
              <w:rPr>
                <w:sz w:val="18"/>
                <w:szCs w:val="18"/>
                <w:color w:val="auto"/>
              </w:rPr>
            </w:pPr>
          </w:p>
        </w:tc>
        <w:tc>
          <w:tcPr>
            <w:tcW w:w="1480" w:type="dxa"/>
            <w:vAlign w:val="bottom"/>
            <w:tcBorders>
              <w:right w:val="single" w:sz="8" w:color="EEEEEE"/>
            </w:tcBorders>
            <w:gridSpan w:val="2"/>
            <w:vMerge w:val="continue"/>
            <w:shd w:val="clear" w:color="auto" w:fill="EEEEEE"/>
          </w:tcPr>
          <w:p>
            <w:pPr>
              <w:spacing w:after="0"/>
              <w:rPr>
                <w:sz w:val="18"/>
                <w:szCs w:val="18"/>
                <w:color w:val="auto"/>
              </w:rPr>
            </w:pPr>
          </w:p>
        </w:tc>
        <w:tc>
          <w:tcPr>
            <w:tcW w:w="160" w:type="dxa"/>
            <w:vAlign w:val="bottom"/>
            <w:vMerge w:val="continue"/>
            <w:shd w:val="clear" w:color="auto" w:fill="EEEEEE"/>
          </w:tcPr>
          <w:p>
            <w:pPr>
              <w:spacing w:after="0"/>
              <w:rPr>
                <w:sz w:val="18"/>
                <w:szCs w:val="18"/>
                <w:color w:val="auto"/>
              </w:rPr>
            </w:pPr>
          </w:p>
        </w:tc>
        <w:tc>
          <w:tcPr>
            <w:tcW w:w="980" w:type="dxa"/>
            <w:vAlign w:val="bottom"/>
            <w:tcBorders>
              <w:right w:val="single" w:sz="8" w:color="EEEEEE"/>
            </w:tcBorders>
            <w:vMerge w:val="continue"/>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bottom w:val="single" w:sz="8" w:color="EEEEEE"/>
            </w:tcBorders>
            <w:vMerge w:val="restart"/>
          </w:tcPr>
          <w:p>
            <w:pPr>
              <w:spacing w:after="0" w:line="195" w:lineRule="exact"/>
              <w:rPr>
                <w:sz w:val="20"/>
                <w:szCs w:val="20"/>
                <w:color w:val="auto"/>
              </w:rPr>
            </w:pPr>
            <w:r>
              <w:rPr>
                <w:rFonts w:ascii="Arial" w:cs="Arial" w:eastAsia="Arial" w:hAnsi="Arial"/>
                <w:sz w:val="18"/>
                <w:szCs w:val="18"/>
                <w:color w:val="auto"/>
              </w:rPr>
              <w:t>Delinquencies as a percentage of</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4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7"/>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7.5%</w:t>
            </w:r>
          </w:p>
        </w:tc>
        <w:tc>
          <w:tcPr>
            <w:tcW w:w="1480" w:type="dxa"/>
            <w:vAlign w:val="bottom"/>
            <w:tcBorders>
              <w:right w:val="single" w:sz="8" w:color="EEEEEE"/>
            </w:tcBorders>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accruing</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2,683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12,196</w:t>
            </w:r>
          </w:p>
        </w:tc>
        <w:tc>
          <w:tcPr>
            <w:tcW w:w="1160" w:type="dxa"/>
            <w:vAlign w:val="bottom"/>
          </w:tcPr>
          <w:p>
            <w:pPr>
              <w:jc w:val="right"/>
              <w:spacing w:after="0"/>
              <w:rPr>
                <w:sz w:val="20"/>
                <w:szCs w:val="20"/>
                <w:color w:val="auto"/>
              </w:rPr>
            </w:pPr>
            <w:r>
              <w:rPr>
                <w:rFonts w:ascii="Arial" w:cs="Arial" w:eastAsia="Arial" w:hAnsi="Arial"/>
                <w:sz w:val="18"/>
                <w:szCs w:val="18"/>
                <w:color w:val="auto"/>
              </w:rPr>
              <w:t>1,576</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9,524</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3,117</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4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accruing</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1,786</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54</w:t>
            </w:r>
          </w:p>
        </w:tc>
        <w:tc>
          <w:tcPr>
            <w:tcW w:w="1480" w:type="dxa"/>
            <w:vAlign w:val="bottom"/>
            <w:tcBorders>
              <w:right w:val="single" w:sz="8" w:color="EEEEEE"/>
            </w:tcBorders>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EEEEEE"/>
          </w:tcPr>
          <w:p>
            <w:pPr>
              <w:spacing w:after="0"/>
              <w:rPr>
                <w:sz w:val="20"/>
                <w:szCs w:val="20"/>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13,982</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non-accrual</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213</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4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non-accrual</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EEEEEE"/>
          </w:tcPr>
          <w:p>
            <w:pPr>
              <w:spacing w:after="0"/>
              <w:rPr>
                <w:sz w:val="20"/>
                <w:szCs w:val="20"/>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EEEEEE"/>
            </w:tcBorders>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EEEEEE"/>
          </w:tcPr>
          <w:p>
            <w:pPr>
              <w:spacing w:after="0"/>
              <w:rPr>
                <w:sz w:val="20"/>
                <w:szCs w:val="20"/>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14,407</w:t>
            </w:r>
          </w:p>
        </w:tc>
        <w:tc>
          <w:tcPr>
            <w:tcW w:w="3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9,791</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Delinquency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March 31, 2013</w:t>
            </w: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2012</w:t>
            </w:r>
          </w:p>
        </w:tc>
        <w:tc>
          <w:tcPr>
            <w:tcW w:w="2700" w:type="dxa"/>
            <w:vAlign w:val="bottom"/>
            <w:gridSpan w:val="7"/>
          </w:tcPr>
          <w:p>
            <w:pPr>
              <w:ind w:left="56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Number of</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Contracts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89,242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960,310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96,218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756,016</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89,163</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885,993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2,038</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14,175</w:t>
            </w:r>
          </w:p>
        </w:tc>
        <w:tc>
          <w:tcPr>
            <w:tcW w:w="1160" w:type="dxa"/>
            <w:vAlign w:val="bottom"/>
          </w:tcPr>
          <w:p>
            <w:pPr>
              <w:jc w:val="right"/>
              <w:spacing w:after="0"/>
              <w:rPr>
                <w:sz w:val="20"/>
                <w:szCs w:val="20"/>
                <w:color w:val="auto"/>
              </w:rPr>
            </w:pPr>
            <w:r>
              <w:rPr>
                <w:rFonts w:ascii="Arial" w:cs="Arial" w:eastAsia="Arial" w:hAnsi="Arial"/>
                <w:sz w:val="18"/>
                <w:szCs w:val="18"/>
                <w:color w:val="auto"/>
              </w:rPr>
              <w:t>1,492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7,637</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3,166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1,039</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7,376</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4,605</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1,383</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10,070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3,313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639</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3,862</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3,584</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24,864</w:t>
            </w:r>
          </w:p>
        </w:tc>
        <w:tc>
          <w:tcPr>
            <w:tcW w:w="3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2,900</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16,104</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5,436</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35,939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Amount in repossession (3)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34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15,119</w:t>
            </w:r>
          </w:p>
        </w:tc>
        <w:tc>
          <w:tcPr>
            <w:tcW w:w="360" w:type="dxa"/>
            <w:vAlign w:val="bottom"/>
            <w:tcBorders>
              <w:bottom w:val="single" w:sz="8" w:color="EEEEEE"/>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3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10,455</w:t>
            </w:r>
          </w:p>
        </w:tc>
        <w:tc>
          <w:tcPr>
            <w:tcW w:w="32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3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13,209</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shd w:val="clear" w:color="auto" w:fill="EEEEEE"/>
          </w:tcPr>
          <w:p>
            <w:pPr>
              <w:spacing w:after="0" w:line="182" w:lineRule="exact"/>
              <w:rPr>
                <w:sz w:val="20"/>
                <w:szCs w:val="20"/>
                <w:color w:val="auto"/>
              </w:rPr>
            </w:pPr>
            <w:r>
              <w:rPr>
                <w:rFonts w:ascii="Arial" w:cs="Arial" w:eastAsia="Arial" w:hAnsi="Arial"/>
                <w:sz w:val="18"/>
                <w:szCs w:val="18"/>
                <w:color w:val="auto"/>
                <w:w w:val="98"/>
              </w:rPr>
              <w:t>Total delinquencies and amount in</w:t>
            </w:r>
          </w:p>
        </w:tc>
        <w:tc>
          <w:tcPr>
            <w:tcW w:w="1520" w:type="dxa"/>
            <w:vAlign w:val="bottom"/>
            <w:gridSpan w:val="2"/>
            <w:vMerge w:val="restart"/>
            <w:shd w:val="clear" w:color="auto" w:fill="EEEEEE"/>
          </w:tcPr>
          <w:p>
            <w:pPr>
              <w:jc w:val="right"/>
              <w:ind w:right="340"/>
              <w:spacing w:after="0"/>
              <w:rPr>
                <w:sz w:val="20"/>
                <w:szCs w:val="20"/>
                <w:color w:val="auto"/>
              </w:rPr>
            </w:pPr>
            <w:r>
              <w:rPr>
                <w:rFonts w:ascii="Arial" w:cs="Arial" w:eastAsia="Arial" w:hAnsi="Arial"/>
                <w:sz w:val="18"/>
                <w:szCs w:val="18"/>
                <w:color w:val="auto"/>
              </w:rPr>
              <w:t>5,659</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EEEEEE"/>
          </w:tcPr>
          <w:p>
            <w:pPr>
              <w:jc w:val="right"/>
              <w:ind w:right="360"/>
              <w:spacing w:after="0"/>
              <w:rPr>
                <w:sz w:val="20"/>
                <w:szCs w:val="20"/>
                <w:color w:val="auto"/>
              </w:rPr>
            </w:pPr>
            <w:r>
              <w:rPr>
                <w:rFonts w:ascii="Arial" w:cs="Arial" w:eastAsia="Arial" w:hAnsi="Arial"/>
                <w:sz w:val="18"/>
                <w:szCs w:val="18"/>
                <w:color w:val="auto"/>
              </w:rPr>
              <w:t>39,983</w:t>
            </w:r>
          </w:p>
        </w:tc>
        <w:tc>
          <w:tcPr>
            <w:tcW w:w="116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rPr>
              <w:t>5,089</w:t>
            </w:r>
          </w:p>
        </w:tc>
        <w:tc>
          <w:tcPr>
            <w:tcW w:w="320" w:type="dxa"/>
            <w:vAlign w:val="bottom"/>
            <w:shd w:val="clear" w:color="auto" w:fill="EEEEEE"/>
          </w:tcPr>
          <w:p>
            <w:pPr>
              <w:spacing w:after="0"/>
              <w:rPr>
                <w:sz w:val="15"/>
                <w:szCs w:val="15"/>
                <w:color w:val="auto"/>
              </w:rPr>
            </w:pP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26,559</w:t>
            </w:r>
          </w:p>
        </w:tc>
        <w:tc>
          <w:tcPr>
            <w:tcW w:w="146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7,543</w:t>
            </w:r>
          </w:p>
        </w:tc>
        <w:tc>
          <w:tcPr>
            <w:tcW w:w="160" w:type="dxa"/>
            <w:vAlign w:val="bottom"/>
            <w:gridSpan w:val="2"/>
            <w:vMerge w:val="restart"/>
            <w:shd w:val="clear" w:color="auto" w:fill="EEEEEE"/>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EEEEEE"/>
          </w:tcPr>
          <w:p>
            <w:pPr>
              <w:jc w:val="right"/>
              <w:ind w:right="20"/>
              <w:spacing w:after="0"/>
              <w:rPr>
                <w:sz w:val="20"/>
                <w:szCs w:val="20"/>
                <w:color w:val="auto"/>
              </w:rPr>
            </w:pPr>
            <w:r>
              <w:rPr>
                <w:rFonts w:ascii="Arial" w:cs="Arial" w:eastAsia="Arial" w:hAnsi="Arial"/>
                <w:sz w:val="18"/>
                <w:szCs w:val="18"/>
                <w:color w:val="auto"/>
              </w:rPr>
              <w:t>49,148</w:t>
            </w:r>
          </w:p>
        </w:tc>
        <w:tc>
          <w:tcPr>
            <w:tcW w:w="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(2)</w:t>
            </w:r>
          </w:p>
        </w:tc>
        <w:tc>
          <w:tcPr>
            <w:tcW w:w="1520" w:type="dxa"/>
            <w:vAlign w:val="bottom"/>
            <w:gridSpan w:val="2"/>
            <w:vMerge w:val="continue"/>
            <w:shd w:val="clear" w:color="auto" w:fill="EEEEEE"/>
          </w:tcPr>
          <w:p>
            <w:pPr>
              <w:spacing w:after="0"/>
              <w:rPr>
                <w:sz w:val="18"/>
                <w:szCs w:val="18"/>
                <w:color w:val="auto"/>
              </w:rPr>
            </w:pPr>
          </w:p>
        </w:tc>
        <w:tc>
          <w:tcPr>
            <w:tcW w:w="180" w:type="dxa"/>
            <w:vAlign w:val="bottom"/>
            <w:vMerge w:val="continue"/>
            <w:shd w:val="clear" w:color="auto" w:fill="EEEEEE"/>
          </w:tcPr>
          <w:p>
            <w:pPr>
              <w:spacing w:after="0"/>
              <w:rPr>
                <w:sz w:val="18"/>
                <w:szCs w:val="18"/>
                <w:color w:val="auto"/>
              </w:rPr>
            </w:pPr>
          </w:p>
        </w:tc>
        <w:tc>
          <w:tcPr>
            <w:tcW w:w="1340" w:type="dxa"/>
            <w:vAlign w:val="bottom"/>
            <w:gridSpan w:val="2"/>
            <w:vMerge w:val="continue"/>
            <w:shd w:val="clear" w:color="auto" w:fill="EEEEEE"/>
          </w:tcPr>
          <w:p>
            <w:pPr>
              <w:spacing w:after="0"/>
              <w:rPr>
                <w:sz w:val="18"/>
                <w:szCs w:val="18"/>
                <w:color w:val="auto"/>
              </w:rPr>
            </w:pPr>
          </w:p>
        </w:tc>
        <w:tc>
          <w:tcPr>
            <w:tcW w:w="1160" w:type="dxa"/>
            <w:vAlign w:val="bottom"/>
            <w:vMerge w:val="continue"/>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vMerge w:val="continue"/>
            <w:shd w:val="clear" w:color="auto" w:fill="EEEEEE"/>
          </w:tcPr>
          <w:p>
            <w:pPr>
              <w:spacing w:after="0"/>
              <w:rPr>
                <w:sz w:val="18"/>
                <w:szCs w:val="18"/>
                <w:color w:val="auto"/>
              </w:rPr>
            </w:pPr>
          </w:p>
        </w:tc>
        <w:tc>
          <w:tcPr>
            <w:tcW w:w="1280" w:type="dxa"/>
            <w:vAlign w:val="bottom"/>
            <w:gridSpan w:val="2"/>
            <w:vMerge w:val="continue"/>
            <w:shd w:val="clear" w:color="auto" w:fill="EEEEEE"/>
          </w:tcPr>
          <w:p>
            <w:pPr>
              <w:spacing w:after="0"/>
              <w:rPr>
                <w:sz w:val="18"/>
                <w:szCs w:val="18"/>
                <w:color w:val="auto"/>
              </w:rPr>
            </w:pPr>
          </w:p>
        </w:tc>
        <w:tc>
          <w:tcPr>
            <w:tcW w:w="1460" w:type="dxa"/>
            <w:vAlign w:val="bottom"/>
            <w:gridSpan w:val="2"/>
            <w:vMerge w:val="continue"/>
            <w:shd w:val="clear" w:color="auto" w:fill="EEEEEE"/>
          </w:tcPr>
          <w:p>
            <w:pPr>
              <w:spacing w:after="0"/>
              <w:rPr>
                <w:sz w:val="18"/>
                <w:szCs w:val="18"/>
                <w:color w:val="auto"/>
              </w:rPr>
            </w:pPr>
          </w:p>
        </w:tc>
        <w:tc>
          <w:tcPr>
            <w:tcW w:w="160" w:type="dxa"/>
            <w:vAlign w:val="bottom"/>
            <w:gridSpan w:val="2"/>
            <w:vMerge w:val="continue"/>
            <w:shd w:val="clear" w:color="auto" w:fill="EEEEEE"/>
          </w:tcPr>
          <w:p>
            <w:pPr>
              <w:spacing w:after="0"/>
              <w:rPr>
                <w:sz w:val="18"/>
                <w:szCs w:val="18"/>
                <w:color w:val="auto"/>
              </w:rPr>
            </w:pPr>
          </w:p>
        </w:tc>
        <w:tc>
          <w:tcPr>
            <w:tcW w:w="1000" w:type="dxa"/>
            <w:vAlign w:val="bottom"/>
            <w:gridSpan w:val="2"/>
            <w:vMerge w:val="continue"/>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bottom w:val="single" w:sz="8" w:color="EEEEEE"/>
            </w:tcBorders>
            <w:vMerge w:val="restart"/>
          </w:tcPr>
          <w:p>
            <w:pPr>
              <w:spacing w:after="0" w:line="195" w:lineRule="exact"/>
              <w:rPr>
                <w:sz w:val="20"/>
                <w:szCs w:val="20"/>
                <w:color w:val="auto"/>
              </w:rPr>
            </w:pPr>
            <w:r>
              <w:rPr>
                <w:rFonts w:ascii="Arial" w:cs="Arial" w:eastAsia="Arial" w:hAnsi="Arial"/>
                <w:sz w:val="18"/>
                <w:szCs w:val="18"/>
                <w:color w:val="auto"/>
              </w:rPr>
              <w:t>Delinquencies as a percentage of</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7"/>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8.5%</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accruing</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12,158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79,527</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12,669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71,784</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12,211</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88,894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accruing</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7,228</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45,033</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10,713</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65,224</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7,929</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38,478</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19,386</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124,560</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23,382</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137,008</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non-accrual</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4,090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3,018</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non-accrual</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864</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3,941</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996</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5,559</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4,364</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8,031</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8,577</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20,955</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132,591</w:t>
            </w:r>
          </w:p>
        </w:tc>
        <w:tc>
          <w:tcPr>
            <w:tcW w:w="3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25,054</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145,585</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90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0"/>
          <w:szCs w:val="20"/>
          <w:color w:val="auto"/>
        </w:rPr>
      </w:pPr>
    </w:p>
    <w:p>
      <w:pPr>
        <w:jc w:val="both"/>
        <w:ind w:left="400" w:firstLine="4"/>
        <w:spacing w:after="0" w:line="286" w:lineRule="auto"/>
        <w:tabs>
          <w:tab w:leader="none" w:pos="659"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to or financed in securitization transactions that we continue to service.</w:t>
      </w:r>
    </w:p>
    <w:p>
      <w:pPr>
        <w:spacing w:after="0" w:line="3" w:lineRule="exact"/>
        <w:rPr>
          <w:rFonts w:ascii="Arial" w:cs="Arial" w:eastAsia="Arial" w:hAnsi="Arial"/>
          <w:sz w:val="17"/>
          <w:szCs w:val="17"/>
          <w:i w:val="1"/>
          <w:iCs w:val="1"/>
          <w:color w:val="auto"/>
        </w:rPr>
      </w:pPr>
    </w:p>
    <w:p>
      <w:pPr>
        <w:jc w:val="both"/>
        <w:ind w:left="400" w:firstLine="4"/>
        <w:spacing w:after="0" w:line="286" w:lineRule="auto"/>
        <w:tabs>
          <w:tab w:leader="none" w:pos="65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w:t>
      </w:r>
    </w:p>
    <w:p>
      <w:pPr>
        <w:spacing w:after="0" w:line="3" w:lineRule="exact"/>
        <w:rPr>
          <w:rFonts w:ascii="Arial" w:cs="Arial" w:eastAsia="Arial" w:hAnsi="Arial"/>
          <w:sz w:val="17"/>
          <w:szCs w:val="17"/>
          <w:i w:val="1"/>
          <w:iCs w:val="1"/>
          <w:color w:val="auto"/>
        </w:rPr>
      </w:pPr>
    </w:p>
    <w:p>
      <w:pPr>
        <w:ind w:left="660" w:hanging="256"/>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Net Charge-Off Experience (1)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tcPr>
          <w:p>
            <w:pPr>
              <w:spacing w:after="0"/>
              <w:rPr>
                <w:sz w:val="19"/>
                <w:szCs w:val="19"/>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March 31,</w:t>
            </w:r>
          </w:p>
        </w:tc>
        <w:tc>
          <w:tcPr>
            <w:tcW w:w="32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2013</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885,741</w:t>
            </w:r>
          </w:p>
        </w:tc>
        <w:tc>
          <w:tcPr>
            <w:tcW w:w="4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608,240</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699,030</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400"/>
        </w:trPr>
        <w:tc>
          <w:tcPr>
            <w:tcW w:w="7580" w:type="dxa"/>
            <w:vAlign w:val="bottom"/>
            <w:gridSpan w:val="4"/>
          </w:tcPr>
          <w:p>
            <w:pPr>
              <w:jc w:val="center"/>
              <w:ind w:left="3750"/>
              <w:spacing w:after="0"/>
              <w:rPr>
                <w:sz w:val="20"/>
                <w:szCs w:val="20"/>
                <w:color w:val="auto"/>
              </w:rPr>
            </w:pPr>
            <w:r>
              <w:rPr>
                <w:rFonts w:ascii="Arial" w:cs="Arial" w:eastAsia="Arial" w:hAnsi="Arial"/>
                <w:sz w:val="18"/>
                <w:szCs w:val="18"/>
                <w:b w:val="1"/>
                <w:bCs w:val="1"/>
                <w:color w:val="auto"/>
                <w:w w:val="92"/>
              </w:rPr>
              <w:t>Net Charge-Off Experience (1) (3)</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580" w:type="dxa"/>
            <w:vAlign w:val="bottom"/>
            <w:gridSpan w:val="4"/>
          </w:tcPr>
          <w:p>
            <w:pPr>
              <w:jc w:val="center"/>
              <w:ind w:left="3750"/>
              <w:spacing w:after="0"/>
              <w:rPr>
                <w:sz w:val="20"/>
                <w:szCs w:val="20"/>
                <w:color w:val="auto"/>
              </w:rPr>
            </w:pPr>
            <w:r>
              <w:rPr>
                <w:rFonts w:ascii="Arial" w:cs="Arial" w:eastAsia="Arial" w:hAnsi="Arial"/>
                <w:sz w:val="18"/>
                <w:szCs w:val="18"/>
                <w:b w:val="1"/>
                <w:bCs w:val="1"/>
                <w:color w:val="auto"/>
                <w:w w:val="90"/>
              </w:rPr>
              <w:t>Fireside Portfolio</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310"/>
              <w:spacing w:after="0"/>
              <w:rPr>
                <w:sz w:val="20"/>
                <w:szCs w:val="20"/>
                <w:color w:val="auto"/>
              </w:rPr>
            </w:pPr>
            <w:r>
              <w:rPr>
                <w:rFonts w:ascii="Arial" w:cs="Arial" w:eastAsia="Arial" w:hAnsi="Arial"/>
                <w:sz w:val="18"/>
                <w:szCs w:val="18"/>
                <w:b w:val="1"/>
                <w:bCs w:val="1"/>
                <w:color w:val="auto"/>
                <w:w w:val="98"/>
              </w:rPr>
              <w:t>March</w:t>
            </w:r>
          </w:p>
        </w:tc>
        <w:tc>
          <w:tcPr>
            <w:tcW w:w="480" w:type="dxa"/>
            <w:vAlign w:val="bottom"/>
          </w:tcPr>
          <w:p>
            <w:pPr>
              <w:spacing w:after="0"/>
              <w:rPr>
                <w:sz w:val="24"/>
                <w:szCs w:val="24"/>
                <w:color w:val="auto"/>
              </w:rPr>
            </w:pPr>
          </w:p>
        </w:tc>
        <w:tc>
          <w:tcPr>
            <w:tcW w:w="1520" w:type="dxa"/>
            <w:vAlign w:val="bottom"/>
          </w:tcPr>
          <w:p>
            <w:pPr>
              <w:jc w:val="center"/>
              <w:ind w:right="350"/>
              <w:spacing w:after="0"/>
              <w:rPr>
                <w:sz w:val="20"/>
                <w:szCs w:val="20"/>
                <w:color w:val="auto"/>
              </w:rPr>
            </w:pPr>
            <w:r>
              <w:rPr>
                <w:rFonts w:ascii="Arial" w:cs="Arial" w:eastAsia="Arial" w:hAnsi="Arial"/>
                <w:sz w:val="18"/>
                <w:szCs w:val="18"/>
                <w:b w:val="1"/>
                <w:bCs w:val="1"/>
                <w:color w:val="auto"/>
                <w:w w:val="98"/>
              </w:rPr>
              <w:t>March</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2013</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49,000</w:t>
            </w:r>
          </w:p>
        </w:tc>
        <w:tc>
          <w:tcPr>
            <w:tcW w:w="48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146,566</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103,548</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616"/>
        </w:trPr>
        <w:tc>
          <w:tcPr>
            <w:tcW w:w="7580" w:type="dxa"/>
            <w:vAlign w:val="bottom"/>
            <w:gridSpan w:val="4"/>
          </w:tcPr>
          <w:p>
            <w:pPr>
              <w:jc w:val="center"/>
              <w:ind w:left="3770"/>
              <w:spacing w:after="0"/>
              <w:rPr>
                <w:sz w:val="20"/>
                <w:szCs w:val="20"/>
                <w:color w:val="auto"/>
              </w:rPr>
            </w:pPr>
            <w:r>
              <w:rPr>
                <w:rFonts w:ascii="Arial" w:cs="Arial" w:eastAsia="Arial" w:hAnsi="Arial"/>
                <w:sz w:val="18"/>
                <w:szCs w:val="18"/>
                <w:b w:val="1"/>
                <w:bCs w:val="1"/>
                <w:color w:val="auto"/>
                <w:w w:val="92"/>
              </w:rPr>
              <w:t>Net Charge-Off Experience (1)</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580" w:type="dxa"/>
            <w:vAlign w:val="bottom"/>
            <w:gridSpan w:val="4"/>
          </w:tcPr>
          <w:p>
            <w:pPr>
              <w:jc w:val="center"/>
              <w:ind w:left="3770"/>
              <w:spacing w:after="0"/>
              <w:rPr>
                <w:sz w:val="20"/>
                <w:szCs w:val="20"/>
                <w:color w:val="auto"/>
              </w:rPr>
            </w:pPr>
            <w:r>
              <w:rPr>
                <w:rFonts w:ascii="Arial" w:cs="Arial" w:eastAsia="Arial" w:hAnsi="Arial"/>
                <w:sz w:val="18"/>
                <w:szCs w:val="18"/>
                <w:b w:val="1"/>
                <w:bCs w:val="1"/>
                <w:color w:val="auto"/>
                <w:w w:val="91"/>
              </w:rPr>
              <w:t>Total Owned Portfolio Including Fireside</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310"/>
              <w:spacing w:after="0"/>
              <w:rPr>
                <w:sz w:val="20"/>
                <w:szCs w:val="20"/>
                <w:color w:val="auto"/>
              </w:rPr>
            </w:pPr>
            <w:r>
              <w:rPr>
                <w:rFonts w:ascii="Arial" w:cs="Arial" w:eastAsia="Arial" w:hAnsi="Arial"/>
                <w:sz w:val="18"/>
                <w:szCs w:val="18"/>
                <w:b w:val="1"/>
                <w:bCs w:val="1"/>
                <w:color w:val="auto"/>
                <w:w w:val="98"/>
              </w:rPr>
              <w:t>March</w:t>
            </w:r>
          </w:p>
        </w:tc>
        <w:tc>
          <w:tcPr>
            <w:tcW w:w="480" w:type="dxa"/>
            <w:vAlign w:val="bottom"/>
          </w:tcPr>
          <w:p>
            <w:pPr>
              <w:spacing w:after="0"/>
              <w:rPr>
                <w:sz w:val="24"/>
                <w:szCs w:val="24"/>
                <w:color w:val="auto"/>
              </w:rPr>
            </w:pPr>
          </w:p>
        </w:tc>
        <w:tc>
          <w:tcPr>
            <w:tcW w:w="1520" w:type="dxa"/>
            <w:vAlign w:val="bottom"/>
          </w:tcPr>
          <w:p>
            <w:pPr>
              <w:jc w:val="center"/>
              <w:ind w:right="350"/>
              <w:spacing w:after="0"/>
              <w:rPr>
                <w:sz w:val="20"/>
                <w:szCs w:val="20"/>
                <w:color w:val="auto"/>
              </w:rPr>
            </w:pPr>
            <w:r>
              <w:rPr>
                <w:rFonts w:ascii="Arial" w:cs="Arial" w:eastAsia="Arial" w:hAnsi="Arial"/>
                <w:sz w:val="18"/>
                <w:szCs w:val="18"/>
                <w:b w:val="1"/>
                <w:bCs w:val="1"/>
                <w:color w:val="auto"/>
                <w:w w:val="98"/>
              </w:rPr>
              <w:t>March</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2013</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934,742</w:t>
            </w:r>
          </w:p>
        </w:tc>
        <w:tc>
          <w:tcPr>
            <w:tcW w:w="4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754,805</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802,579</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49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2" w:lineRule="exact"/>
        <w:rPr>
          <w:sz w:val="20"/>
          <w:szCs w:val="20"/>
          <w:color w:val="auto"/>
        </w:rPr>
      </w:pPr>
    </w:p>
    <w:p>
      <w:pPr>
        <w:ind w:firstLine="8"/>
        <w:spacing w:after="0" w:line="258" w:lineRule="auto"/>
        <w:tabs>
          <w:tab w:leader="none" w:pos="278"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spacing w:after="0" w:line="1" w:lineRule="exact"/>
        <w:rPr>
          <w:rFonts w:ascii="Arial" w:cs="Arial" w:eastAsia="Arial" w:hAnsi="Arial"/>
          <w:sz w:val="18"/>
          <w:szCs w:val="18"/>
          <w:i w:val="1"/>
          <w:iCs w:val="1"/>
          <w:color w:val="auto"/>
        </w:rPr>
      </w:pPr>
    </w:p>
    <w:p>
      <w:pPr>
        <w:jc w:val="both"/>
        <w:ind w:firstLine="8"/>
        <w:spacing w:after="0" w:line="254" w:lineRule="auto"/>
        <w:tabs>
          <w:tab w:leader="none" w:pos="26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financial statements. March 31, 2013 and March 31, 2012 percentage represents three months ended March 31, 2013 and March 31, 2012 annualized. December 31, 2012 represents 12 months ended December 31,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both"/>
        <w:ind w:firstLine="324"/>
        <w:spacing w:after="0" w:line="272" w:lineRule="auto"/>
        <w:rPr>
          <w:sz w:val="20"/>
          <w:szCs w:val="20"/>
          <w:color w:val="auto"/>
        </w:rPr>
      </w:pPr>
      <w:r>
        <w:rPr>
          <w:rFonts w:ascii="Arial" w:cs="Arial" w:eastAsia="Arial" w:hAnsi="Arial"/>
          <w:sz w:val="17"/>
          <w:szCs w:val="17"/>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March 31, 2013, for accounts that received extensions from 2008 through 2011 (2012 and 2013 data are not included at this time due to insufficient passage of time for meaningful evaluation of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Charged Off &gt;</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 Charged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Charged Off</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 Charged</w:t>
            </w:r>
          </w:p>
        </w:tc>
        <w:tc>
          <w:tcPr>
            <w:tcW w:w="11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Active or Paid</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 Active or</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6 Months</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Off &gt; 6</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&lt;= 6 Months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Off &lt;= 6</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Avg Months to</w:t>
            </w:r>
          </w:p>
        </w:tc>
      </w:tr>
      <w:tr>
        <w:trPr>
          <w:trHeight w:val="216"/>
        </w:trPr>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Period of</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 Extensions</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Off at March</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Paid Off at</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Months After</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Months After</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Charge Off</w:t>
            </w:r>
          </w:p>
        </w:tc>
      </w:tr>
      <w:tr>
        <w:trPr>
          <w:trHeight w:val="230"/>
        </w:trPr>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31, 2013</w:t>
            </w:r>
          </w:p>
        </w:tc>
        <w:tc>
          <w:tcPr>
            <w:tcW w:w="22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 30, 2012</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Extension</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Post Extension</w:t>
            </w:r>
          </w:p>
        </w:tc>
      </w:tr>
      <w:tr>
        <w:trPr>
          <w:trHeight w:val="210"/>
        </w:trPr>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6"/>
        </w:trPr>
        <w:tc>
          <w:tcPr>
            <w:tcW w:w="108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35,588</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11,948</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7"/>
              </w:rPr>
              <w:t>18,821</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EEEEEE"/>
          </w:tcPr>
          <w:p>
            <w:pPr>
              <w:spacing w:after="0"/>
              <w:rPr>
                <w:sz w:val="18"/>
                <w:szCs w:val="18"/>
                <w:color w:val="auto"/>
              </w:rPr>
            </w:pPr>
          </w:p>
        </w:tc>
        <w:tc>
          <w:tcPr>
            <w:tcW w:w="108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8"/>
              </w:rPr>
              <w:t>4,819</w:t>
            </w:r>
          </w:p>
        </w:tc>
        <w:tc>
          <w:tcPr>
            <w:tcW w:w="240" w:type="dxa"/>
            <w:vAlign w:val="bottom"/>
            <w:shd w:val="clear" w:color="auto" w:fill="EEEEEE"/>
          </w:tcPr>
          <w:p>
            <w:pPr>
              <w:spacing w:after="0"/>
              <w:rPr>
                <w:sz w:val="18"/>
                <w:szCs w:val="18"/>
                <w:color w:val="auto"/>
              </w:rPr>
            </w:pPr>
          </w:p>
        </w:tc>
        <w:tc>
          <w:tcPr>
            <w:tcW w:w="10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13.5%</w:t>
            </w: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08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32,004</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11,968</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7"/>
              </w:rPr>
              <w:t>14,272</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44.6%</w:t>
            </w:r>
          </w:p>
        </w:tc>
        <w:tc>
          <w:tcPr>
            <w:tcW w:w="220" w:type="dxa"/>
            <w:vAlign w:val="bottom"/>
            <w:shd w:val="clear" w:color="auto" w:fill="EEEEEE"/>
          </w:tcPr>
          <w:p>
            <w:pPr>
              <w:spacing w:after="0"/>
              <w:rPr>
                <w:sz w:val="18"/>
                <w:szCs w:val="18"/>
                <w:color w:val="auto"/>
              </w:rPr>
            </w:pPr>
          </w:p>
        </w:tc>
        <w:tc>
          <w:tcPr>
            <w:tcW w:w="108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8"/>
              </w:rPr>
              <w:t>5,764</w:t>
            </w:r>
          </w:p>
        </w:tc>
        <w:tc>
          <w:tcPr>
            <w:tcW w:w="240" w:type="dxa"/>
            <w:vAlign w:val="bottom"/>
            <w:shd w:val="clear" w:color="auto" w:fill="EEEEEE"/>
          </w:tcPr>
          <w:p>
            <w:pPr>
              <w:spacing w:after="0"/>
              <w:rPr>
                <w:sz w:val="18"/>
                <w:szCs w:val="18"/>
                <w:color w:val="auto"/>
              </w:rPr>
            </w:pPr>
          </w:p>
        </w:tc>
        <w:tc>
          <w:tcPr>
            <w:tcW w:w="10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18.0%</w:t>
            </w: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08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22,593</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12,290</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8"/>
              </w:rPr>
              <w:t>8,030</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EEEEEE"/>
          </w:tcPr>
          <w:p>
            <w:pPr>
              <w:spacing w:after="0"/>
              <w:rPr>
                <w:sz w:val="18"/>
                <w:szCs w:val="18"/>
                <w:color w:val="auto"/>
              </w:rPr>
            </w:pPr>
          </w:p>
        </w:tc>
        <w:tc>
          <w:tcPr>
            <w:tcW w:w="108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8"/>
              </w:rPr>
              <w:t>1,643</w:t>
            </w:r>
          </w:p>
        </w:tc>
        <w:tc>
          <w:tcPr>
            <w:tcW w:w="240" w:type="dxa"/>
            <w:vAlign w:val="bottom"/>
            <w:shd w:val="clear" w:color="auto" w:fill="EEEEEE"/>
          </w:tcPr>
          <w:p>
            <w:pPr>
              <w:spacing w:after="0"/>
              <w:rPr>
                <w:sz w:val="18"/>
                <w:szCs w:val="18"/>
                <w:color w:val="auto"/>
              </w:rPr>
            </w:pPr>
          </w:p>
        </w:tc>
        <w:tc>
          <w:tcPr>
            <w:tcW w:w="10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2"/>
              </w:rPr>
              <w:t>7.3%</w:t>
            </w: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08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17,001</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12,681</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8"/>
              </w:rPr>
              <w:t>3,535</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EEEEEE"/>
          </w:tcPr>
          <w:p>
            <w:pPr>
              <w:spacing w:after="0"/>
              <w:rPr>
                <w:sz w:val="18"/>
                <w:szCs w:val="18"/>
                <w:color w:val="auto"/>
              </w:rPr>
            </w:pPr>
          </w:p>
        </w:tc>
        <w:tc>
          <w:tcPr>
            <w:tcW w:w="10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6"/>
              </w:rPr>
              <w:t>785</w:t>
            </w:r>
          </w:p>
        </w:tc>
        <w:tc>
          <w:tcPr>
            <w:tcW w:w="240" w:type="dxa"/>
            <w:vAlign w:val="bottom"/>
            <w:shd w:val="clear" w:color="auto" w:fill="EEEEEE"/>
          </w:tcPr>
          <w:p>
            <w:pPr>
              <w:spacing w:after="0"/>
              <w:rPr>
                <w:sz w:val="18"/>
                <w:szCs w:val="18"/>
                <w:color w:val="auto"/>
              </w:rPr>
            </w:pPr>
          </w:p>
        </w:tc>
        <w:tc>
          <w:tcPr>
            <w:tcW w:w="108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2"/>
              </w:rPr>
              <w:t>4.6%</w:t>
            </w: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the accounts receiving extensions in 2008, 2009, 2010 and 2011, 33.6%, 37.4%, 54.4% and 74.6%, respectively, were either paid in full or active and performing at March 31, 2013.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extension accounts that ultimately charge off, we consider any that charged off more than six months after the extension to be at least partially successful. For the 2008, 2009, 2010 and 2011 extensions, of the accounts that charged off, the charge off was incurred, on average, 17, 14, 14 and 12 months, respectively, after the extension, indicating that even in the cases of an ultimate loss, the obligor serviced the account with additional payments of principal and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6840" w:type="dxa"/>
            <w:vAlign w:val="bottom"/>
            <w:gridSpan w:val="3"/>
          </w:tcPr>
          <w:p>
            <w:pPr>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Three Months Ended</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2"/>
              </w:rPr>
              <w:t>March 31,</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6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89"/>
              </w:rPr>
              <w:t>2012</w:t>
            </w:r>
          </w:p>
        </w:tc>
        <w:tc>
          <w:tcPr>
            <w:tcW w:w="3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1,544</w:t>
            </w:r>
          </w:p>
        </w:tc>
        <w:tc>
          <w:tcPr>
            <w:tcW w:w="3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1,422</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89,183</w:t>
            </w:r>
          </w:p>
        </w:tc>
        <w:tc>
          <w:tcPr>
            <w:tcW w:w="6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98,430</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Fireside portfolio and portfolios serviced for third parties.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40" w:type="dxa"/>
            <w:vAlign w:val="bottom"/>
            <w:gridSpan w:val="5"/>
          </w:tcPr>
          <w:p>
            <w:pPr>
              <w:jc w:val="right"/>
              <w:ind w:right="1160"/>
              <w:spacing w:after="0"/>
              <w:rPr>
                <w:sz w:val="20"/>
                <w:szCs w:val="20"/>
                <w:color w:val="auto"/>
              </w:rPr>
            </w:pPr>
            <w:r>
              <w:rPr>
                <w:rFonts w:ascii="Arial" w:cs="Arial" w:eastAsia="Arial" w:hAnsi="Arial"/>
                <w:sz w:val="18"/>
                <w:szCs w:val="18"/>
                <w:color w:val="auto"/>
              </w:rPr>
              <w:t>March 31, 2013</w:t>
            </w:r>
          </w:p>
        </w:tc>
        <w:tc>
          <w:tcPr>
            <w:tcW w:w="3200" w:type="dxa"/>
            <w:vAlign w:val="bottom"/>
            <w:gridSpan w:val="5"/>
          </w:tcPr>
          <w:p>
            <w:pPr>
              <w:ind w:left="920"/>
              <w:spacing w:after="0"/>
              <w:rPr>
                <w:sz w:val="20"/>
                <w:szCs w:val="20"/>
                <w:color w:val="auto"/>
              </w:rPr>
            </w:pPr>
            <w:r>
              <w:rPr>
                <w:rFonts w:ascii="Arial" w:cs="Arial" w:eastAsia="Arial" w:hAnsi="Arial"/>
                <w:sz w:val="18"/>
                <w:szCs w:val="18"/>
                <w:color w:val="auto"/>
              </w:rPr>
              <w:t>March 31, 2012</w:t>
            </w:r>
          </w:p>
        </w:tc>
        <w:tc>
          <w:tcPr>
            <w:tcW w:w="3020" w:type="dxa"/>
            <w:vAlign w:val="bottom"/>
            <w:gridSpan w:val="5"/>
          </w:tcPr>
          <w:p>
            <w:pPr>
              <w:ind w:left="740"/>
              <w:spacing w:after="0"/>
              <w:rPr>
                <w:sz w:val="20"/>
                <w:szCs w:val="20"/>
                <w:color w:val="auto"/>
              </w:rPr>
            </w:pPr>
            <w:r>
              <w:rPr>
                <w:rFonts w:ascii="Arial" w:cs="Arial" w:eastAsia="Arial" w:hAnsi="Arial"/>
                <w:sz w:val="18"/>
                <w:szCs w:val="18"/>
                <w:color w:val="auto"/>
              </w:rPr>
              <w:t>December 31, 2012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20" w:type="dxa"/>
            <w:vAlign w:val="bottom"/>
            <w:tcBorders>
              <w:top w:val="single" w:sz="8" w:color="auto"/>
            </w:tcBorders>
            <w:gridSpan w:val="2"/>
          </w:tcPr>
          <w:p>
            <w:pPr>
              <w:jc w:val="right"/>
              <w:ind w:right="540"/>
              <w:spacing w:after="0" w:line="195" w:lineRule="exact"/>
              <w:rPr>
                <w:sz w:val="20"/>
                <w:szCs w:val="20"/>
                <w:color w:val="auto"/>
              </w:rPr>
            </w:pPr>
            <w:r>
              <w:rPr>
                <w:rFonts w:ascii="Arial" w:cs="Arial" w:eastAsia="Arial" w:hAnsi="Arial"/>
                <w:sz w:val="18"/>
                <w:szCs w:val="18"/>
                <w:color w:val="auto"/>
              </w:rPr>
              <w:t>Number of</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Borders>
              <w:top w:val="single" w:sz="8" w:color="auto"/>
            </w:tcBorders>
            <w:gridSpan w:val="2"/>
          </w:tcPr>
          <w:p>
            <w:pPr>
              <w:jc w:val="right"/>
              <w:ind w:right="540"/>
              <w:spacing w:after="0" w:line="195" w:lineRule="exact"/>
              <w:rPr>
                <w:sz w:val="20"/>
                <w:szCs w:val="20"/>
                <w:color w:val="auto"/>
              </w:rPr>
            </w:pPr>
            <w:r>
              <w:rPr>
                <w:rFonts w:ascii="Arial" w:cs="Arial" w:eastAsia="Arial" w:hAnsi="Arial"/>
                <w:sz w:val="18"/>
                <w:szCs w:val="18"/>
                <w:color w:val="auto"/>
              </w:rPr>
              <w:t>Number of</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Borders>
              <w:top w:val="single" w:sz="8" w:color="auto"/>
            </w:tcBorders>
            <w:gridSpan w:val="2"/>
          </w:tcPr>
          <w:p>
            <w:pPr>
              <w:jc w:val="right"/>
              <w:ind w:right="500"/>
              <w:spacing w:after="0" w:line="195" w:lineRule="exact"/>
              <w:rPr>
                <w:sz w:val="20"/>
                <w:szCs w:val="20"/>
                <w:color w:val="auto"/>
              </w:rPr>
            </w:pPr>
            <w:r>
              <w:rPr>
                <w:rFonts w:ascii="Arial" w:cs="Arial" w:eastAsia="Arial" w:hAnsi="Arial"/>
                <w:sz w:val="18"/>
                <w:szCs w:val="18"/>
                <w:color w:val="auto"/>
              </w:rPr>
              <w:t>Number of</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Amount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Borders>
              <w:top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one</w:t>
            </w:r>
          </w:p>
        </w:tc>
        <w:tc>
          <w:tcPr>
            <w:tcW w:w="1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9,982</w:t>
            </w: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94,021</w:t>
            </w: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11,733</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68,242</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9,726</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Contracts with two</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80"/>
              <w:spacing w:after="0"/>
              <w:rPr>
                <w:sz w:val="20"/>
                <w:szCs w:val="20"/>
                <w:color w:val="auto"/>
              </w:rPr>
            </w:pPr>
            <w:r>
              <w:rPr>
                <w:rFonts w:ascii="Arial" w:cs="Arial" w:eastAsia="Arial" w:hAnsi="Arial"/>
                <w:sz w:val="18"/>
                <w:szCs w:val="18"/>
                <w:color w:val="auto"/>
              </w:rPr>
              <w:t>extensions</w:t>
            </w:r>
          </w:p>
        </w:tc>
        <w:tc>
          <w:tcPr>
            <w:tcW w:w="1380" w:type="dxa"/>
            <w:vAlign w:val="bottom"/>
          </w:tcPr>
          <w:p>
            <w:pPr>
              <w:jc w:val="right"/>
              <w:spacing w:after="0"/>
              <w:rPr>
                <w:sz w:val="20"/>
                <w:szCs w:val="20"/>
                <w:color w:val="auto"/>
              </w:rPr>
            </w:pPr>
            <w:r>
              <w:rPr>
                <w:rFonts w:ascii="Arial" w:cs="Arial" w:eastAsia="Arial" w:hAnsi="Arial"/>
                <w:sz w:val="18"/>
                <w:szCs w:val="18"/>
                <w:color w:val="auto"/>
              </w:rPr>
              <w:t>3,869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19,616</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6,972</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40,059</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4,664</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22,485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three</w:t>
            </w:r>
          </w:p>
        </w:tc>
        <w:tc>
          <w:tcPr>
            <w:tcW w:w="1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2,395</w:t>
            </w: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10,313</w:t>
            </w: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3,467</w:t>
            </w:r>
          </w:p>
        </w:tc>
        <w:tc>
          <w:tcPr>
            <w:tcW w:w="24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20,022</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2,819</w:t>
            </w:r>
          </w:p>
        </w:tc>
        <w:tc>
          <w:tcPr>
            <w:tcW w:w="24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Contracts with four</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80"/>
              <w:spacing w:after="0"/>
              <w:rPr>
                <w:sz w:val="20"/>
                <w:szCs w:val="20"/>
                <w:color w:val="auto"/>
              </w:rPr>
            </w:pPr>
            <w:r>
              <w:rPr>
                <w:rFonts w:ascii="Arial" w:cs="Arial" w:eastAsia="Arial" w:hAnsi="Arial"/>
                <w:sz w:val="18"/>
                <w:szCs w:val="18"/>
                <w:color w:val="auto"/>
              </w:rPr>
              <w:t>extensions</w:t>
            </w:r>
          </w:p>
        </w:tc>
        <w:tc>
          <w:tcPr>
            <w:tcW w:w="138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4,516</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6,560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five</w:t>
            </w:r>
          </w:p>
        </w:tc>
        <w:tc>
          <w:tcPr>
            <w:tcW w:w="1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w:t>
            </w: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1,128</w:t>
            </w: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771</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Contracts with six</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940" w:type="dxa"/>
            <w:vAlign w:val="bottom"/>
          </w:tcPr>
          <w:p>
            <w:pPr>
              <w:ind w:left="180"/>
              <w:spacing w:after="0"/>
              <w:rPr>
                <w:sz w:val="20"/>
                <w:szCs w:val="20"/>
                <w:color w:val="auto"/>
              </w:rPr>
            </w:pPr>
            <w:r>
              <w:rPr>
                <w:rFonts w:ascii="Arial" w:cs="Arial" w:eastAsia="Arial" w:hAnsi="Arial"/>
                <w:sz w:val="18"/>
                <w:szCs w:val="18"/>
                <w:color w:val="auto"/>
              </w:rPr>
              <w:t>extensions</w:t>
            </w: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17,528</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129,745</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23,430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135,794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18,565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120,138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w w:val="99"/>
              </w:rPr>
              <w:t>Gross servicing portfolio</w:t>
            </w: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77,868</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917,025</w:t>
            </w: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68,975</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622,807</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74,124</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825,186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Fireside portfolio and portfolios serviced for third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or retain on our balance sheet any accrued interest for contracts that are greater than 90 days past due.</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requires substantial cash to support our purchases of automobile contracts and other operating activities. Our primary sources of cash have been cash flows from operating activities, including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and otherwise, operating expenses such as employee, interest, occupancy expenses and other general and administrative expenses, the establishment of spread accounts and initial overcollateralization, if any, and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operating activities for the three-month period ended March 31, 2013 was $21.0 million compared to net cash provided by operating activities for the three-month period ended March 31, 2012 of $4.5 million. Cash provided by operating activities is significantly affected by our net income, or loss, before provisions for credit losses.</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cash used in investing activities for the three-month period ended March 31, 2013 was $115.4 million compared to net cash provided by investing activities of $27.9 million in the prior year period. Cash provided by investing activities primarily results from principal payments and other proceeds received on finance receivables held for investment and reductions in restricted cash. Cash used in investing activities generally relates to purchases of automobile contracts. Purchases of finance receivables held for investment were $180.1 million and $119.9 million during the first three months of 2013 and 2012, respectively. The significant change from the prior year is largely attributable to the increase in our purchases of finance receivables, net of payments. For the three-month period ended March 31, 2013, purchases of finance receivables net of payments resulted in net cash used of $97.9 million, compared to the prior year when net purchases of finance receivables were approximately the same as payments.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Net cash provided by financing activities for the three months ended March 31, 2013 was $95.2 million compared to net cash used in financing activities of $31.9 million in the prior year period. Cash provided by financing activities is primarily related to the issuance of securitization trust debt, reduced by the amount of repayment of securitization trust debt and net proceeds or repayments on our warehouse lines of credit. In the first three months of 2013, we issued $185.0 million in new securitization trust debt compared to $155.0 million in the same period of 2012. In addition, we repaid $76.1 million in securitization trust debt and $17.9 million in debt associated with the Fireside Bank portfolio in the three months ended March 31, 2013 compared to repayments of securitization trust debt of $138.9 million and repayment of $39.2 million in debt associated with the Fireside Bank portfolio in the prior year period. In the three months ended March 31, 2013, we received net proceeds from our warehouse lines of credit of $4.9 million, compared to net proceeds of $3.5 million in the prior year’s period. In addition, in the prior year period, we repaid $3.9 million and $5.6 million of our residual interest financing debt and senior secured related party debt, respectively, compared to no repayments of such debt in the current period.</w:t>
      </w:r>
    </w:p>
    <w:p>
      <w:pPr>
        <w:spacing w:after="0" w:line="18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purchase automobile contracts from dealers for a cash price approximating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jc w:val="both"/>
        <w:ind w:firstLine="324"/>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and may in the future be limited in our ability to purchase automobile contracts due to limits on our capital. As of March 31, 2013, we had unrestricted cash of $13.9 million. We had $100.0 million available under one warehouse credit facility and $73.3 million available under our second warehouse credit facility (such figures assume the availability of sufficient eligible collateral). During the three-month period ended March 31, 2013, we completed one securitization aggregating $185.0 million of receivables, and we intend to continue completing securitizations regularly during 2013, although there can be no assurance that we will be able to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would decrease.</w:t>
      </w:r>
    </w:p>
    <w:p>
      <w:pPr>
        <w:spacing w:after="0" w:line="1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defaults or net losses related to the automobile contracts in the pool are below certain predetermined levels. In the event delinquencies, defaults or net losses on the automobile contracts exceed such levels, the terms of the securitization: (i) may require increased credit enhancement to be accumulated for the particular pool; or (ii) in certain circumstances, may permit the the transfer of servicing on some or all of the automobile contracts to another servicer. There can be no assurance that collections from the related trusts will continue to generate sufficient cash. Moreover, most of our retained interests in securitization transactions and their related spread accounts are pledged as collateral to our residual interest financings and, under certain circumstances, cash releases from these transactions will be used to repay such residual interest financings.</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One of our securitization transactions, our warehouse credit facilities, our residual interest financing and our financing for the Fireside portfolio contain various financial covenants requiring certain minimum financial ratios and results. Such covenants include maintaining minimum levels of liquidity and net worth and not exceeding maximum leverage levels. As of March 31, 2013, we were in compliance with all such financial covenants. In addition, some agreements contain cross-default provisions that would allow certain creditors to declare a default if a default occurred under a different facility.</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March 31, 2013, we had approximately $1,056.9 million of debt outstanding. Such debt consisted primarily of $901.7 million of securitization trust debt, and also included $40.4 million in debt for the acquisition of the Fireside portfolio, $26.7 million of warehouse lines of credit, $13.8 million of residual interest financing, $50.1 million of senior secured related party debt and $23.6 million in subordinated renewable notes. We are also currently offering the subordinated notes to the public on a continuous basis, and such notes have maturities that range from three months to 10 years.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recent operating results include pre-tax earnings of $6.5 million for the three months ended March 31, 2013 and $9.2 million for the year ended December 31, 2012.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Failure to pay our indebtedness when due could have a material adverse effect and may require us to issue additional debt or equity securities.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our accounting policies related to (a) Allowance for Finance Credit Losses, (b) Amortization of Deferred Originations Costs and Acquisition Fees, (c) Term Securitizations, (d) Finance Receivables and Related Debt Measured at Fair Value, and (e) Income Taxes are the most critical to understanding and evaluating our reported financial results. Such policies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order to estimate an appropriate allowance for losses to be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credit losses that can be reasonably estimated in our portfolio of automobile contracts. The estimate for probable credit losses is reduced by our estimate for future recoveries on previously incurred losses. Provision for losses is charged to our consolidated statement of operations.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 While our allowance as a percentage of finance receivables has increased recently, previously it had decreased for several years due primarily to the continued seasoning of our portfolio. Our historical static loss data shows that, in general, incremental monthly losses as a percentage of the balance outstanding increase to a peak between months 36 and 42 of the life of a static portfolio, after which such monthly incremental losses tend to decrease. As of March 31, 2013 the weighted average age of our portfolio of finance receivables was 14 months. In addition, receivables originated after the second quarter of 2008 have exhibited significantly better credit performance metrics than 2006 and 2007 vintage portfolios at similar aging stages.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Upon purchase of a contract from a dealer, we generally either charge or advance the dealer an acquisition fee. In addition, we incur certain direct costs associated with originations of our contracts. All such acquisition fees and direct costs are applied to the carrying value of finance receivables and are accreted into earnings as an adjustment to the yield over the estimated life of the contract using the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 We structure our securitizations to include internal credit enhancement for the benefit of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a specified level, which is then maintained. This specified level is generally computed as a percentage of the principal amount of the related automobile contracts and will vary depending on the performance of the specific portfolio .. Such levels have increased and decreased from time to time based on performance of the various portfolios, and have also varied from one transaction to another. The agreements governing the securitizations generally grant us the option to repurchase the automobile contracts from the trust when the aggregate outstanding balance of the automobile contracts has amortized to a specified percentage of the initial aggregate balance.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jc w:val="both"/>
        <w:ind w:firstLine="324"/>
        <w:spacing w:after="0" w:line="308" w:lineRule="auto"/>
        <w:rPr>
          <w:sz w:val="20"/>
          <w:szCs w:val="20"/>
          <w:color w:val="auto"/>
        </w:rPr>
      </w:pPr>
      <w:r>
        <w:rPr>
          <w:rFonts w:ascii="Arial" w:cs="Arial" w:eastAsia="Arial" w:hAnsi="Arial"/>
          <w:sz w:val="17"/>
          <w:szCs w:val="17"/>
          <w:color w:val="auto"/>
        </w:rPr>
        <w:t>Upon each transfer of automobile contracts in a transaction structured as a secured financing for financial accounting purposes, we retain on our consolidated balance sheet the related automobile contracts as assets and record the asset-backed notes issued in the transaction as indebtedness.</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are not at the required levels, then the excess cash collected is retained in the trust until the specified levels are achieved. Although spread account balances are held by the trusts on behalf of our special-purpose subsidiaries as the owner of the residual interests or the trusts, we are restricted in use of the cash in the spread accounts. Cash held in the various spread accounts is invested in high quality, liquid investment securities, as specified in the securitization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September 2011 we purchased finance receivables from Fireside Bank. These receivables are secured by debt that was structured specifically for the acquisition of this portfolio.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There are limited observable inputs available to us for measurement of such receivables, or for the related debt.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jc w:val="both"/>
        <w:ind w:firstLine="324"/>
        <w:spacing w:after="0" w:line="288"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However, from the fourth quarter of 2011 through 2012, we reported five consecutive quarters of increasing profitability, observed improvement in credit metrics, and produced reliable internal financial projections. Furthermore, we demonstrated an ability to increase our volumes of contract purchases, grow our managed portfolio and obtain cost effective short- and long-term financing for our finance receivables. As a result of these and other factors, we determined at December 31, 2012 that, based on the weight of the available objective evidence, it was more likely than not that we would generate sufficient future taxable income to utilize our net deferred tax assets. Accordingly, we reversed the related valuation allowance of $62.8 million in the fourth quarter of 2012.</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w:t>
      </w:r>
    </w:p>
    <w:p>
      <w:pPr>
        <w:spacing w:after="0" w:line="19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within the income tax expense line in the accompanying consolidated statement of operations. Accrued interest and penalties are included within the related tax liability line in the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provided under the caption “Legal Proceedings,” Note 9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February 15, 2013.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and will continue to have a substantial amount of indebtedness. At March 31, 2013 and December 31, 2012, we had approximately $1,056.9 million and $958.5 million, respectively, of debt outstanding. Such debt consisted, as of March 31, 2013, primarily of $901.7 million of securitization trust debt, and also included $40.4 million in debt for the acquisition of the Fireside portfolio, $26.7 million of warehouse indebtedness, $13.8 million of residual interest financing, $50.8 million of senior secured debt and $23.6 million in subordinated renewable notes. At December 31, 2012, such debt consisted primarily of $792.5 million of securitization trust debt, and also included $57.1 million in debt for the acquisition of the Fireside portfolio, $21.7 million of warehouse indebtedness, $13.8 million of residual interest financing, $50.1 million of senior secured debt, and $23.3 million in subordinated renewable notes. We are also currently offering the subordinated notes to the public on a continuous basis, and such notes have maturities that range from three months to 10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70"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an increase in interest rates results in a decrease in our cash flow from excess spread, our results of operations may be impaired.</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partially to offset increases in our cost of funds by increasing fees we charge to dealers when purchasing contracts, or by demanding higher interest rates on contracts we purchase, there can be no assurance that such actions would offset the entire increase in interest that we might pay to finance our managed portfolio.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both"/>
        <w:ind w:firstLine="324"/>
        <w:spacing w:after="0" w:line="270" w:lineRule="auto"/>
        <w:rPr>
          <w:sz w:val="20"/>
          <w:szCs w:val="20"/>
          <w:color w:val="auto"/>
        </w:rPr>
      </w:pPr>
      <w:r>
        <w:rPr>
          <w:rFonts w:ascii="Arial" w:cs="Arial" w:eastAsia="Arial" w:hAnsi="Arial"/>
          <w:sz w:val="17"/>
          <w:szCs w:val="17"/>
          <w:color w:val="auto"/>
        </w:rPr>
        <w:t>Several factors affect our ability to manage interest rate risk. Specifically, we are subject to interest rate risk during the period after we purchase automobile contracts from dealers and before we sell and finance such contracts in a securitization. Interest rates on warehouse credit facilities are typically adjustable, while the interest rates on the automobile contracts are fixed. If interest rates increase, the interest we must pay to the lenders under warehouse credit facilities is likely to increase, while the interest we collect from those warehoused automobile contracts remains the same. Therefore, during the warehousing period, excess spread cash flow would likely decrease. Additionally, contracts warehoused and then securitized during a rising interest rate environment may result in less excess spread cash flow as our securitizations typically have paid interest rates set at prevailing interest rates at the time of the closing of the securitization, which may not take place until several months after we purchased those contracts . Our customers, on the other hand, pay fixed rates of interest on the contracts, which are agreed to at the time they purchase the underlying vehicles. A decrease in excess spread cash flow could adversely affect our earnings and cash flow.</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To mitigate, but not eliminate, the short-term risk relating to floating interest rates payable under the warehouse facilities, we have historically held automobile contracts in the warehouse credit facilities for less than four months. To mitigate, but not eliminate, the long-term risk relating to interest rates payable in securitizations, we have in the past, and intend to continue to, structure some of our securitization transactions to include pre-funding structures, whereby the amount of securities issued exceeds the amount of contracts initially sold into the securitization. In pre-funding, the proceeds from the pre-funded portion are held in an escrow account until we sell the additional contracts into the securitization. In pre-funded securitizations, we effectively lock in our borrowing costs with respect to the contracts we subsequently sell into the securitization. However, we incur an expense in pre-funded securitizations equal to the difference between the money market yields earned on the proceeds held in escrow prior to subsequent delivery of contracts and the interest rate paid on the securities issued in the securitization. The amount of such expense may vary. Despite these mitigation strategies, an increase in prevailing interest rates would cause us to receive less excess spread cash flow on automobile contracts, and thus could adversely affect our earnings and cash flow.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 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ind w:firstLine="324"/>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2013, we re-purchased 15,213 shares of our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Total Number of</w:t>
            </w:r>
          </w:p>
        </w:tc>
        <w:tc>
          <w:tcPr>
            <w:tcW w:w="3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5"/>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 Purchased as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Part of Publicly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 Number of</w:t>
            </w:r>
          </w:p>
        </w:tc>
        <w:tc>
          <w:tcPr>
            <w:tcW w:w="180" w:type="dxa"/>
            <w:vAlign w:val="bottom"/>
          </w:tcPr>
          <w:p>
            <w:pPr>
              <w:spacing w:after="0"/>
              <w:rPr>
                <w:sz w:val="18"/>
                <w:szCs w:val="18"/>
                <w:color w:val="auto"/>
              </w:rPr>
            </w:pPr>
          </w:p>
        </w:tc>
        <w:tc>
          <w:tcPr>
            <w:tcW w:w="19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3"/>
              </w:rPr>
              <w:t>Average Price Paid</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tcPr>
          <w:p>
            <w:pPr>
              <w:ind w:left="1460"/>
              <w:spacing w:after="0"/>
              <w:rPr>
                <w:sz w:val="20"/>
                <w:szCs w:val="20"/>
                <w:color w:val="auto"/>
              </w:rPr>
            </w:pPr>
            <w:r>
              <w:rPr>
                <w:rFonts w:ascii="Arial" w:cs="Arial" w:eastAsia="Arial" w:hAnsi="Arial"/>
                <w:sz w:val="18"/>
                <w:szCs w:val="18"/>
                <w:b w:val="1"/>
                <w:bCs w:val="1"/>
                <w:color w:val="auto"/>
              </w:rPr>
              <w:t>Period(1)</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Shares Purchased</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per Share</w:t>
            </w: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Programs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January 2013</w:t>
            </w:r>
          </w:p>
        </w:tc>
        <w:tc>
          <w:tcPr>
            <w:tcW w:w="1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97"/>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February 2013</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15,213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7.88</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15,213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March 2013</w:t>
            </w:r>
          </w:p>
        </w:tc>
        <w:tc>
          <w:tcPr>
            <w:tcW w:w="1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3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90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Through March 31, 2013, our board of directors had authorized the purchase of up to $34.5 million of our outstanding securities, which program was first announced in our annual report for the year 2002, filed on March 26, 2003. All purchases described in the table above were under the plan announced in March 2003, which has no fixed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4.14</w:t>
            </w:r>
          </w:p>
        </w:tc>
        <w:tc>
          <w:tcPr>
            <w:tcW w:w="10520" w:type="dxa"/>
            <w:vAlign w:val="bottom"/>
            <w:shd w:val="clear" w:color="auto" w:fill="EEEEEE"/>
          </w:tcPr>
          <w:p>
            <w:pPr>
              <w:ind w:left="480"/>
              <w:spacing w:after="0"/>
              <w:rPr>
                <w:sz w:val="20"/>
                <w:szCs w:val="20"/>
                <w:color w:val="auto"/>
              </w:rPr>
            </w:pPr>
            <w:r>
              <w:rPr>
                <w:rFonts w:ascii="Arial" w:cs="Arial" w:eastAsia="Arial" w:hAnsi="Arial"/>
                <w:sz w:val="18"/>
                <w:szCs w:val="18"/>
                <w:color w:val="auto"/>
                <w:w w:val="93"/>
              </w:rPr>
              <w:t>Instruments defining the rights of holders of long-term debt of certain consolidated subsidiaries of the registrant are omitted pursuant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520" w:type="dxa"/>
            <w:vAlign w:val="bottom"/>
            <w:shd w:val="clear" w:color="auto" w:fill="EEEEEE"/>
          </w:tcPr>
          <w:p>
            <w:pPr>
              <w:ind w:left="480"/>
              <w:spacing w:after="0"/>
              <w:rPr>
                <w:sz w:val="20"/>
                <w:szCs w:val="20"/>
                <w:color w:val="auto"/>
              </w:rPr>
            </w:pPr>
            <w:r>
              <w:rPr>
                <w:rFonts w:ascii="Arial" w:cs="Arial" w:eastAsia="Arial" w:hAnsi="Arial"/>
                <w:sz w:val="18"/>
                <w:szCs w:val="18"/>
                <w:color w:val="auto"/>
                <w:w w:val="95"/>
              </w:rPr>
              <w:t>the exclusion set forth in subdivisions (b)(iv)(iii)(A) and (b)(v) of Item 601 of Regulation S-K (17 CFR 229.601). The registrant agrees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105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 provide copies of such instruments to the United States Securities and Exchange Commission upon request.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105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4.43</w:t>
            </w:r>
          </w:p>
        </w:tc>
        <w:tc>
          <w:tcPr>
            <w:tcW w:w="10520" w:type="dxa"/>
            <w:vAlign w:val="bottom"/>
          </w:tcPr>
          <w:p>
            <w:pPr>
              <w:ind w:left="480"/>
              <w:spacing w:after="0"/>
              <w:rPr>
                <w:sz w:val="20"/>
                <w:szCs w:val="20"/>
                <w:color w:val="auto"/>
              </w:rPr>
            </w:pPr>
            <w:r>
              <w:rPr>
                <w:rFonts w:ascii="Arial" w:cs="Arial" w:eastAsia="Arial" w:hAnsi="Arial"/>
                <w:sz w:val="18"/>
                <w:szCs w:val="18"/>
                <w:color w:val="auto"/>
              </w:rPr>
              <w:t>Indenture dated March 1, 2013 re Notes issued by CPS Auto Receivables Trust 2013-A.</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0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4.44</w:t>
            </w:r>
          </w:p>
        </w:tc>
        <w:tc>
          <w:tcPr>
            <w:tcW w:w="105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Sale and Servicing Agreement dated as of March 1, 2013.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80" w:type="dxa"/>
            <w:vAlign w:val="bottom"/>
            <w:shd w:val="clear" w:color="auto" w:fill="EEEEEE"/>
          </w:tcPr>
          <w:p>
            <w:pPr>
              <w:spacing w:after="0"/>
              <w:rPr>
                <w:sz w:val="8"/>
                <w:szCs w:val="8"/>
                <w:color w:val="auto"/>
              </w:rPr>
            </w:pPr>
          </w:p>
        </w:tc>
        <w:tc>
          <w:tcPr>
            <w:tcW w:w="10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480"/>
              <w:spacing w:after="0"/>
              <w:rPr>
                <w:sz w:val="20"/>
                <w:szCs w:val="20"/>
                <w:color w:val="auto"/>
              </w:rPr>
            </w:pPr>
            <w:r>
              <w:rPr>
                <w:rFonts w:ascii="Arial" w:cs="Arial" w:eastAsia="Arial" w:hAnsi="Arial"/>
                <w:sz w:val="18"/>
                <w:szCs w:val="18"/>
                <w:color w:val="auto"/>
              </w:rPr>
              <w:t>2006 Long-Term Equity Incentive Plan as amended to date</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0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10.29</w:t>
            </w:r>
          </w:p>
        </w:tc>
        <w:tc>
          <w:tcPr>
            <w:tcW w:w="105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Amended and Restated Credit Agreement dated March 11, 2013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80" w:type="dxa"/>
            <w:vAlign w:val="bottom"/>
            <w:shd w:val="clear" w:color="auto" w:fill="EEEEEE"/>
          </w:tcPr>
          <w:p>
            <w:pPr>
              <w:spacing w:after="0"/>
              <w:rPr>
                <w:sz w:val="8"/>
                <w:szCs w:val="8"/>
                <w:color w:val="auto"/>
              </w:rPr>
            </w:pPr>
          </w:p>
        </w:tc>
        <w:tc>
          <w:tcPr>
            <w:tcW w:w="10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480"/>
              <w:spacing w:after="0"/>
              <w:rPr>
                <w:sz w:val="20"/>
                <w:szCs w:val="20"/>
                <w:color w:val="auto"/>
              </w:rPr>
            </w:pPr>
            <w:r>
              <w:rPr>
                <w:rFonts w:ascii="Arial" w:cs="Arial" w:eastAsia="Arial" w:hAnsi="Arial"/>
                <w:sz w:val="18"/>
                <w:szCs w:val="18"/>
                <w:color w:val="auto"/>
              </w:rPr>
              <w:t>Rule 13a-14(a) Certification of the Chief Executive Officer of the registrant.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0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31.2</w:t>
            </w:r>
          </w:p>
        </w:tc>
        <w:tc>
          <w:tcPr>
            <w:tcW w:w="105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Rule 13a-14(a) Certification of the Chief Financial Officer of the registrant.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80" w:type="dxa"/>
            <w:vAlign w:val="bottom"/>
            <w:shd w:val="clear" w:color="auto" w:fill="EEEEEE"/>
          </w:tcPr>
          <w:p>
            <w:pPr>
              <w:spacing w:after="0"/>
              <w:rPr>
                <w:sz w:val="8"/>
                <w:szCs w:val="8"/>
                <w:color w:val="auto"/>
              </w:rPr>
            </w:pPr>
          </w:p>
        </w:tc>
        <w:tc>
          <w:tcPr>
            <w:tcW w:w="10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0520" w:type="dxa"/>
            <w:vAlign w:val="bottom"/>
          </w:tcPr>
          <w:p>
            <w:pPr>
              <w:ind w:left="48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8"/>
        <w:spacing w:after="0" w:line="312" w:lineRule="auto"/>
        <w:tabs>
          <w:tab w:leader="none" w:pos="13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April 30, 2013</w:t>
      </w:r>
      <w:r>
        <w:rPr>
          <w:sz w:val="20"/>
          <w:szCs w:val="20"/>
          <w:color w:val="auto"/>
        </w:rPr>
        <w:tab/>
      </w:r>
      <w:r>
        <w:rPr>
          <w:rFonts w:ascii="Arial" w:cs="Arial" w:eastAsia="Arial" w:hAnsi="Arial"/>
          <w:sz w:val="17"/>
          <w:szCs w:val="17"/>
          <w:color w:val="auto"/>
        </w:rPr>
        <w:t>By: /s/ CHARLES E. BRADLEY, JR.</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-130175</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April 30, 2013</w:t>
      </w:r>
      <w:r>
        <w:rPr>
          <w:sz w:val="20"/>
          <w:szCs w:val="20"/>
          <w:color w:val="auto"/>
        </w:rPr>
        <w:tab/>
      </w:r>
      <w:r>
        <w:rPr>
          <w:rFonts w:ascii="Arial" w:cs="Arial" w:eastAsia="Arial" w:hAnsi="Arial"/>
          <w:sz w:val="17"/>
          <w:szCs w:val="17"/>
          <w:color w:val="auto"/>
        </w:rPr>
        <w:t>By: /s/ JEFFREY P. FRITZ</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-130175</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1780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420"/>
          </w:cols>
          <w:pgMar w:left="240" w:top="121" w:right="239" w:bottom="1440" w:gutter="0" w:footer="0" w:header="0"/>
        </w:sectPr>
      </w:pPr>
    </w:p>
    <w:bookmarkStart w:id="43" w:name="page44"/>
    <w:bookmarkEnd w:id="43"/>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1780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March 31, 2013,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360" w:hanging="344"/>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60" w:hanging="344"/>
        <w:spacing w:after="0"/>
        <w:tabs>
          <w:tab w:leader="none" w:pos="1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T"/>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lowerRoman"/>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2019-12-06T07:19:42Z</dcterms:created>
  <dcterms:modified xsi:type="dcterms:W3CDTF">2019-12-06T07:19:42Z</dcterms:modified>
</cp:coreProperties>
</file>