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29" w:right="1440" w:bottom="1440" w:gutter="0" w:footer="0" w:header="0"/>
        </w:sectPr>
      </w:pP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11-K</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jc w:val="center"/>
        <w:ind w:left="4320" w:right="1859" w:hanging="2468"/>
        <w:spacing w:after="0" w:line="282" w:lineRule="auto"/>
        <w:tabs>
          <w:tab w:leader="none" w:pos="20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15(d) of the Securities Exchange of 1934</w:t>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00" w:lineRule="exact"/>
        <w:rPr>
          <w:sz w:val="24"/>
          <w:szCs w:val="24"/>
          <w:color w:val="auto"/>
        </w:rPr>
      </w:pPr>
    </w:p>
    <w:p>
      <w:pPr>
        <w:spacing w:after="0" w:line="241" w:lineRule="exact"/>
        <w:rPr>
          <w:sz w:val="24"/>
          <w:szCs w:val="24"/>
          <w:color w:val="auto"/>
        </w:rPr>
      </w:pPr>
    </w:p>
    <w:p>
      <w:pPr>
        <w:ind w:left="3000" w:right="2079" w:hanging="613"/>
        <w:spacing w:after="0" w:line="282" w:lineRule="auto"/>
        <w:tabs>
          <w:tab w:leader="none" w:pos="259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15(d) of the Securities Exchange Act of 1934 [No Fee Required]</w:t>
      </w:r>
    </w:p>
    <w:p>
      <w:pPr>
        <w:spacing w:after="0" w:line="37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For the transition period from ______ to_______</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1-11416</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Full title of the plan and the address of the plan, if different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from that of the issuer named below:</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Consumer Portfolio Services, Inc. 401(k) Plan</w:t>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Name of issuer of the securities held pursuant to the plan and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its principal executive office:</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Consumer Portfolio Services,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3800 Howard Hughes Parkway Suite 1400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Las Vegas, NV 89169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29"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REQUIRED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Financial Statements.</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Financial statements and supplemental schedules prepared in accordance with the financial reporting requirements of the Employee Retirement Income Security Act of 1974, together with the report of independent registered public accounting firm thereon, are filed herewith.</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Consent of Independent Registered Public Accounting Firm is filed herewith as </w:t>
      </w:r>
      <w:r>
        <w:rPr>
          <w:rFonts w:ascii="Times New Roman" w:cs="Times New Roman" w:eastAsia="Times New Roman" w:hAnsi="Times New Roman"/>
          <w:sz w:val="18"/>
          <w:szCs w:val="18"/>
          <w:u w:val="single" w:color="auto"/>
          <w:color w:val="0000EE"/>
        </w:rPr>
        <w:t>Exhibit 23.1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trustees (or other persons who administer the Plan) have duly caused this annual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Consumer Portfolio Services, Inc. 401(k) Plan</w:t>
            </w: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June 29, 2026</w:t>
            </w:r>
          </w:p>
        </w:tc>
        <w:tc>
          <w:tcPr>
            <w:tcW w:w="44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191"/>
        </w:trPr>
        <w:tc>
          <w:tcPr>
            <w:tcW w:w="11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Denesh Bharwani</w:t>
            </w:r>
          </w:p>
        </w:tc>
      </w:tr>
      <w:tr>
        <w:trPr>
          <w:trHeight w:val="234"/>
        </w:trPr>
        <w:tc>
          <w:tcPr>
            <w:tcW w:w="11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Member, Benefits Committee</w:t>
            </w:r>
          </w:p>
        </w:tc>
      </w:tr>
      <w:tr>
        <w:trPr>
          <w:trHeight w:val="1836"/>
        </w:trPr>
        <w:tc>
          <w:tcPr>
            <w:tcW w:w="11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401(K)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Statements and Supplemental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and for the Years Ended December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(with Report of Independent Registered Public Accounting Firm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4070985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7960" w:type="dxa"/>
            <w:vAlign w:val="bottom"/>
            <w:gridSpan w:val="5"/>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CONSUMER PORTFOLIO SERVICES, INC. 401(K) PLAN</w:t>
            </w:r>
          </w:p>
        </w:tc>
        <w:tc>
          <w:tcPr>
            <w:tcW w:w="1120" w:type="dxa"/>
            <w:vAlign w:val="bottom"/>
          </w:tcPr>
          <w:p>
            <w:pPr>
              <w:spacing w:after="0"/>
              <w:rPr>
                <w:sz w:val="20"/>
                <w:szCs w:val="20"/>
                <w:color w:val="auto"/>
              </w:rPr>
            </w:pPr>
          </w:p>
        </w:tc>
      </w:tr>
      <w:tr>
        <w:trPr>
          <w:trHeight w:val="864"/>
        </w:trPr>
        <w:tc>
          <w:tcPr>
            <w:tcW w:w="2160" w:type="dxa"/>
            <w:vAlign w:val="bottom"/>
          </w:tcPr>
          <w:p>
            <w:pPr>
              <w:spacing w:after="0"/>
              <w:rPr>
                <w:sz w:val="24"/>
                <w:szCs w:val="24"/>
                <w:color w:val="auto"/>
              </w:rPr>
            </w:pPr>
          </w:p>
        </w:tc>
        <w:tc>
          <w:tcPr>
            <w:tcW w:w="7960" w:type="dxa"/>
            <w:vAlign w:val="bottom"/>
            <w:gridSpan w:val="5"/>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 and Supplemental Schedules</w:t>
            </w:r>
          </w:p>
        </w:tc>
        <w:tc>
          <w:tcPr>
            <w:tcW w:w="1120" w:type="dxa"/>
            <w:vAlign w:val="bottom"/>
          </w:tcPr>
          <w:p>
            <w:pPr>
              <w:spacing w:after="0"/>
              <w:rPr>
                <w:sz w:val="24"/>
                <w:szCs w:val="24"/>
                <w:color w:val="auto"/>
              </w:rPr>
            </w:pPr>
          </w:p>
        </w:tc>
      </w:tr>
      <w:tr>
        <w:trPr>
          <w:trHeight w:val="662"/>
        </w:trPr>
        <w:tc>
          <w:tcPr>
            <w:tcW w:w="2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6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Statements of Net Assets Available for Benefits – As of December 31, 2025, and 2024</w:t>
            </w:r>
          </w:p>
        </w:tc>
        <w:tc>
          <w:tcPr>
            <w:tcW w:w="3880" w:type="dxa"/>
            <w:vAlign w:val="bottom"/>
            <w:gridSpan w:val="2"/>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8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Statements of Changes in Net Assets Available for Benefits – For the Years Ended December 31, 2025, and 2024</w:t>
            </w:r>
          </w:p>
        </w:tc>
        <w:tc>
          <w:tcPr>
            <w:tcW w:w="19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160" w:type="dxa"/>
            <w:vAlign w:val="bottom"/>
            <w:shd w:val="clear" w:color="auto" w:fill="0000EE"/>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01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Schedule H, Line 4i – Schedule of Assets (Held at End of Year) – December 31, 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21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1980"/>
        <w:spacing w:after="0" w:line="282" w:lineRule="auto"/>
        <w:rPr>
          <w:sz w:val="20"/>
          <w:szCs w:val="20"/>
          <w:color w:val="auto"/>
        </w:rPr>
      </w:pPr>
      <w:r>
        <w:rPr>
          <w:rFonts w:ascii="Times New Roman" w:cs="Times New Roman" w:eastAsia="Times New Roman" w:hAnsi="Times New Roman"/>
          <w:sz w:val="18"/>
          <w:szCs w:val="18"/>
          <w:color w:val="auto"/>
        </w:rPr>
        <w:t>All schedules omitted are not applicable or are not required based on disclosure requirements of the Employee Retirement Income Security Act of 1974 and regulations issued by the Department of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Participants and Benefits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Portfolio Services, Inc. 401(k)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Consumer Portfolio Services, Inc. 401(k) Plan (the “Plan”) as of December 31, 2025 and 2024,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ind w:left="19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Required by ERISA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supplemental information in the accompanying schedule, Schedule H, Line 4i – Schedule of Assets (Held at End of Year) as of December 31, 2025 (referred to as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HASKELL &amp; WHITE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401(K)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 (Notes 2, 3 and 4):</w:t>
            </w:r>
          </w:p>
        </w:tc>
        <w:tc>
          <w:tcPr>
            <w:tcW w:w="15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r>
      <w:tr>
        <w:trPr>
          <w:trHeight w:val="210"/>
        </w:trPr>
        <w:tc>
          <w:tcPr>
            <w:tcW w:w="6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bearing cash</w:t>
            </w:r>
          </w:p>
        </w:tc>
        <w:tc>
          <w:tcPr>
            <w:tcW w:w="192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235,359</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140,318</w:t>
            </w:r>
          </w:p>
        </w:tc>
        <w:tc>
          <w:tcPr>
            <w:tcW w:w="100" w:type="dxa"/>
            <w:vAlign w:val="bottom"/>
            <w:shd w:val="clear" w:color="auto" w:fill="EEEEEE"/>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Guaranteed interest account, at contract value</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4,993,443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5,404,025</w:t>
            </w:r>
          </w:p>
        </w:tc>
        <w:tc>
          <w:tcPr>
            <w:tcW w:w="100" w:type="dxa"/>
            <w:vAlign w:val="bottom"/>
          </w:tcPr>
          <w:p>
            <w:pPr>
              <w:spacing w:after="0"/>
              <w:rPr>
                <w:sz w:val="18"/>
                <w:szCs w:val="18"/>
                <w:color w:val="auto"/>
              </w:rPr>
            </w:pPr>
          </w:p>
        </w:tc>
      </w:tr>
      <w:tr>
        <w:trPr>
          <w:trHeight w:val="216"/>
        </w:trPr>
        <w:tc>
          <w:tcPr>
            <w:tcW w:w="61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1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64,880,779</w:t>
            </w: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57,428,946</w:t>
            </w:r>
          </w:p>
        </w:tc>
        <w:tc>
          <w:tcPr>
            <w:tcW w:w="100" w:type="dxa"/>
            <w:vAlign w:val="bottom"/>
            <w:shd w:val="clear" w:color="auto" w:fill="EEEEEE"/>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 Portfolio Services, Inc. (CPS, Inc.) common stock</w:t>
            </w: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5,815,293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5,781,242</w:t>
            </w:r>
          </w:p>
        </w:tc>
        <w:tc>
          <w:tcPr>
            <w:tcW w:w="100" w:type="dxa"/>
            <w:vAlign w:val="bottom"/>
          </w:tcPr>
          <w:p>
            <w:pPr>
              <w:spacing w:after="0"/>
              <w:rPr>
                <w:sz w:val="19"/>
                <w:szCs w:val="19"/>
                <w:color w:val="auto"/>
              </w:rPr>
            </w:pPr>
          </w:p>
        </w:tc>
      </w:tr>
      <w:tr>
        <w:trPr>
          <w:trHeight w:val="209"/>
        </w:trPr>
        <w:tc>
          <w:tcPr>
            <w:tcW w:w="612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75,924,874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68,754,531</w:t>
            </w:r>
          </w:p>
        </w:tc>
        <w:tc>
          <w:tcPr>
            <w:tcW w:w="100" w:type="dxa"/>
            <w:vAlign w:val="bottom"/>
          </w:tcPr>
          <w:p>
            <w:pPr>
              <w:spacing w:after="0"/>
              <w:rPr>
                <w:sz w:val="18"/>
                <w:szCs w:val="18"/>
                <w:color w:val="auto"/>
              </w:rPr>
            </w:pPr>
          </w:p>
        </w:tc>
      </w:tr>
      <w:tr>
        <w:trPr>
          <w:trHeight w:val="216"/>
        </w:trPr>
        <w:tc>
          <w:tcPr>
            <w:tcW w:w="612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2,782,944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2,498,377</w:t>
            </w:r>
          </w:p>
        </w:tc>
        <w:tc>
          <w:tcPr>
            <w:tcW w:w="100" w:type="dxa"/>
            <w:vAlign w:val="bottom"/>
          </w:tcPr>
          <w:p>
            <w:pPr>
              <w:spacing w:after="0"/>
              <w:rPr>
                <w:sz w:val="19"/>
                <w:szCs w:val="19"/>
                <w:color w:val="auto"/>
              </w:rPr>
            </w:pPr>
          </w:p>
        </w:tc>
      </w:tr>
      <w:tr>
        <w:trPr>
          <w:trHeight w:val="209"/>
        </w:trPr>
        <w:tc>
          <w:tcPr>
            <w:tcW w:w="6120" w:type="dxa"/>
            <w:vAlign w:val="bottom"/>
            <w:tcBorders>
              <w:top w:val="single" w:sz="8" w:color="EEEEEE"/>
            </w:tcBorders>
            <w:shd w:val="clear" w:color="auto" w:fill="EEEEEE"/>
          </w:tcPr>
          <w:p>
            <w:pPr>
              <w:spacing w:after="0"/>
              <w:rPr>
                <w:sz w:val="18"/>
                <w:szCs w:val="18"/>
                <w:color w:val="auto"/>
              </w:rPr>
            </w:pPr>
          </w:p>
        </w:tc>
        <w:tc>
          <w:tcPr>
            <w:tcW w:w="15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43"/>
        </w:trPr>
        <w:tc>
          <w:tcPr>
            <w:tcW w:w="6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78,707,818</w:t>
            </w:r>
          </w:p>
        </w:tc>
        <w:tc>
          <w:tcPr>
            <w:tcW w:w="2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71,252,908</w:t>
            </w:r>
          </w:p>
        </w:tc>
        <w:tc>
          <w:tcPr>
            <w:tcW w:w="100" w:type="dxa"/>
            <w:vAlign w:val="bottom"/>
          </w:tcPr>
          <w:p>
            <w:pPr>
              <w:spacing w:after="0"/>
              <w:rPr>
                <w:sz w:val="21"/>
                <w:szCs w:val="21"/>
                <w:color w:val="auto"/>
              </w:rPr>
            </w:pPr>
          </w:p>
        </w:tc>
      </w:tr>
      <w:tr>
        <w:trPr>
          <w:trHeight w:val="20"/>
        </w:trPr>
        <w:tc>
          <w:tcPr>
            <w:tcW w:w="6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401(K)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Years ended December 31, 2025, and 2024</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bottom w:val="single" w:sz="8" w:color="EEEEEE"/>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EEEEEE"/>
            </w:tcBorders>
          </w:tcPr>
          <w:p>
            <w:pPr>
              <w:spacing w:after="0"/>
              <w:rPr>
                <w:sz w:val="20"/>
                <w:szCs w:val="20"/>
                <w:color w:val="auto"/>
              </w:rPr>
            </w:pPr>
          </w:p>
        </w:tc>
      </w:tr>
      <w:tr>
        <w:trPr>
          <w:trHeight w:val="209"/>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Additions to (deductions from) net assets attributed to:</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Contributions:</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Employees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4,149,045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4,250,524</w:t>
            </w:r>
          </w:p>
        </w:tc>
      </w:tr>
      <w:tr>
        <w:trPr>
          <w:trHeight w:val="216"/>
        </w:trPr>
        <w:tc>
          <w:tcPr>
            <w:tcW w:w="744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Employer</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1,566,039</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1,534,968</w:t>
            </w:r>
          </w:p>
        </w:tc>
      </w:tr>
      <w:tr>
        <w:trPr>
          <w:trHeight w:val="229"/>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Employees' individual rollover</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104,889</w:t>
            </w:r>
          </w:p>
        </w:tc>
        <w:tc>
          <w:tcPr>
            <w:tcW w:w="1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31,031</w:t>
            </w:r>
          </w:p>
        </w:tc>
      </w:tr>
      <w:tr>
        <w:trPr>
          <w:trHeight w:val="210"/>
        </w:trPr>
        <w:tc>
          <w:tcPr>
            <w:tcW w:w="74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74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contributions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5,819,973</w:t>
            </w:r>
          </w:p>
        </w:tc>
        <w:tc>
          <w:tcPr>
            <w:tcW w:w="1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5,816,523</w:t>
            </w:r>
          </w:p>
        </w:tc>
      </w:tr>
      <w:tr>
        <w:trPr>
          <w:trHeight w:val="210"/>
        </w:trPr>
        <w:tc>
          <w:tcPr>
            <w:tcW w:w="74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(Notes 2, 3 and 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Interest on guaranteed interest account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150,485</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172,319</w:t>
            </w:r>
          </w:p>
        </w:tc>
      </w:tr>
      <w:tr>
        <w:trPr>
          <w:trHeight w:val="216"/>
        </w:trPr>
        <w:tc>
          <w:tcPr>
            <w:tcW w:w="744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appreciation (depreciation) in fair value of registered investment companies</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7,092,810</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5,833,262</w:t>
            </w:r>
          </w:p>
        </w:tc>
      </w:tr>
      <w:tr>
        <w:trPr>
          <w:trHeight w:val="216"/>
        </w:trPr>
        <w:tc>
          <w:tcPr>
            <w:tcW w:w="744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Net unrealized/realized appreciation (depreciation) of CPS, Inc. common stock</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(764,750)</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826,784</w:t>
            </w:r>
          </w:p>
        </w:tc>
      </w:tr>
      <w:tr>
        <w:trPr>
          <w:trHeight w:val="216"/>
        </w:trPr>
        <w:tc>
          <w:tcPr>
            <w:tcW w:w="7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from registered investment companies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2,647,100</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2,138,232</w:t>
            </w:r>
          </w:p>
        </w:tc>
      </w:tr>
      <w:tr>
        <w:trPr>
          <w:trHeight w:val="230"/>
        </w:trPr>
        <w:tc>
          <w:tcPr>
            <w:tcW w:w="7440" w:type="dxa"/>
            <w:vAlign w:val="bottom"/>
            <w:shd w:val="clear" w:color="auto" w:fill="EEEEEE"/>
          </w:tcPr>
          <w:p>
            <w:pPr>
              <w:ind w:left="720"/>
              <w:spacing w:after="0"/>
              <w:rPr>
                <w:sz w:val="20"/>
                <w:szCs w:val="20"/>
                <w:color w:val="auto"/>
              </w:rPr>
            </w:pPr>
            <w:r>
              <w:rPr>
                <w:rFonts w:ascii="Times New Roman" w:cs="Times New Roman" w:eastAsia="Times New Roman" w:hAnsi="Times New Roman"/>
                <w:sz w:val="18"/>
                <w:szCs w:val="18"/>
                <w:color w:val="auto"/>
              </w:rPr>
              <w:t>Investment expenses</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(57,838)</w:t>
            </w:r>
          </w:p>
        </w:tc>
        <w:tc>
          <w:tcPr>
            <w:tcW w:w="1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(52,353)</w:t>
            </w:r>
          </w:p>
        </w:tc>
      </w:tr>
      <w:tr>
        <w:trPr>
          <w:trHeight w:val="209"/>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ind w:left="1080"/>
              <w:spacing w:after="0"/>
              <w:rPr>
                <w:sz w:val="20"/>
                <w:szCs w:val="20"/>
                <w:color w:val="auto"/>
              </w:rPr>
            </w:pPr>
            <w:r>
              <w:rPr>
                <w:rFonts w:ascii="Times New Roman" w:cs="Times New Roman" w:eastAsia="Times New Roman" w:hAnsi="Times New Roman"/>
                <w:sz w:val="18"/>
                <w:szCs w:val="18"/>
                <w:color w:val="auto"/>
              </w:rPr>
              <w:t>Total investments gains (losses)</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9,067,807</w:t>
            </w:r>
          </w:p>
        </w:tc>
        <w:tc>
          <w:tcPr>
            <w:tcW w:w="1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8,918,244</w:t>
            </w:r>
          </w:p>
        </w:tc>
      </w:tr>
      <w:tr>
        <w:trPr>
          <w:trHeight w:val="216"/>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209,431</w:t>
            </w:r>
          </w:p>
        </w:tc>
        <w:tc>
          <w:tcPr>
            <w:tcW w:w="1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167,712</w:t>
            </w: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440" w:type="dxa"/>
            <w:vAlign w:val="bottom"/>
            <w:shd w:val="clear" w:color="auto" w:fill="EEEEEE"/>
          </w:tcPr>
          <w:p>
            <w:pPr>
              <w:ind w:left="1440"/>
              <w:spacing w:after="0"/>
              <w:rPr>
                <w:sz w:val="20"/>
                <w:szCs w:val="20"/>
                <w:color w:val="auto"/>
              </w:rPr>
            </w:pPr>
            <w:r>
              <w:rPr>
                <w:rFonts w:ascii="Times New Roman" w:cs="Times New Roman" w:eastAsia="Times New Roman" w:hAnsi="Times New Roman"/>
                <w:sz w:val="18"/>
                <w:szCs w:val="18"/>
                <w:color w:val="auto"/>
              </w:rPr>
              <w:t>Total additions (deductions)</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15,097,211</w:t>
            </w:r>
          </w:p>
        </w:tc>
        <w:tc>
          <w:tcPr>
            <w:tcW w:w="1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14,902,479</w:t>
            </w:r>
          </w:p>
        </w:tc>
      </w:tr>
      <w:tr>
        <w:trPr>
          <w:trHeight w:val="210"/>
        </w:trPr>
        <w:tc>
          <w:tcPr>
            <w:tcW w:w="7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sectPr>
      </w:pPr>
    </w:p>
    <w:p>
      <w:pPr>
        <w:ind w:left="360"/>
        <w:spacing w:after="0"/>
        <w:rPr>
          <w:sz w:val="20"/>
          <w:szCs w:val="20"/>
          <w:color w:val="auto"/>
        </w:rPr>
      </w:pPr>
      <w:r>
        <w:rPr>
          <w:rFonts w:ascii="Times New Roman" w:cs="Times New Roman" w:eastAsia="Times New Roman" w:hAnsi="Times New Roman"/>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increase (decrease)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(7,509,870)</w:t>
            </w:r>
          </w:p>
        </w:tc>
        <w:tc>
          <w:tcPr>
            <w:tcW w:w="4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(3,275,884)</w:t>
            </w:r>
          </w:p>
        </w:tc>
      </w:tr>
      <w:tr>
        <w:trPr>
          <w:trHeight w:val="248"/>
        </w:trPr>
        <w:tc>
          <w:tcPr>
            <w:tcW w:w="44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(132,431)</w:t>
            </w:r>
          </w:p>
        </w:tc>
        <w:tc>
          <w:tcPr>
            <w:tcW w:w="4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(116,533)</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(7,642,301)</w:t>
            </w:r>
          </w:p>
        </w:tc>
        <w:tc>
          <w:tcPr>
            <w:tcW w:w="4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(3,392,417)</w:t>
            </w: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4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7,454,910</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11,510,062</w:t>
            </w:r>
          </w:p>
        </w:tc>
        <w:tc>
          <w:tcPr>
            <w:tcW w:w="60" w:type="dxa"/>
            <w:vAlign w:val="bottom"/>
          </w:tcPr>
          <w:p>
            <w:pPr>
              <w:spacing w:after="0"/>
              <w:rPr>
                <w:sz w:val="24"/>
                <w:szCs w:val="24"/>
                <w:color w:val="auto"/>
              </w:rPr>
            </w:pPr>
          </w:p>
        </w:tc>
      </w:tr>
      <w:tr>
        <w:trPr>
          <w:trHeight w:val="877"/>
        </w:trPr>
        <w:tc>
          <w:tcPr>
            <w:tcW w:w="4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71,252,908</w:t>
            </w: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59,742,846</w:t>
            </w:r>
          </w:p>
        </w:tc>
        <w:tc>
          <w:tcPr>
            <w:tcW w:w="60" w:type="dxa"/>
            <w:vAlign w:val="bottom"/>
          </w:tcPr>
          <w:p>
            <w:pPr>
              <w:spacing w:after="0"/>
              <w:rPr>
                <w:sz w:val="24"/>
                <w:szCs w:val="2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453"/>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78,707,818</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71,252,908</w:t>
            </w:r>
          </w:p>
        </w:tc>
        <w:tc>
          <w:tcPr>
            <w:tcW w:w="60" w:type="dxa"/>
            <w:vAlign w:val="bottom"/>
          </w:tcPr>
          <w:p>
            <w:pPr>
              <w:spacing w:after="0"/>
              <w:rPr>
                <w:sz w:val="24"/>
                <w:szCs w:val="24"/>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401(K) PLAN</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3"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229" w:lineRule="exact"/>
        <w:rPr>
          <w:rFonts w:ascii="Times New Roman" w:cs="Times New Roman" w:eastAsia="Times New Roman" w:hAnsi="Times New Roman"/>
          <w:sz w:val="18"/>
          <w:szCs w:val="18"/>
          <w:b w:val="1"/>
          <w:bCs w:val="1"/>
          <w:color w:val="auto"/>
        </w:rPr>
      </w:pPr>
    </w:p>
    <w:p>
      <w:pPr>
        <w:ind w:left="5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Consumer Portfolio Services, Inc. (the “Plan Sponsor” or “CPS, Inc.”) 401(k) Plan (the “Plan”) provides only general information. Participants should refer to the Plan agreement for a more complete description of the Plan’s provisions.</w:t>
      </w:r>
    </w:p>
    <w:p>
      <w:pPr>
        <w:spacing w:after="0" w:line="157" w:lineRule="exact"/>
        <w:rPr>
          <w:rFonts w:ascii="Times New Roman" w:cs="Times New Roman" w:eastAsia="Times New Roman" w:hAnsi="Times New Roman"/>
          <w:sz w:val="18"/>
          <w:szCs w:val="18"/>
          <w:b w:val="1"/>
          <w:bCs w:val="1"/>
          <w:color w:val="auto"/>
        </w:rPr>
      </w:pPr>
    </w:p>
    <w:p>
      <w:pPr>
        <w:ind w:left="980" w:hanging="486"/>
        <w:spacing w:after="0"/>
        <w:tabs>
          <w:tab w:leader="none" w:pos="980"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8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was established as a profit sharing plan with cash or deferred arrangement on January 1, 1994. The Plan was restated as of January 1, 1996, to permit investment in the Plan Sponsor’s common stock without regard to Section 407(a) of the Employee Retirement Income Security Act of 1974 (“ERISA”). Effective January 1, 2003, the Plan Sponsor adopted the MassMutual Life Insurance Company Flexinvest® Prototype Non-Standardized 401(k) Profit Sharing Plan. During 2012, the Plan was amended to allow for automatic enrollment with automatic deferral contributions of 3% of eligible compensation of employees eligible to participate in the Plan, unless otherwise elected by such employees. Effective January 1, 2017, the Plan was amended to automatically increase participant contributions by 1% on the employee’s anniversary date each year forward, unless the employee opts out. The Plan is a defined contribution plan which provides retirement benefits for eligible employees of the Plan Sponsor. It is subject to the provisions of ERISA.</w:t>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3"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Administration of the Plan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is administered by the Human Resources Department (the “Plan Administrator”) of the Plan Sponsor. The Plan Administrator consults with the Benefits Committee and other key management of the Plan Sponsor when managing the operations and the administration of the Plan. The Plan is operated under an agreement which requires that Empower hold and distribute the funds of the Plan in accordance with the text of the Plan and the instructions of the Plan Administrator or its designees.</w:t>
      </w:r>
    </w:p>
    <w:p>
      <w:pPr>
        <w:spacing w:after="0" w:line="175"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1"/>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Eligibility and Contributions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8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Employees are eligible to participate in the Plan after completing 90 days of service. In accordance with the Plan, participants may contribute up to 100% of their annual compensation, after required deductions, such as those required by the Federal Insurance Contributions Act. Contributions are subject to certain limitations as defined in the Plan agreement, as well as a maximum of $23,500 and $23,000 for the years ended December 31, 2025, and 2024, respectively, under the Internal Revenue Code (“IRC”) of 1986. Catch-up contributions (within the meaning of Section 414(v) of the IRC) can also be made by participants who reach age 50 during the plan year. Participants are only permitted to make catch-up contributions after they have already contributed the maximum amount for the year. The catch-up contribution limit was $7,500 for participants age 50–59 and age 64 and older, and $11,250 for participants age 60–63, for the year ended December 31, 2025. The catch-up contribution limit was $7,500 for the year ended December 31, 2024. Participants may rollover into the Plan amounts representing distributions from other qualified plans.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left="492" w:hanging="492"/>
        <w:spacing w:after="0"/>
        <w:tabs>
          <w:tab w:leader="none" w:pos="4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(continued)</w:t>
      </w:r>
    </w:p>
    <w:p>
      <w:pPr>
        <w:spacing w:after="0" w:line="225" w:lineRule="exact"/>
        <w:rPr>
          <w:rFonts w:ascii="Times New Roman" w:cs="Times New Roman" w:eastAsia="Times New Roman" w:hAnsi="Times New Roman"/>
          <w:sz w:val="18"/>
          <w:szCs w:val="18"/>
          <w:b w:val="1"/>
          <w:bCs w:val="1"/>
          <w:color w:val="auto"/>
        </w:rPr>
      </w:pPr>
    </w:p>
    <w:p>
      <w:pPr>
        <w:ind w:left="972" w:hanging="486"/>
        <w:spacing w:after="0"/>
        <w:tabs>
          <w:tab w:leader="none" w:pos="97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Eligibility and Contributions (continued)</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Sponsor may make a discretionary matching contribution equal to a discretionary amount of each participant’s pretax contributions up to a maximum of $2,000. Discretionary cash matching contributions were $1,566,039 and $1,534,968, for the years ended December 31, 2025, and 2024, respectively.</w:t>
      </w:r>
    </w:p>
    <w:p>
      <w:pPr>
        <w:spacing w:after="0" w:line="171"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Participant Accounts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Each participant’s account is credited with the participant’s contributions, allocations of the Plan Sponsor’s matching contributions and investment earnings or losses and charged with an allocation of expenses. Allocations are based on participant earnings, losses, or account balances, as defined in the Plan agreement.</w:t>
      </w:r>
    </w:p>
    <w:p>
      <w:pPr>
        <w:spacing w:after="0" w:line="171"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Vesting</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92"/>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Participants are immediately vested in their contributions plus actual earnings thereon. Vesting in the Plan Sponsor’s matching contributions plus actual earnings thereon is based on years of continuous service. A participant vests at the rate of 20% after two years of credited service and 20% each year thereafter until 100% is reached after six years of credited service. Participants are also fully vested at death, retirement and upon termination for disability.</w:t>
      </w:r>
    </w:p>
    <w:p>
      <w:pPr>
        <w:spacing w:after="0" w:line="175"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 Options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offers various investment options which are managed by several outside investment managers. Upon enrollment in the Plan, participants may direct their contributions in any of the investment options offered at the time. A participant’s plan account will be invested in a target date retirement fund based on age if an investment fund(s) is not chosen. Participants may change their investment options daily. Participants should refer to the investment literature provided by the Plan Sponsor for a complete description of the investment options and for the detailed composition of each investment fund.</w:t>
      </w:r>
    </w:p>
    <w:p>
      <w:pPr>
        <w:spacing w:after="0" w:line="179"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Participants may borrow from their accounts. Such borrowings and repayments are treated as transfers from and to, respectively, the participant’s investment funds. Borrowings are secured by the participant’s vested account balance and bear interest at a rate commensurate with local prevailing rates as determined by the Plan Administrator. Loans are limited to the lesser of $50,000, reduced by the highest outstanding loan balance during the preceding 12 months, or 50% of the participant’s vested account balance. A loan shall be repaid within five years unless it is used for the purchase of a primary residence.</w:t>
      </w:r>
    </w:p>
    <w:p>
      <w:pPr>
        <w:spacing w:after="0" w:line="183"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Notes receivable from participants are payable through payroll deductions in installments of principal plus interest of prime rate plus 1 percentage point (7.75% and 8.50% at December 31, 2025 and 2024, respectively) with final payments due between January 2026 and November 2032.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0" w:name="page11"/>
    <w:bookmarkEnd w:id="10"/>
    <w:p>
      <w:pPr>
        <w:ind w:left="492" w:hanging="492"/>
        <w:spacing w:after="0"/>
        <w:tabs>
          <w:tab w:leader="none" w:pos="49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(continued)</w:t>
      </w:r>
    </w:p>
    <w:p>
      <w:pPr>
        <w:spacing w:after="0" w:line="225" w:lineRule="exact"/>
        <w:rPr>
          <w:rFonts w:ascii="Times New Roman" w:cs="Times New Roman" w:eastAsia="Times New Roman" w:hAnsi="Times New Roman"/>
          <w:sz w:val="18"/>
          <w:szCs w:val="18"/>
          <w:b w:val="1"/>
          <w:bCs w:val="1"/>
          <w:color w:val="auto"/>
        </w:rPr>
      </w:pPr>
    </w:p>
    <w:p>
      <w:pPr>
        <w:ind w:left="972" w:hanging="486"/>
        <w:spacing w:after="0"/>
        <w:tabs>
          <w:tab w:leader="none" w:pos="972"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Payments of Benefits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Upon termination of service, a participant may elect to receive either a single lump sum payment in cash equal to the value of the vested interest in his or her account, or a series of substantially equal annual or more frequent installments over a period not to exceed the participant’s life expectancy.</w:t>
      </w:r>
    </w:p>
    <w:p>
      <w:pPr>
        <w:spacing w:after="0" w:line="171"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Forfeited Accounts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accordance with the Plan agreement, forfeitures attributable to unvested matching contributions must be applied first to reduce expenses related to the administration of the Plan (Note 2(e)) and then to reduce any employer contributions. As of December 31, 2025, and 2024, forfeited accounts totaled $46,623 and $4,773, respectively.</w:t>
      </w:r>
    </w:p>
    <w:p>
      <w:pPr>
        <w:spacing w:after="0" w:line="171"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Plan Termination</w:t>
      </w:r>
    </w:p>
    <w:p>
      <w:pPr>
        <w:spacing w:after="0" w:line="229" w:lineRule="exact"/>
        <w:rPr>
          <w:rFonts w:ascii="Times New Roman" w:cs="Times New Roman" w:eastAsia="Times New Roman" w:hAnsi="Times New Roman"/>
          <w:sz w:val="18"/>
          <w:szCs w:val="18"/>
          <w:b w:val="1"/>
          <w:bCs w:val="1"/>
          <w:i w:val="1"/>
          <w:iCs w:val="1"/>
          <w:color w:val="auto"/>
        </w:rPr>
      </w:pPr>
    </w:p>
    <w:p>
      <w:pPr>
        <w:ind w:left="972"/>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Although it has not expressed any intent to do so, the Plan Sponsor has the right under the Plan to terminate the Plan subject to the provisions of ERISA. In the event of the Plan’s termination, participants will become 100% vested in their accounts.</w:t>
      </w:r>
    </w:p>
    <w:p>
      <w:pPr>
        <w:spacing w:after="0" w:line="157" w:lineRule="exact"/>
        <w:rPr>
          <w:rFonts w:ascii="Times New Roman" w:cs="Times New Roman" w:eastAsia="Times New Roman" w:hAnsi="Times New Roman"/>
          <w:sz w:val="18"/>
          <w:szCs w:val="18"/>
          <w:b w:val="1"/>
          <w:bCs w:val="1"/>
          <w:i w:val="1"/>
          <w:iCs w:val="1"/>
          <w:color w:val="auto"/>
        </w:rPr>
      </w:pPr>
    </w:p>
    <w:p>
      <w:pPr>
        <w:ind w:left="492" w:hanging="492"/>
        <w:spacing w:after="0"/>
        <w:tabs>
          <w:tab w:leader="none" w:pos="49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992" w:hanging="506"/>
        <w:spacing w:after="0"/>
        <w:tabs>
          <w:tab w:leader="none" w:pos="992" w:val="left"/>
        </w:tabs>
        <w:numPr>
          <w:ilvl w:val="1"/>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Accounting</w:t>
      </w:r>
    </w:p>
    <w:p>
      <w:pPr>
        <w:spacing w:after="0" w:line="229" w:lineRule="exact"/>
        <w:rPr>
          <w:rFonts w:ascii="Times New Roman" w:cs="Times New Roman" w:eastAsia="Times New Roman" w:hAnsi="Times New Roman"/>
          <w:sz w:val="18"/>
          <w:szCs w:val="18"/>
          <w:b w:val="1"/>
          <w:bCs w:val="1"/>
          <w:i w:val="1"/>
          <w:iCs w:val="1"/>
          <w:color w:val="auto"/>
        </w:rPr>
      </w:pPr>
    </w:p>
    <w:p>
      <w:pPr>
        <w:ind w:left="972"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financial statements of the Plan have been prepared on the accrual basis of accounting in accordance with accounting principles generally accepted in the United States of America (“GAAP”). Benefits are recorded when paid.</w:t>
      </w:r>
    </w:p>
    <w:p>
      <w:pPr>
        <w:spacing w:after="0" w:line="157"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Administrator engaged John Hancock to become the custodian and record-keeper for the Plan. On May 29, 2026, the assets of the Plan were transferred from Empower to John Hancock. There were no other subsequent events to report through June 29, 2026, the date the financial statements were available to be issued.</w:t>
      </w:r>
    </w:p>
    <w:p>
      <w:pPr>
        <w:spacing w:after="0" w:line="171"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Publicly traded securities are carried at fair value based on published market quotations. Shares of registered investment companies are valued at the published net asset value of the underlying assets at year end. Purchases and sales of investments are recorded on a trade date basis. Dividends are recorded on the ex dividend date. Interest income is recorded on the accrual basis.</w:t>
      </w:r>
    </w:p>
    <w:p>
      <w:pPr>
        <w:spacing w:after="0" w:line="175" w:lineRule="exact"/>
        <w:rPr>
          <w:rFonts w:ascii="Times New Roman" w:cs="Times New Roman" w:eastAsia="Times New Roman" w:hAnsi="Times New Roman"/>
          <w:sz w:val="18"/>
          <w:szCs w:val="18"/>
          <w:b w:val="1"/>
          <w:bCs w:val="1"/>
          <w:i w:val="1"/>
          <w:iCs w:val="1"/>
          <w:color w:val="auto"/>
        </w:rPr>
      </w:pPr>
    </w:p>
    <w:p>
      <w:pPr>
        <w:ind w:left="972"/>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Realized gains and losses on investments are based on the fair value of the asset at the beginning of the year or at the time of purchase for assets purchased during the year and the related fair value on the date investments are sold during the year.</w:t>
      </w:r>
    </w:p>
    <w:p>
      <w:pPr>
        <w:spacing w:after="0" w:line="161" w:lineRule="exact"/>
        <w:rPr>
          <w:rFonts w:ascii="Times New Roman" w:cs="Times New Roman" w:eastAsia="Times New Roman" w:hAnsi="Times New Roman"/>
          <w:sz w:val="18"/>
          <w:szCs w:val="18"/>
          <w:b w:val="1"/>
          <w:bCs w:val="1"/>
          <w:i w:val="1"/>
          <w:iCs w:val="1"/>
          <w:color w:val="auto"/>
        </w:rPr>
      </w:pPr>
    </w:p>
    <w:p>
      <w:pPr>
        <w:ind w:left="972"/>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invests in a guaranteed interest contract (“GIC”), which is valued at contract value based on the underlying value of the account’s group annuity contract. In the event that the underlying</w:t>
      </w:r>
    </w:p>
    <w:p>
      <w:pPr>
        <w:spacing w:after="0" w:line="200" w:lineRule="exact"/>
        <w:rPr>
          <w:sz w:val="20"/>
          <w:szCs w:val="20"/>
          <w:color w:val="auto"/>
        </w:rPr>
      </w:pPr>
    </w:p>
    <w:p>
      <w:pPr>
        <w:spacing w:after="0" w:line="28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1" w:name="page12"/>
    <w:bookmarkEnd w:id="11"/>
    <w:p>
      <w:pPr>
        <w:ind w:left="492" w:hanging="492"/>
        <w:spacing w:after="0"/>
        <w:tabs>
          <w:tab w:leader="none" w:pos="49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972" w:hanging="486"/>
        <w:spacing w:after="0"/>
        <w:tabs>
          <w:tab w:leader="none" w:pos="972" w:val="left"/>
        </w:tabs>
        <w:numPr>
          <w:ilvl w:val="1"/>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Investments (continued)</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right="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agreement in the Plan’s investment in fully benefit-responsive investment contract is fully or partially terminated, participants will receive the liquidation value instead of the contract value. The Plan Administrator does not anticipate the full or partial termination of such agreement in the foreseeable future.</w:t>
      </w:r>
    </w:p>
    <w:p>
      <w:pPr>
        <w:spacing w:after="0" w:line="171"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Notes Receivable from Participants</w:t>
      </w:r>
    </w:p>
    <w:p>
      <w:pPr>
        <w:spacing w:after="0" w:line="229" w:lineRule="exact"/>
        <w:rPr>
          <w:rFonts w:ascii="Times New Roman" w:cs="Times New Roman" w:eastAsia="Times New Roman" w:hAnsi="Times New Roman"/>
          <w:sz w:val="18"/>
          <w:szCs w:val="18"/>
          <w:b w:val="1"/>
          <w:bCs w:val="1"/>
          <w:i w:val="1"/>
          <w:iCs w:val="1"/>
          <w:color w:val="auto"/>
        </w:rPr>
      </w:pPr>
    </w:p>
    <w:p>
      <w:pPr>
        <w:ind w:left="972"/>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Notes receivable from participants are measured at their unpaid principal balance plus any accrued but unpaid interest. Delinquent participant loans are recorded as distributions based on the terms of the Plan agreement.</w:t>
      </w:r>
    </w:p>
    <w:p>
      <w:pPr>
        <w:spacing w:after="0" w:line="157"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and the Plan Sponsor share plan expenses. Certain direct investment expenses, such as record keeping fees, brokerage fees, loan, withdrawal or distribution processing fees are deducted from participants’ accounts. During the years ended December 31, 2025, and 2024, $139,916 and $136,850, respectively, in Plan investment and administrative expenses were paid through the use of forfeitures.</w:t>
      </w:r>
    </w:p>
    <w:p>
      <w:pPr>
        <w:spacing w:after="0" w:line="171" w:lineRule="exact"/>
        <w:rPr>
          <w:rFonts w:ascii="Times New Roman" w:cs="Times New Roman" w:eastAsia="Times New Roman" w:hAnsi="Times New Roman"/>
          <w:sz w:val="18"/>
          <w:szCs w:val="18"/>
          <w:b w:val="1"/>
          <w:bCs w:val="1"/>
          <w:i w:val="1"/>
          <w:iCs w:val="1"/>
          <w:color w:val="auto"/>
        </w:rPr>
      </w:pPr>
    </w:p>
    <w:p>
      <w:pPr>
        <w:ind w:left="972" w:hanging="486"/>
        <w:spacing w:after="0"/>
        <w:tabs>
          <w:tab w:leader="none" w:pos="972" w:val="left"/>
        </w:tabs>
        <w:numPr>
          <w:ilvl w:val="1"/>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rFonts w:ascii="Times New Roman" w:cs="Times New Roman" w:eastAsia="Times New Roman" w:hAnsi="Times New Roman"/>
          <w:sz w:val="18"/>
          <w:szCs w:val="18"/>
          <w:b w:val="1"/>
          <w:bCs w:val="1"/>
          <w:i w:val="1"/>
          <w:iCs w:val="1"/>
          <w:color w:val="auto"/>
        </w:rPr>
      </w:pPr>
    </w:p>
    <w:p>
      <w:pPr>
        <w:ind w:left="992"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Plan Administrator has made a number of estimates and assumptions relating to the reporting of assets and liabilities to prepare these financial statements in conformity with GAAP. Accordingly, actual results may differ from those estimates.</w:t>
      </w:r>
    </w:p>
    <w:p>
      <w:pPr>
        <w:spacing w:after="0" w:line="157" w:lineRule="exact"/>
        <w:rPr>
          <w:rFonts w:ascii="Times New Roman" w:cs="Times New Roman" w:eastAsia="Times New Roman" w:hAnsi="Times New Roman"/>
          <w:sz w:val="18"/>
          <w:szCs w:val="18"/>
          <w:b w:val="1"/>
          <w:bCs w:val="1"/>
          <w:i w:val="1"/>
          <w:iCs w:val="1"/>
          <w:color w:val="auto"/>
        </w:rPr>
      </w:pPr>
    </w:p>
    <w:p>
      <w:pPr>
        <w:ind w:left="492" w:hanging="492"/>
        <w:spacing w:after="0"/>
        <w:tabs>
          <w:tab w:leader="none" w:pos="49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jc w:val="both"/>
        <w:ind w:left="4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GAAP, the Plan uses a hierarchy for measuring the fair value of all financial assets and liabilities that are being measured and reported at fair value on a recurring and non-recurring basis. Fair value is measured in levels, which are described in more detail below, and are determined based on the observability and reliability of the assumptions used to determine fair value. Should the inputs used to measure fair value fall into different levels of the fair value hierarchy, the level in the fair value hierarchy within which the fair value measurement in its entirety falls is determined based on the lowest level input that is significant to the fair value measurement in its entirety.</w:t>
      </w:r>
    </w:p>
    <w:p>
      <w:pPr>
        <w:spacing w:after="0" w:line="183" w:lineRule="exact"/>
        <w:rPr>
          <w:rFonts w:ascii="Times New Roman" w:cs="Times New Roman" w:eastAsia="Times New Roman" w:hAnsi="Times New Roman"/>
          <w:sz w:val="18"/>
          <w:szCs w:val="18"/>
          <w:b w:val="1"/>
          <w:bCs w:val="1"/>
          <w:color w:val="auto"/>
        </w:rPr>
      </w:pPr>
    </w:p>
    <w:p>
      <w:pPr>
        <w:ind w:left="49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Valuations for assets and liabilities traded in active exchange markets. Valuations are obtained from readily available pricing sources for market transactions involving identical assets or liabilities.</w:t>
      </w:r>
    </w:p>
    <w:p>
      <w:pPr>
        <w:spacing w:after="0" w:line="161" w:lineRule="exact"/>
        <w:rPr>
          <w:rFonts w:ascii="Times New Roman" w:cs="Times New Roman" w:eastAsia="Times New Roman" w:hAnsi="Times New Roman"/>
          <w:sz w:val="18"/>
          <w:szCs w:val="18"/>
          <w:b w:val="1"/>
          <w:bCs w:val="1"/>
          <w:color w:val="auto"/>
        </w:rPr>
      </w:pPr>
    </w:p>
    <w:p>
      <w:pPr>
        <w:ind w:left="492"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Valuations for assets and liabilities traded in less active dealer or broker markets. Valuations are obtained from third party pricing services for identical or comparable assets or liabilities.</w:t>
      </w:r>
    </w:p>
    <w:p>
      <w:pPr>
        <w:spacing w:after="0" w:line="161" w:lineRule="exact"/>
        <w:rPr>
          <w:rFonts w:ascii="Times New Roman" w:cs="Times New Roman" w:eastAsia="Times New Roman" w:hAnsi="Times New Roman"/>
          <w:sz w:val="18"/>
          <w:szCs w:val="18"/>
          <w:b w:val="1"/>
          <w:bCs w:val="1"/>
          <w:color w:val="auto"/>
        </w:rPr>
      </w:pPr>
    </w:p>
    <w:p>
      <w:pPr>
        <w:jc w:val="both"/>
        <w:ind w:left="49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Valuations for assets and liabilities that are derived from other valuation methodologies, including option pricing models, discounted cash flow models, and similar techniques, and not based on market exchange, dealer or broker traded transactions. These valuations incorporate certain assumptions and projections in determining the fair value assigned to such assets or liabilities.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2" w:name="page13"/>
    <w:bookmarkEnd w:id="12"/>
    <w:p>
      <w:pPr>
        <w:ind w:left="492" w:hanging="492"/>
        <w:spacing w:after="0"/>
        <w:tabs>
          <w:tab w:leader="none" w:pos="49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56" w:lineRule="exact"/>
        <w:rPr>
          <w:sz w:val="20"/>
          <w:szCs w:val="20"/>
          <w:color w:val="auto"/>
        </w:rPr>
      </w:pPr>
    </w:p>
    <w:p>
      <w:pPr>
        <w:ind w:left="432"/>
        <w:spacing w:after="0" w:line="282" w:lineRule="auto"/>
        <w:rPr>
          <w:sz w:val="20"/>
          <w:szCs w:val="20"/>
          <w:color w:val="auto"/>
        </w:rPr>
      </w:pPr>
      <w:r>
        <w:rPr>
          <w:rFonts w:ascii="Times New Roman" w:cs="Times New Roman" w:eastAsia="Times New Roman" w:hAnsi="Times New Roman"/>
          <w:sz w:val="18"/>
          <w:szCs w:val="18"/>
          <w:color w:val="auto"/>
        </w:rPr>
        <w:t>Certain investments in the Plan are measured and reported at fair value on a recurring basis. The following tables show the balances of these investments based on their GAAP designated levels:</w:t>
      </w:r>
    </w:p>
    <w:p>
      <w:pPr>
        <w:sectPr>
          <w:pgSz w:w="11900" w:h="16838" w:orient="portrait"/>
          <w:cols w:equalWidth="0" w:num="1">
            <w:col w:w="11232"/>
          </w:cols>
          <w:pgMar w:left="328"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7"/>
          <w:szCs w:val="17"/>
          <w:color w:val="auto"/>
        </w:rPr>
        <w:t>Registered investment companies</w:t>
      </w:r>
    </w:p>
    <w:p>
      <w:pPr>
        <w:spacing w:after="0" w:line="39"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8"/>
          <w:szCs w:val="18"/>
          <w:color w:val="auto"/>
        </w:rPr>
        <w:t>CPS, Inc. common stock</w:t>
      </w:r>
    </w:p>
    <w:p>
      <w:pPr>
        <w:spacing w:after="0" w:line="9"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8"/>
          <w:szCs w:val="18"/>
          <w:color w:val="auto"/>
        </w:rPr>
        <w:t>Interest bearing cash</w:t>
      </w:r>
    </w:p>
    <w:p>
      <w:pPr>
        <w:spacing w:after="0" w:line="9" w:lineRule="exact"/>
        <w:rPr>
          <w:sz w:val="20"/>
          <w:szCs w:val="20"/>
          <w:color w:val="auto"/>
        </w:rPr>
      </w:pPr>
    </w:p>
    <w:p>
      <w:pPr>
        <w:ind w:left="732"/>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7"/>
          <w:szCs w:val="17"/>
          <w:color w:val="auto"/>
        </w:rPr>
        <w:t>Registered investment companies</w:t>
      </w:r>
    </w:p>
    <w:p>
      <w:pPr>
        <w:spacing w:after="0" w:line="39"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8"/>
          <w:szCs w:val="18"/>
          <w:color w:val="auto"/>
        </w:rPr>
        <w:t>CPS, Inc. common stock</w:t>
      </w:r>
    </w:p>
    <w:p>
      <w:pPr>
        <w:spacing w:after="0" w:line="9" w:lineRule="exact"/>
        <w:rPr>
          <w:sz w:val="20"/>
          <w:szCs w:val="20"/>
          <w:color w:val="auto"/>
        </w:rPr>
      </w:pPr>
    </w:p>
    <w:p>
      <w:pPr>
        <w:ind w:left="552"/>
        <w:spacing w:after="0"/>
        <w:rPr>
          <w:sz w:val="20"/>
          <w:szCs w:val="20"/>
          <w:color w:val="auto"/>
        </w:rPr>
      </w:pPr>
      <w:r>
        <w:rPr>
          <w:rFonts w:ascii="Times New Roman" w:cs="Times New Roman" w:eastAsia="Times New Roman" w:hAnsi="Times New Roman"/>
          <w:sz w:val="18"/>
          <w:szCs w:val="18"/>
          <w:color w:val="auto"/>
        </w:rPr>
        <w:t>Interest bearing cash</w:t>
      </w:r>
    </w:p>
    <w:p>
      <w:pPr>
        <w:spacing w:after="0" w:line="9" w:lineRule="exact"/>
        <w:rPr>
          <w:sz w:val="20"/>
          <w:szCs w:val="20"/>
          <w:color w:val="auto"/>
        </w:rPr>
      </w:pPr>
    </w:p>
    <w:p>
      <w:pPr>
        <w:ind w:left="732"/>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Borders>
              <w:top w:val="single" w:sz="8" w:color="auto"/>
              <w:bottom w:val="single" w:sz="8" w:color="auto"/>
            </w:tcBorders>
          </w:tcPr>
          <w:p>
            <w:pPr>
              <w:spacing w:after="0"/>
              <w:rPr>
                <w:sz w:val="19"/>
                <w:szCs w:val="19"/>
                <w:color w:val="auto"/>
              </w:rPr>
            </w:pPr>
          </w:p>
        </w:tc>
      </w:tr>
      <w:tr>
        <w:trPr>
          <w:trHeight w:val="407"/>
        </w:trPr>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64,927,399</w:t>
            </w:r>
          </w:p>
        </w:tc>
        <w:tc>
          <w:tcPr>
            <w:tcW w:w="5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64,927,399</w:t>
            </w:r>
          </w:p>
        </w:tc>
        <w:tc>
          <w:tcPr>
            <w:tcW w:w="5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70,978,051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70,978,051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-744855</wp:posOffset>
            </wp:positionV>
            <wp:extent cx="641223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-462280</wp:posOffset>
            </wp:positionV>
            <wp:extent cx="641223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-179070</wp:posOffset>
            </wp:positionV>
            <wp:extent cx="641223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8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07"/>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57,428,946</w:t>
            </w: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57,428,946</w:t>
            </w: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5,781,242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5,781,242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140,318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63,350,506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63,350,506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-745490</wp:posOffset>
            </wp:positionV>
            <wp:extent cx="641223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-462280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-179705</wp:posOffset>
            </wp:positionV>
            <wp:extent cx="641223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792" w:space="720"/>
            <w:col w:w="6720"/>
          </w:cols>
          <w:pgMar w:left="328" w:top="792" w:right="339" w:bottom="1440" w:gutter="0" w:footer="0" w:header="0"/>
          <w:type w:val="continuous"/>
        </w:sectPr>
      </w:pPr>
    </w:p>
    <w:p>
      <w:pPr>
        <w:ind w:left="492"/>
        <w:spacing w:after="0"/>
        <w:rPr>
          <w:sz w:val="20"/>
          <w:szCs w:val="20"/>
          <w:color w:val="auto"/>
        </w:rPr>
      </w:pPr>
      <w:r>
        <w:rPr>
          <w:rFonts w:ascii="Times New Roman" w:cs="Times New Roman" w:eastAsia="Times New Roman" w:hAnsi="Times New Roman"/>
          <w:sz w:val="18"/>
          <w:szCs w:val="18"/>
          <w:color w:val="auto"/>
        </w:rPr>
        <w:t>Registered investment companies were valued at their daily closing price.</w:t>
      </w:r>
    </w:p>
    <w:p>
      <w:pPr>
        <w:spacing w:after="0" w:line="225" w:lineRule="exact"/>
        <w:rPr>
          <w:sz w:val="20"/>
          <w:szCs w:val="20"/>
          <w:color w:val="auto"/>
        </w:rPr>
      </w:pPr>
    </w:p>
    <w:p>
      <w:pPr>
        <w:jc w:val="both"/>
        <w:ind w:left="492"/>
        <w:spacing w:after="0" w:line="255" w:lineRule="auto"/>
        <w:rPr>
          <w:sz w:val="20"/>
          <w:szCs w:val="20"/>
          <w:color w:val="auto"/>
        </w:rPr>
      </w:pPr>
      <w:r>
        <w:rPr>
          <w:rFonts w:ascii="Times New Roman" w:cs="Times New Roman" w:eastAsia="Times New Roman" w:hAnsi="Times New Roman"/>
          <w:sz w:val="18"/>
          <w:szCs w:val="18"/>
          <w:color w:val="auto"/>
        </w:rPr>
        <w:t>The Plan is a party to a fully benefit-responsive guaranteed interest contract with Empower. The account is credited with earnings on the underlying investments and charged for participant withdrawals and administrative expenses. The guaranteed interest contract issuer is contractually obligated to repay the principal and a specified interest rate that is guaranteed to the Plan. Because the guaranteed investment contract is fully benefit-responsive, contract value is the relevant measurement for that portion of the net assets available for plan benefits attributable to the guaranteed investment contract. The guaranteed interest contract is presented on the face of the statements of net assets available for benefits at contract value. Contract value, as reported to the Plan by Empower, represents contributions made under the contract, plus earnings, less participant withdrawals and administrative expenses. Participants may ordinarily direct the withdrawal or transfer of all or a portion of their investment at contract value.</w:t>
      </w:r>
    </w:p>
    <w:p>
      <w:pPr>
        <w:spacing w:after="0" w:line="185" w:lineRule="exact"/>
        <w:rPr>
          <w:sz w:val="20"/>
          <w:szCs w:val="20"/>
          <w:color w:val="auto"/>
        </w:rPr>
      </w:pPr>
    </w:p>
    <w:p>
      <w:pPr>
        <w:ind w:left="492" w:hanging="492"/>
        <w:spacing w:after="0"/>
        <w:tabs>
          <w:tab w:leader="none" w:pos="49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rFonts w:ascii="Times New Roman" w:cs="Times New Roman" w:eastAsia="Times New Roman" w:hAnsi="Times New Roman"/>
          <w:sz w:val="18"/>
          <w:szCs w:val="18"/>
          <w:b w:val="1"/>
          <w:bCs w:val="1"/>
          <w:color w:val="auto"/>
        </w:rPr>
      </w:pPr>
    </w:p>
    <w:p>
      <w:pPr>
        <w:jc w:val="both"/>
        <w:ind w:left="49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provides for various investment options in money market funds, registered investment companies, guaranteed interest contract and the common stock of CPS, Inc. Investment securities are exposed to various risks such as interest rate, market, and credit risks. Due to the level of uncertainty related to changes in the value of investment securities, it is at least reasonably possible that changes in the various risk factors could materially affect participants’ account balances and the amounts reported in the financial statements. The global economy, including the financial and credit markets, has recently experienced extreme volatility and disruptions, including increases to inflation rates, rising interest rates, declines in consumer confidence, declines in economic growth, and uncertainty about economic stability. The severity and duration of the impact of these conditions on the Plan cannot be predicted.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type w:val="continuous"/>
        </w:sectPr>
      </w:pPr>
    </w:p>
    <w:bookmarkStart w:id="13" w:name="page14"/>
    <w:bookmarkEnd w:id="13"/>
    <w:p>
      <w:pPr>
        <w:ind w:left="492" w:hanging="492"/>
        <w:spacing w:after="0"/>
        <w:tabs>
          <w:tab w:leader="none" w:pos="4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29" w:lineRule="exact"/>
        <w:rPr>
          <w:rFonts w:ascii="Times New Roman" w:cs="Times New Roman" w:eastAsia="Times New Roman" w:hAnsi="Times New Roman"/>
          <w:sz w:val="18"/>
          <w:szCs w:val="18"/>
          <w:b w:val="1"/>
          <w:bCs w:val="1"/>
          <w:color w:val="auto"/>
        </w:rPr>
      </w:pPr>
    </w:p>
    <w:p>
      <w:pPr>
        <w:jc w:val="both"/>
        <w:ind w:left="49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Internal Revenue Service (“IRS”) has determined and informed the Plan Sponsor by a letter dated February 7, 1996, that the Plan and related trust are designed in accordance with applicable sections of the IRC and is, therefore, exempt from Federal income taxes. As described in Note 1, the Plan has been amended since receiving the determination letter, including the adoption of the Empower Retirement Company Flexinvest® Prototype Non-Standardized 401(k) Profit Sharing Plan. The IRS has determined and notified Empower Retirement Company by a letter dated November 14, 2022, that the form of the prototype plan is acceptable under section 401 of the IRC for use by employers for the benefit of their employees. The Plan Administrator believes that the Plan is designed and is currently being operated in compliance with the applicable requirements of the IRC. Accordingly, no provision for income taxes is included in the accompanying financial statements.</w:t>
      </w:r>
    </w:p>
    <w:p>
      <w:pPr>
        <w:spacing w:after="0" w:line="188" w:lineRule="exact"/>
        <w:rPr>
          <w:rFonts w:ascii="Times New Roman" w:cs="Times New Roman" w:eastAsia="Times New Roman" w:hAnsi="Times New Roman"/>
          <w:sz w:val="18"/>
          <w:szCs w:val="18"/>
          <w:b w:val="1"/>
          <w:bCs w:val="1"/>
          <w:color w:val="auto"/>
        </w:rPr>
      </w:pPr>
    </w:p>
    <w:p>
      <w:pPr>
        <w:jc w:val="both"/>
        <w:ind w:left="49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2025, and 2024, there are no uncertain positions taken or expected to be taken. The Plan has recognized no interest or penalties related to uncertain tax positions and is subject to routine audits by taxing jurisdictions.</w:t>
      </w:r>
    </w:p>
    <w:p>
      <w:pPr>
        <w:spacing w:after="0" w:line="179" w:lineRule="exact"/>
        <w:rPr>
          <w:rFonts w:ascii="Times New Roman" w:cs="Times New Roman" w:eastAsia="Times New Roman" w:hAnsi="Times New Roman"/>
          <w:sz w:val="18"/>
          <w:szCs w:val="18"/>
          <w:b w:val="1"/>
          <w:bCs w:val="1"/>
          <w:color w:val="auto"/>
        </w:rPr>
      </w:pPr>
    </w:p>
    <w:p>
      <w:pPr>
        <w:ind w:left="492" w:hanging="492"/>
        <w:spacing w:after="0"/>
        <w:tabs>
          <w:tab w:leader="none" w:pos="4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Party-in-interest</w:t>
      </w:r>
    </w:p>
    <w:p>
      <w:pPr>
        <w:spacing w:after="0" w:line="229" w:lineRule="exact"/>
        <w:rPr>
          <w:rFonts w:ascii="Times New Roman" w:cs="Times New Roman" w:eastAsia="Times New Roman" w:hAnsi="Times New Roman"/>
          <w:sz w:val="18"/>
          <w:szCs w:val="18"/>
          <w:b w:val="1"/>
          <w:bCs w:val="1"/>
          <w:color w:val="auto"/>
        </w:rPr>
      </w:pPr>
    </w:p>
    <w:p>
      <w:pPr>
        <w:jc w:val="both"/>
        <w:ind w:left="49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Parties-in-interest are defined under the Department of Labor regulations as any fiduciary of the Plan, any party rendering service to the Plan, an employer whose employees are covered by the Plan, and certain others. Certain Plan investments are managed by Empower. Empower is the custodian of these assets and provides record keeping services to the Plan; therefore, these transactions qualify as permitted party-in-interest transactions. The Plan Sponsor offers its common stock as an investment option and performs administrative functions to the Plan at no cost. These are also considered permitted party-in-interest transactions. Notes receivable from participants held by the Plan also reflect allowable party-in-interest transactions.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4" w:name="page15"/>
    <w:bookmarkEnd w:id="14"/>
    <w:p>
      <w:pPr>
        <w:jc w:val="center"/>
        <w:ind w:left="340" w:right="2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PORTFOLIO SERVICES, INC. 401(K) PLAN </w:t>
      </w:r>
      <w:r>
        <w:rPr>
          <w:rFonts w:ascii="Times New Roman" w:cs="Times New Roman" w:eastAsia="Times New Roman" w:hAnsi="Times New Roman"/>
          <w:sz w:val="18"/>
          <w:szCs w:val="18"/>
          <w:color w:val="auto"/>
        </w:rPr>
        <w:t>Schedule H, Line 4i – Schedule of Assets (Held at End of Year) – December 31, 2025 Plan # 001 – EIN # 33-0459135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Identity of issuer, borrower,</w:t>
            </w: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Description of investment including maturity date, rate of</w:t>
            </w:r>
          </w:p>
        </w:tc>
        <w:tc>
          <w:tcPr>
            <w:tcW w:w="380" w:type="dxa"/>
            <w:vAlign w:val="bottom"/>
          </w:tcPr>
          <w:p>
            <w:pPr>
              <w:spacing w:after="0"/>
              <w:rPr>
                <w:sz w:val="18"/>
                <w:szCs w:val="18"/>
                <w:color w:val="auto"/>
              </w:rPr>
            </w:pPr>
          </w:p>
        </w:tc>
        <w:tc>
          <w:tcPr>
            <w:tcW w:w="15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value</w:t>
            </w:r>
          </w:p>
        </w:tc>
      </w:tr>
      <w:tr>
        <w:trPr>
          <w:trHeight w:val="234"/>
        </w:trPr>
        <w:tc>
          <w:tcPr>
            <w:tcW w:w="460" w:type="dxa"/>
            <w:vAlign w:val="bottom"/>
          </w:tcPr>
          <w:p>
            <w:pPr>
              <w:spacing w:after="0"/>
              <w:rPr>
                <w:sz w:val="20"/>
                <w:szCs w:val="20"/>
                <w:color w:val="auto"/>
              </w:rPr>
            </w:pPr>
          </w:p>
        </w:tc>
        <w:tc>
          <w:tcPr>
            <w:tcW w:w="2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lessor or similar party</w:t>
            </w:r>
          </w:p>
        </w:tc>
        <w:tc>
          <w:tcPr>
            <w:tcW w:w="46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interest, collateral, par or maturity date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0" w:type="dxa"/>
            <w:vAlign w:val="bottom"/>
            <w:tcBorders>
              <w:top w:val="single" w:sz="8" w:color="EEEEEE"/>
            </w:tcBorders>
            <w:shd w:val="clear" w:color="auto" w:fill="EEEEEE"/>
          </w:tcPr>
          <w:p>
            <w:pPr>
              <w:spacing w:after="0"/>
              <w:rPr>
                <w:sz w:val="18"/>
                <w:szCs w:val="18"/>
                <w:color w:val="auto"/>
              </w:rPr>
            </w:pPr>
          </w:p>
        </w:tc>
        <w:tc>
          <w:tcPr>
            <w:tcW w:w="23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Vanguard</w:t>
            </w:r>
          </w:p>
        </w:tc>
        <w:tc>
          <w:tcPr>
            <w:tcW w:w="240" w:type="dxa"/>
            <w:vAlign w:val="bottom"/>
            <w:tcBorders>
              <w:top w:val="single" w:sz="8" w:color="EEEEEE"/>
            </w:tcBorders>
            <w:shd w:val="clear" w:color="auto" w:fill="EEEEEE"/>
          </w:tcPr>
          <w:p>
            <w:pPr>
              <w:spacing w:after="0"/>
              <w:rPr>
                <w:sz w:val="18"/>
                <w:szCs w:val="18"/>
                <w:color w:val="auto"/>
              </w:rPr>
            </w:pPr>
          </w:p>
        </w:tc>
        <w:tc>
          <w:tcPr>
            <w:tcW w:w="43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1VFIAX Vanguard 500 Index Admiral</w:t>
            </w:r>
          </w:p>
        </w:tc>
        <w:tc>
          <w:tcPr>
            <w:tcW w:w="2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8,237,763</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13,506,865</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1VIGAX Vanguard Growth Index Adm</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6,327,597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8,292,415</w:t>
            </w:r>
          </w:p>
        </w:tc>
      </w:tr>
      <w:tr>
        <w:trPr>
          <w:trHeight w:val="198"/>
        </w:trPr>
        <w:tc>
          <w:tcPr>
            <w:tcW w:w="460" w:type="dxa"/>
            <w:vAlign w:val="bottom"/>
            <w:shd w:val="clear" w:color="auto" w:fill="EEEEEE"/>
          </w:tcPr>
          <w:p>
            <w:pPr>
              <w:spacing w:after="0"/>
              <w:rPr>
                <w:sz w:val="17"/>
                <w:szCs w:val="17"/>
                <w:color w:val="auto"/>
              </w:rPr>
            </w:pPr>
          </w:p>
        </w:tc>
        <w:tc>
          <w:tcPr>
            <w:tcW w:w="260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 Consumer Portfolio Services,</w:t>
            </w:r>
          </w:p>
        </w:tc>
        <w:tc>
          <w:tcPr>
            <w:tcW w:w="43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460" w:type="dxa"/>
            <w:vAlign w:val="bottom"/>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Inc.</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1CPSSTK Consumer Portfolio Services, Inc.Common Stock</w:t>
            </w:r>
          </w:p>
        </w:tc>
        <w:tc>
          <w:tcPr>
            <w:tcW w:w="3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4,168,852</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5,815,293</w:t>
            </w:r>
          </w:p>
        </w:tc>
      </w:tr>
      <w:tr>
        <w:trPr>
          <w:trHeight w:val="21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 Guaranteeed Interest Account</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1MGDYB3 Guaranteed Interest Account</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4,547,462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4,993,443</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1RLBGX American Funds American Balanced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3,554,918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4,296,526</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1RFUTX American Funds 2060 Trgt Date Retire R6</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2,995,883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3,653,320</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1RFGTX American Funds 2040 Trgt Date Retire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2,567,686</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3,165,890</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1RFKTX American Funds 2055 Trgt Date Retire R6</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2,500,894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3,127,494</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1RFITX American Funds 2050 Trgt Date Retire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2,116,378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2,653,440</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1VBIAX Vanguard Balanced Index Adm</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2,135,929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2,587,680</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1RFFTX American Funds 2035 Trgt Date Retire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2,036,235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2,405,971</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1RFHTX American Funds 2045 Trgt Date Retire R6</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1,849,552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2,233,867</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Dodge &amp; Cox</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1DODGX Dodge &amp; Cox Stock - I</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1,879,887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2,136,094</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1RFETX American Funds 2030 Trgt Date Retire R6</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1,395,622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1,605,951</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1RLLGX American Funds SMALLCAP World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1,202,347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1,542,555</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1VIMAX Vanguard Mid Cap Index Fund - Admiral</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1,068,399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1,429,539</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1RFDTX American Funds 2025 Trgt Date Retire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1,248,990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1,317,287</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1VSMGX Vanguard LifeStrategy Moderate Growth</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1,102,691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1,306,466</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1VASGX Vanguard LifeStrategy Growth Inv</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984,340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1,305,150</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Dimensional Fund Advisors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1DGEIX DFA Global Equity I</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897,489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1,250,917</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1RBFGX American Funds Bond Fund of Amer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1,057,475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1,080,172</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1VTMGX Vanguard Developed Markets Index Admiral</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1,074,788</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1VIPIX Vanguard Inflation-Protected Secs I</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986,448</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966,626</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1VSMAX Vanguard Small Cap Index Adm</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595,869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776,445</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1RRCTX American Funds 2020 Trgt Date Retire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695,724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749,928</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MassMutual</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1MSCDX MassMutual Small Cap Opportunities R5</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679,130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725,706</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1VSCGX Vanguard LifeStrategy Cnsrv Gr Inv</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583,247</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643,799</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1BRHYX BlackRock High Yield Bond Portfolio K</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529,915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562,137</w:t>
            </w:r>
          </w:p>
        </w:tc>
      </w:tr>
      <w:tr>
        <w:trPr>
          <w:trHeight w:val="198"/>
        </w:trPr>
        <w:tc>
          <w:tcPr>
            <w:tcW w:w="460" w:type="dxa"/>
            <w:vAlign w:val="bottom"/>
            <w:shd w:val="clear" w:color="auto" w:fill="EEEEEE"/>
          </w:tcPr>
          <w:p>
            <w:pPr>
              <w:spacing w:after="0"/>
              <w:rPr>
                <w:sz w:val="17"/>
                <w:szCs w:val="17"/>
                <w:color w:val="auto"/>
              </w:rPr>
            </w:pPr>
          </w:p>
        </w:tc>
        <w:tc>
          <w:tcPr>
            <w:tcW w:w="23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62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1VMGMX VANGUARD MID-CAP GROWTH INDEX</w:t>
            </w:r>
          </w:p>
        </w:tc>
        <w:tc>
          <w:tcPr>
            <w:tcW w:w="3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460" w:type="dxa"/>
            <w:vAlign w:val="bottom"/>
            <w:shd w:val="clear" w:color="auto" w:fill="EEEEEE"/>
          </w:tcPr>
          <w:p>
            <w:pPr>
              <w:spacing w:after="0"/>
              <w:rPr>
                <w:sz w:val="20"/>
                <w:szCs w:val="20"/>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Vanguard</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ADMIRAL</w:t>
            </w:r>
          </w:p>
        </w:tc>
        <w:tc>
          <w:tcPr>
            <w:tcW w:w="3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446,486</w:t>
            </w: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427,399</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Cohen &amp; Steers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1CSRIX Cohen &amp; Steers Instl Realty Shares</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27,081</w:t>
            </w:r>
          </w:p>
        </w:tc>
      </w:tr>
      <w:tr>
        <w:trPr>
          <w:trHeight w:val="216"/>
        </w:trPr>
        <w:tc>
          <w:tcPr>
            <w:tcW w:w="460" w:type="dxa"/>
            <w:vAlign w:val="bottom"/>
            <w:shd w:val="clear" w:color="auto" w:fill="EEEEEE"/>
          </w:tcPr>
          <w:p>
            <w:pPr>
              <w:spacing w:after="0"/>
              <w:rPr>
                <w:sz w:val="18"/>
                <w:szCs w:val="18"/>
                <w:color w:val="auto"/>
              </w:rPr>
            </w:pPr>
          </w:p>
        </w:tc>
        <w:tc>
          <w:tcPr>
            <w:tcW w:w="26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1RFJTX American Funds 2015 Trgt Date Retire R6</w:t>
            </w: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13,921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14,877</w:t>
            </w:r>
          </w:p>
        </w:tc>
      </w:tr>
      <w:tr>
        <w:trPr>
          <w:trHeight w:val="216"/>
        </w:trPr>
        <w:tc>
          <w:tcPr>
            <w:tcW w:w="4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Funds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1RFTTX American Funds 2010 Trgt Date Retire R6</w:t>
            </w:r>
          </w:p>
        </w:tc>
        <w:tc>
          <w:tcPr>
            <w:tcW w:w="3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14,393</w:t>
            </w:r>
          </w:p>
        </w:tc>
      </w:tr>
      <w:tr>
        <w:trPr>
          <w:trHeight w:val="230"/>
        </w:trPr>
        <w:tc>
          <w:tcPr>
            <w:tcW w:w="3060" w:type="dxa"/>
            <w:vAlign w:val="bottom"/>
            <w:gridSpan w:val="3"/>
            <w:shd w:val="clear" w:color="auto" w:fill="EEEEEE"/>
          </w:tcPr>
          <w:p>
            <w:pPr>
              <w:ind w:left="80"/>
              <w:spacing w:after="0"/>
              <w:rPr>
                <w:sz w:val="20"/>
                <w:szCs w:val="20"/>
                <w:color w:val="auto"/>
              </w:rPr>
            </w:pPr>
            <w:r>
              <w:rPr>
                <w:rFonts w:ascii="Times New Roman" w:cs="Times New Roman" w:eastAsia="Times New Roman" w:hAnsi="Times New Roman"/>
                <w:sz w:val="18"/>
                <w:szCs w:val="18"/>
                <w:color w:val="auto"/>
              </w:rPr>
              <w:t>*   * Interest Bearing Cash</w:t>
            </w:r>
          </w:p>
        </w:tc>
        <w:tc>
          <w:tcPr>
            <w:tcW w:w="46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Bearing Cash</w:t>
            </w:r>
          </w:p>
        </w:tc>
        <w:tc>
          <w:tcPr>
            <w:tcW w:w="3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235,359</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235,359</w:t>
            </w:r>
          </w:p>
        </w:tc>
      </w:tr>
      <w:tr>
        <w:trPr>
          <w:trHeight w:val="210"/>
        </w:trPr>
        <w:tc>
          <w:tcPr>
            <w:tcW w:w="4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shd w:val="clear" w:color="auto" w:fill="EEEEEE"/>
          </w:tcPr>
          <w:p>
            <w:pPr>
              <w:spacing w:after="0"/>
              <w:rPr>
                <w:sz w:val="18"/>
                <w:szCs w:val="18"/>
                <w:color w:val="auto"/>
              </w:rPr>
            </w:pPr>
          </w:p>
        </w:tc>
        <w:tc>
          <w:tcPr>
            <w:tcW w:w="2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59,460,993</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75,924,874</w:t>
            </w:r>
          </w:p>
        </w:tc>
      </w:tr>
      <w:tr>
        <w:trPr>
          <w:trHeight w:val="198"/>
        </w:trPr>
        <w:tc>
          <w:tcPr>
            <w:tcW w:w="460" w:type="dxa"/>
            <w:vAlign w:val="bottom"/>
          </w:tcPr>
          <w:p>
            <w:pPr>
              <w:spacing w:after="0"/>
              <w:rPr>
                <w:sz w:val="17"/>
                <w:szCs w:val="17"/>
                <w:color w:val="auto"/>
              </w:rPr>
            </w:pPr>
          </w:p>
        </w:tc>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Notes receivable from</w:t>
            </w:r>
          </w:p>
        </w:tc>
        <w:tc>
          <w:tcPr>
            <w:tcW w:w="4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participants</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4.25%- 9.50% maturing between Jan. 2026 and Nov. 2032</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2,782,944</w:t>
            </w:r>
          </w:p>
        </w:tc>
      </w:tr>
      <w:tr>
        <w:trPr>
          <w:trHeight w:val="223"/>
        </w:trPr>
        <w:tc>
          <w:tcPr>
            <w:tcW w:w="460" w:type="dxa"/>
            <w:vAlign w:val="bottom"/>
            <w:tcBorders>
              <w:top w:val="single" w:sz="8" w:color="EEEEEE"/>
              <w:bottom w:val="single" w:sz="8" w:color="EEEEEE"/>
            </w:tcBorders>
            <w:shd w:val="clear" w:color="auto" w:fill="EEEEEE"/>
          </w:tcPr>
          <w:p>
            <w:pPr>
              <w:spacing w:after="0"/>
              <w:rPr>
                <w:sz w:val="19"/>
                <w:szCs w:val="19"/>
                <w:color w:val="auto"/>
              </w:rPr>
            </w:pPr>
          </w:p>
        </w:tc>
        <w:tc>
          <w:tcPr>
            <w:tcW w:w="260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3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59,460,993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78,707,818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investment with party-in-interest.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(No. 333-58199) of Consumer Portfolio Services, Inc. of our report dated June 29, 2026, with respect to the statements of net assets available for benefits of Consumer Portfolio Services, Inc. 401(k) Plan as of December 31, 2025 and 2024, the related statements of changes in net assets available for benefits for the years then ended, the related notes and the supplemental schedule, Schedule H, Line 4i – Schedule of Assets (Held at End of Year) as of December 31, 2025, which report appears in the December 31, 2025 annual report on Form 11-K of the Consumer Portfolio Services, Inc. 401(k) Plan.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HASKELL &amp; WHITE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lowerLetter"/>
      <w:start w:val="3"/>
    </w:lvl>
  </w:abstractNum>
  <w:abstractNum w:abstractNumId="4">
    <w:nsid w:val="79E2A9E3"/>
    <w:multiLevelType w:val="hybridMultilevel"/>
    <w:lvl w:ilvl="0">
      <w:lvlJc w:val="left"/>
      <w:lvlText w:val="(%1)"/>
      <w:numFmt w:val="decimal"/>
      <w:start w:val="1"/>
    </w:lvl>
    <w:lvl w:ilvl="1">
      <w:lvlJc w:val="left"/>
      <w:lvlText w:val="(%2)"/>
      <w:numFmt w:val="lowerLetter"/>
      <w:start w:val="8"/>
    </w:lvl>
  </w:abstractNum>
  <w:abstractNum w:abstractNumId="5">
    <w:nsid w:val="7545E146"/>
    <w:multiLevelType w:val="hybridMultilevel"/>
    <w:lvl w:ilvl="0">
      <w:lvlJc w:val="left"/>
      <w:lvlText w:val="%1"/>
      <w:numFmt w:val="decimal"/>
      <w:start w:val="1"/>
    </w:lvl>
    <w:lvl w:ilvl="1">
      <w:lvlJc w:val="left"/>
      <w:lvlText w:val="(%2)"/>
      <w:numFmt w:val="lowerLetter"/>
      <w:start w:val="1"/>
    </w:lvl>
  </w:abstractNum>
  <w:abstractNum w:abstractNumId="6">
    <w:nsid w:val="515F007C"/>
    <w:multiLevelType w:val="hybridMultilevel"/>
    <w:lvl w:ilvl="0">
      <w:lvlJc w:val="left"/>
      <w:lvlText w:val="(%1)"/>
      <w:numFmt w:val="decimal"/>
      <w:start w:val="2"/>
    </w:lvl>
    <w:lvl w:ilvl="1">
      <w:lvlJc w:val="left"/>
      <w:lvlText w:val="(%2)"/>
      <w:numFmt w:val="lowerLetter"/>
      <w:start w:val="3"/>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2026-06-29T15:08:03Z</dcterms:created>
  <dcterms:modified xsi:type="dcterms:W3CDTF">2026-06-29T15:08:03Z</dcterms:modified>
</cp:coreProperties>
</file>