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57" w:lineRule="exact"/>
        <w:rPr>
          <w:sz w:val="24"/>
          <w:szCs w:val="24"/>
          <w:color w:val="auto"/>
        </w:rPr>
      </w:pPr>
    </w:p>
    <w:p>
      <w:pPr>
        <w:ind w:left="3820" w:right="1520" w:hanging="3812"/>
        <w:spacing w:after="0" w:line="503" w:lineRule="auto"/>
        <w:tabs>
          <w:tab w:leader="none" w:pos="58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220" w:right="1500" w:hanging="2212"/>
        <w:spacing w:after="0" w:line="530" w:lineRule="auto"/>
        <w:tabs>
          <w:tab w:leader="none" w:pos="582"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 to 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1-11416</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7"/>
              </w:rPr>
              <w:t>California</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1"/>
              </w:rPr>
              <w:t>3800 Howard Hughes Parkway, Suite 1400,</w:t>
            </w:r>
          </w:p>
        </w:tc>
        <w:tc>
          <w:tcPr>
            <w:tcW w:w="358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58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29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1"/>
              </w:rPr>
              <w:t>Trading Symbol(s)</w:t>
            </w:r>
          </w:p>
        </w:tc>
        <w:tc>
          <w:tcPr>
            <w:tcW w:w="43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40" w:type="dxa"/>
            <w:vAlign w:val="bottom"/>
          </w:tcPr>
          <w:p>
            <w:pPr>
              <w:jc w:val="center"/>
              <w:ind w:right="110"/>
              <w:spacing w:after="0"/>
              <w:rPr>
                <w:sz w:val="20"/>
                <w:szCs w:val="20"/>
                <w:color w:val="auto"/>
              </w:rPr>
            </w:pPr>
            <w:r>
              <w:rPr>
                <w:rFonts w:ascii="Arial" w:cs="Arial" w:eastAsia="Arial" w:hAnsi="Arial"/>
                <w:sz w:val="18"/>
                <w:szCs w:val="18"/>
                <w:color w:val="auto"/>
                <w:w w:val="90"/>
              </w:rPr>
              <w:t>Common Stock, no par value</w:t>
            </w:r>
          </w:p>
        </w:tc>
        <w:tc>
          <w:tcPr>
            <w:tcW w:w="2980" w:type="dxa"/>
            <w:vAlign w:val="bottom"/>
          </w:tcPr>
          <w:p>
            <w:pPr>
              <w:jc w:val="center"/>
              <w:ind w:left="310"/>
              <w:spacing w:after="0"/>
              <w:rPr>
                <w:sz w:val="20"/>
                <w:szCs w:val="20"/>
                <w:color w:val="auto"/>
              </w:rPr>
            </w:pPr>
            <w:r>
              <w:rPr>
                <w:rFonts w:ascii="Arial" w:cs="Arial" w:eastAsia="Arial" w:hAnsi="Arial"/>
                <w:sz w:val="18"/>
                <w:szCs w:val="18"/>
                <w:color w:val="auto"/>
                <w:w w:val="85"/>
              </w:rPr>
              <w:t>CPSS</w:t>
            </w:r>
          </w:p>
        </w:tc>
        <w:tc>
          <w:tcPr>
            <w:tcW w:w="4320" w:type="dxa"/>
            <w:vAlign w:val="bottom"/>
          </w:tcPr>
          <w:p>
            <w:pPr>
              <w:jc w:val="center"/>
              <w:ind w:left="530"/>
              <w:spacing w:after="0"/>
              <w:rPr>
                <w:sz w:val="20"/>
                <w:szCs w:val="20"/>
                <w:color w:val="auto"/>
              </w:rPr>
            </w:pPr>
            <w:r>
              <w:rPr>
                <w:rFonts w:ascii="Arial" w:cs="Arial" w:eastAsia="Arial" w:hAnsi="Arial"/>
                <w:sz w:val="18"/>
                <w:szCs w:val="18"/>
                <w:color w:val="auto"/>
                <w:w w:val="95"/>
              </w:rPr>
              <w:t>The NASDAQ Stock Market LLC (Global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33"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3, 2021 the registrant had 22,668,520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gridSpan w:val="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2"/>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2"/>
          </w:tcPr>
          <w:p>
            <w:pPr>
              <w:ind w:left="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4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2021 and December 31,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three-month periods ended March 31, 2021 and 2020</w:t>
              </w:r>
            </w:hyperlink>
          </w:p>
        </w:tc>
        <w:tc>
          <w:tcPr>
            <w:tcW w:w="50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3"/>
          </w:tcPr>
          <w:p>
            <w:pPr>
              <w:ind w:left="20"/>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Income for the three-month periods ended March 31, 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2020</w:t>
              </w:r>
            </w:hyperlink>
          </w:p>
        </w:tc>
        <w:tc>
          <w:tcPr>
            <w:tcW w:w="8380" w:type="dxa"/>
            <w:vAlign w:val="bottom"/>
            <w:tcBorders>
              <w:top w:val="single" w:sz="8" w:color="0000EE"/>
            </w:tcBorders>
            <w:gridSpan w:val="11"/>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3"/>
          </w:tcPr>
          <w:p>
            <w:pPr>
              <w:ind w:left="20"/>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Cash Flows for the three-month periods ended March 31, 2021 and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0"/>
          </w:tcPr>
          <w:p>
            <w:pPr>
              <w:ind w:left="20"/>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Shareholders’ Equity for the three-month periods ended March 31, 2021</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bottom w:val="single" w:sz="8" w:color="0000EE"/>
            </w:tcBorders>
          </w:tcPr>
          <w:p>
            <w:pPr>
              <w:ind w:left="20"/>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and 2020</w:t>
              </w:r>
            </w:hyperlink>
          </w:p>
        </w:tc>
        <w:tc>
          <w:tcPr>
            <w:tcW w:w="8680" w:type="dxa"/>
            <w:vAlign w:val="bottom"/>
            <w:gridSpan w:val="1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60" w:type="dxa"/>
            <w:vAlign w:val="bottom"/>
            <w:gridSpan w:val="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3"/>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Controls and Procedures</w:t>
              </w:r>
            </w:hyperlink>
          </w:p>
        </w:tc>
        <w:tc>
          <w:tcPr>
            <w:tcW w:w="4680" w:type="dxa"/>
            <w:vAlign w:val="bottom"/>
            <w:tcBorders>
              <w:top w:val="single" w:sz="8" w:color="0000EE"/>
            </w:tcBorders>
            <w:gridSpan w:val="4"/>
          </w:tcPr>
          <w:p>
            <w:pPr>
              <w:spacing w:after="0"/>
              <w:rPr>
                <w:sz w:val="17"/>
                <w:szCs w:val="17"/>
                <w:color w:val="auto"/>
              </w:rPr>
            </w:pP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20" w:type="dxa"/>
            <w:vAlign w:val="bottom"/>
            <w:gridSpan w:val="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202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5"/>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760" w:type="dxa"/>
            <w:vAlign w:val="bottom"/>
            <w:tcBorders>
              <w:top w:val="single" w:sz="8" w:color="0000EE"/>
            </w:tcBorders>
            <w:gridSpan w:val="2"/>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7"/>
                <w:szCs w:val="17"/>
                <w:color w:val="auto"/>
              </w:rPr>
            </w:pPr>
          </w:p>
        </w:tc>
        <w:tc>
          <w:tcPr>
            <w:tcW w:w="62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c>
          <w:tcPr>
            <w:tcW w:w="326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7620" w:type="dxa"/>
            <w:vAlign w:val="bottom"/>
            <w:gridSpan w:val="8"/>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620" w:type="dxa"/>
            <w:vAlign w:val="bottom"/>
            <w:gridSpan w:val="8"/>
          </w:tcPr>
          <w:p>
            <w:pPr>
              <w:ind w:left="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9,197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159,404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1,533,723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411,109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492,133</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(73,497)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(80,790)</w:t>
            </w:r>
          </w:p>
        </w:tc>
        <w:tc>
          <w:tcPr>
            <w:tcW w:w="0" w:type="dxa"/>
            <w:vAlign w:val="bottom"/>
          </w:tcPr>
          <w:p>
            <w:pPr>
              <w:spacing w:after="0"/>
              <w:rPr>
                <w:sz w:val="1"/>
                <w:szCs w:val="1"/>
                <w:color w:val="auto"/>
              </w:rPr>
            </w:pPr>
          </w:p>
        </w:tc>
      </w:tr>
      <w:tr>
        <w:trPr>
          <w:trHeight w:val="209"/>
        </w:trPr>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3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337,612</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411,343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Furniture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808080"/>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826</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27,503</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28,512</w:t>
            </w: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3,744</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23,798</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32,317</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2,095,807</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2,145,895</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-736600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-179705</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50,370</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43,112</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71,097</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20,540</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25,426</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1,791,583</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1,803,673</w:t>
            </w:r>
          </w:p>
        </w:tc>
      </w:tr>
      <w:tr>
        <w:trPr>
          <w:trHeight w:val="230"/>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23,740</w:t>
            </w: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FFFFFF"/>
              </w:rPr>
              <w:t>Total Liabilities</w:t>
            </w: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1,957,330</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2,012,533</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0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75,000,000 shares; 22,656,229 and 22,737,342 shares issued</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00" w:type="dxa"/>
            <w:vAlign w:val="bottom"/>
          </w:tcPr>
          <w:p>
            <w:pPr>
              <w:ind w:left="100"/>
              <w:spacing w:after="0"/>
              <w:rPr>
                <w:sz w:val="20"/>
                <w:szCs w:val="20"/>
                <w:color w:val="auto"/>
              </w:rPr>
            </w:pPr>
            <w:r>
              <w:rPr>
                <w:rFonts w:ascii="Arial" w:cs="Arial" w:eastAsia="Arial" w:hAnsi="Arial"/>
                <w:sz w:val="18"/>
                <w:szCs w:val="18"/>
                <w:color w:val="auto"/>
              </w:rPr>
              <w:t>and outstanding at March 31, 2021 and December 31, 2020, respectively</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72,877</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72,926</w:t>
            </w: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74,171</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69,007</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(8,571)</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(8,571)</w:t>
            </w:r>
          </w:p>
        </w:tc>
      </w:tr>
      <w:tr>
        <w:trPr>
          <w:trHeight w:val="210"/>
        </w:trPr>
        <w:tc>
          <w:tcPr>
            <w:tcW w:w="7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808080"/>
              </w:rPr>
              <w:t>Total stockholders' equity</w:t>
            </w:r>
          </w:p>
        </w:tc>
        <w:tc>
          <w:tcPr>
            <w:tcW w:w="16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138,477</w:t>
            </w:r>
          </w:p>
        </w:tc>
        <w:tc>
          <w:tcPr>
            <w:tcW w:w="3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133,362</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5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75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808080"/>
              </w:rPr>
              <w:t>Total liabilities and stockholders' equity</w:t>
            </w:r>
          </w:p>
        </w:tc>
        <w:tc>
          <w:tcPr>
            <w:tcW w:w="16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2,095,807</w:t>
            </w:r>
          </w:p>
        </w:tc>
        <w:tc>
          <w:tcPr>
            <w:tcW w:w="32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2,145,895</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282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66,093</w:t>
            </w:r>
          </w:p>
        </w:tc>
        <w:tc>
          <w:tcPr>
            <w:tcW w:w="100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79,136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Mark to finance receivables measured at fair value</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(4,417)</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(10,350)</w:t>
            </w:r>
          </w:p>
        </w:tc>
        <w:tc>
          <w:tcPr>
            <w:tcW w:w="0" w:type="dxa"/>
            <w:vAlign w:val="bottom"/>
          </w:tcPr>
          <w:p>
            <w:pPr>
              <w:spacing w:after="0"/>
              <w:rPr>
                <w:sz w:val="1"/>
                <w:szCs w:val="1"/>
                <w:color w:val="auto"/>
              </w:rPr>
            </w:pPr>
          </w:p>
        </w:tc>
      </w:tr>
      <w:tr>
        <w:trPr>
          <w:trHeight w:val="229"/>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18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1,436</w:t>
            </w:r>
          </w:p>
        </w:tc>
        <w:tc>
          <w:tcPr>
            <w:tcW w:w="100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EEEEEE"/>
            </w:tcBorders>
          </w:tcPr>
          <w:p>
            <w:pPr>
              <w:spacing w:after="0"/>
              <w:rPr>
                <w:sz w:val="20"/>
                <w:szCs w:val="20"/>
                <w:color w:val="auto"/>
              </w:rPr>
            </w:pPr>
            <w:r>
              <w:rPr>
                <w:rFonts w:ascii="Arial" w:cs="Arial" w:eastAsia="Arial" w:hAnsi="Arial"/>
                <w:sz w:val="18"/>
                <w:szCs w:val="18"/>
                <w:color w:val="FFFFFF"/>
              </w:rPr>
              <w:t>Total revenues</w:t>
            </w:r>
          </w:p>
        </w:tc>
        <w:tc>
          <w:tcPr>
            <w:tcW w:w="180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63,112</w:t>
            </w:r>
          </w:p>
        </w:tc>
        <w:tc>
          <w:tcPr>
            <w:tcW w:w="320" w:type="dxa"/>
            <w:vAlign w:val="bottom"/>
            <w:tcBorders>
              <w:bottom w:val="single" w:sz="8" w:color="EEEEEE"/>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20,159</w:t>
            </w:r>
          </w:p>
        </w:tc>
        <w:tc>
          <w:tcPr>
            <w:tcW w:w="10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21,842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7,748</w:t>
            </w:r>
          </w:p>
        </w:tc>
        <w:tc>
          <w:tcPr>
            <w:tcW w:w="10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20,946</w:t>
            </w:r>
          </w:p>
        </w:tc>
        <w:tc>
          <w:tcPr>
            <w:tcW w:w="10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26,991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3,986</w:t>
            </w:r>
          </w:p>
        </w:tc>
        <w:tc>
          <w:tcPr>
            <w:tcW w:w="10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Occupancy</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10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30"/>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428</w:t>
            </w:r>
          </w:p>
        </w:tc>
        <w:tc>
          <w:tcPr>
            <w:tcW w:w="100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20"/>
                <w:szCs w:val="20"/>
                <w:color w:val="auto"/>
              </w:rPr>
            </w:pPr>
            <w:r>
              <w:rPr>
                <w:rFonts w:ascii="Arial" w:cs="Arial" w:eastAsia="Arial" w:hAnsi="Arial"/>
                <w:sz w:val="18"/>
                <w:szCs w:val="18"/>
                <w:color w:val="FFFFFF"/>
              </w:rPr>
              <w:t>Total operating expenses</w:t>
            </w:r>
          </w:p>
        </w:tc>
        <w:tc>
          <w:tcPr>
            <w:tcW w:w="180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55,168</w:t>
            </w:r>
          </w:p>
        </w:tc>
        <w:tc>
          <w:tcPr>
            <w:tcW w:w="320" w:type="dxa"/>
            <w:vAlign w:val="bottom"/>
            <w:tcBorders>
              <w:bottom w:val="single" w:sz="8" w:color="EEEEEE"/>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67,655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 (benefit)</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7,944</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2,780</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23"/>
        </w:trPr>
        <w:tc>
          <w:tcPr>
            <w:tcW w:w="58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Basic</w:t>
            </w:r>
          </w:p>
        </w:tc>
        <w:tc>
          <w:tcPr>
            <w:tcW w:w="28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0.21</w:t>
            </w:r>
          </w:p>
        </w:tc>
        <w:tc>
          <w:tcPr>
            <w:tcW w:w="10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22,741</w:t>
            </w:r>
          </w:p>
        </w:tc>
        <w:tc>
          <w:tcPr>
            <w:tcW w:w="10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22,539</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24,967</w:t>
            </w:r>
          </w:p>
        </w:tc>
        <w:tc>
          <w:tcPr>
            <w:tcW w:w="10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5,164</w:t>
            </w:r>
          </w:p>
        </w:tc>
        <w:tc>
          <w:tcPr>
            <w:tcW w:w="102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10,792</w:t>
            </w:r>
          </w:p>
        </w:tc>
        <w:tc>
          <w:tcPr>
            <w:tcW w:w="80" w:type="dxa"/>
            <w:vAlign w:val="bottom"/>
            <w:shd w:val="clear" w:color="auto" w:fill="EEEEEE"/>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106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spacing w:after="0"/>
              <w:rPr>
                <w:sz w:val="19"/>
                <w:szCs w:val="19"/>
                <w:color w:val="auto"/>
              </w:rPr>
            </w:pPr>
          </w:p>
        </w:tc>
        <w:tc>
          <w:tcPr>
            <w:tcW w:w="6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5,164</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35,025</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29,715</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1,873</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fair value of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4,417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408</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Accrued interest receivable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1,273</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1,009</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8,244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7,258</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09"/>
        </w:trPr>
        <w:tc>
          <w:tcPr>
            <w:tcW w:w="684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65,350</w:t>
            </w: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64,054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73,480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94,535</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(205,459)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(265,282)</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156,020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109,558</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(426)</w:t>
            </w:r>
          </w:p>
        </w:tc>
        <w:tc>
          <w:tcPr>
            <w:tcW w:w="4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684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23,890</w:t>
            </w: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(61,102</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230,545</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2,750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advances (repayments) of warehouse lines of credit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(48,256)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Repayment of residual interest financing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(4,979)</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(242,489)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(266,056)</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(755)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298</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684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(64,791</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24,449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Cash and restricted cash at beginning of period</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144,152</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140,832</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restricted cash at end of period</w:t>
            </w:r>
          </w:p>
        </w:tc>
        <w:tc>
          <w:tcPr>
            <w:tcW w:w="8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168,601</w:t>
            </w:r>
          </w:p>
        </w:tc>
        <w:tc>
          <w:tcPr>
            <w:tcW w:w="32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142,069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19,252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24,739</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w:t>
            </w:r>
          </w:p>
        </w:tc>
        <w:tc>
          <w:tcPr>
            <w:tcW w:w="118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Common Stock (Shares Outstanding)</w:t>
            </w:r>
          </w:p>
        </w:tc>
        <w:tc>
          <w:tcPr>
            <w:tcW w:w="10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10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22,737</w:t>
            </w: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22,531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98</w:t>
            </w:r>
          </w:p>
        </w:tc>
        <w:tc>
          <w:tcPr>
            <w:tcW w:w="98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0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(179)</w:t>
            </w: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22,656</w:t>
            </w:r>
          </w:p>
        </w:tc>
        <w:tc>
          <w:tcPr>
            <w:tcW w:w="32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202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72,926</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71,257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298</w:t>
            </w:r>
          </w:p>
        </w:tc>
        <w:tc>
          <w:tcPr>
            <w:tcW w:w="98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0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(755)</w:t>
            </w: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408</w:t>
            </w:r>
          </w:p>
        </w:tc>
        <w:tc>
          <w:tcPr>
            <w:tcW w:w="980" w:type="dxa"/>
            <w:vAlign w:val="bottom"/>
          </w:tcPr>
          <w:p>
            <w:pPr>
              <w:spacing w:after="0"/>
              <w:rPr>
                <w:sz w:val="19"/>
                <w:szCs w:val="19"/>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0"/>
        </w:trPr>
        <w:tc>
          <w:tcPr>
            <w:tcW w:w="6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72,877</w:t>
            </w:r>
          </w:p>
        </w:tc>
        <w:tc>
          <w:tcPr>
            <w:tcW w:w="3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71,792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Retained Earnings</w:t>
            </w:r>
          </w:p>
        </w:tc>
        <w:tc>
          <w:tcPr>
            <w:tcW w:w="10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0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69,007</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139,805</w:t>
            </w:r>
          </w:p>
        </w:tc>
        <w:tc>
          <w:tcPr>
            <w:tcW w:w="0" w:type="dxa"/>
            <w:vAlign w:val="bottom"/>
          </w:tcPr>
          <w:p>
            <w:pPr>
              <w:spacing w:after="0"/>
              <w:rPr>
                <w:sz w:val="1"/>
                <w:szCs w:val="1"/>
                <w:color w:val="auto"/>
              </w:rPr>
            </w:pPr>
          </w:p>
        </w:tc>
      </w:tr>
      <w:tr>
        <w:trPr>
          <w:trHeight w:val="229"/>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Cumulative change in accounting principle (Note 2)</w:t>
            </w:r>
          </w:p>
        </w:tc>
        <w:tc>
          <w:tcPr>
            <w:tcW w:w="10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5"/>
              </w:rPr>
              <w:t>(92,469)</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Balance, beginning of period (as adjusted for change in accounting principle)</w:t>
            </w:r>
          </w:p>
        </w:tc>
        <w:tc>
          <w:tcPr>
            <w:tcW w:w="1040" w:type="dxa"/>
            <w:vAlign w:val="bottom"/>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69,007</w:t>
            </w:r>
          </w:p>
        </w:tc>
        <w:tc>
          <w:tcPr>
            <w:tcW w:w="320" w:type="dxa"/>
            <w:vAlign w:val="bottom"/>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5,164</w:t>
            </w: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74,171</w:t>
            </w:r>
          </w:p>
        </w:tc>
        <w:tc>
          <w:tcPr>
            <w:tcW w:w="32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202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(8,571)</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(8,571</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Shareholders' Equity</w:t>
            </w:r>
          </w:p>
        </w:tc>
        <w:tc>
          <w:tcPr>
            <w:tcW w:w="202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w w:val="89"/>
              </w:rPr>
              <w:t>138,477</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w w:val="89"/>
              </w:rPr>
              <w:t>121,499</w:t>
            </w:r>
          </w:p>
        </w:tc>
        <w:tc>
          <w:tcPr>
            <w:tcW w:w="0" w:type="dxa"/>
            <w:vAlign w:val="bottom"/>
          </w:tcPr>
          <w:p>
            <w:pPr>
              <w:spacing w:after="0"/>
              <w:rPr>
                <w:sz w:val="1"/>
                <w:szCs w:val="1"/>
                <w:color w:val="auto"/>
              </w:rPr>
            </w:pPr>
          </w:p>
        </w:tc>
      </w:tr>
      <w:tr>
        <w:trPr>
          <w:trHeight w:val="20"/>
        </w:trPr>
        <w:tc>
          <w:tcPr>
            <w:tcW w:w="66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2021 are not necessarily indicative of the operating results to be expected for the full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recorded value, an adjustment would be required. Results for the first quarter include a $4.4 million mark down to the carrying value of the portion of the receivables portfolio accounted for at fair value. The mark down is an estimate based on our evaluation of the appropriate fair value and future earnings rate of existing receivables compared to recently acquired receivables and our assessment of potential additional future net losses. The mark down is reflected as a reduction in revenue for the quarter.</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2021 and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25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979</w:t>
            </w:r>
          </w:p>
        </w:tc>
        <w:tc>
          <w:tcPr>
            <w:tcW w:w="66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EEEEEE"/>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240</w:t>
            </w:r>
          </w:p>
        </w:tc>
        <w:tc>
          <w:tcPr>
            <w:tcW w:w="6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EEEEEE"/>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Sales tax refunds</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r>
      <w:tr>
        <w:trPr>
          <w:trHeight w:val="230"/>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w:t>
            </w:r>
          </w:p>
        </w:tc>
        <w:tc>
          <w:tcPr>
            <w:tcW w:w="6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EEEEEE"/>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2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 Accumulated amortization right-of-use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23,840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23,735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(14,257)</w:t>
            </w:r>
          </w:p>
        </w:tc>
        <w:tc>
          <w:tcPr>
            <w:tcW w:w="1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9,583</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FFFFFF"/>
              </w:rPr>
              <w:t>$</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liabilities</w:t>
            </w:r>
          </w:p>
        </w:tc>
        <w:tc>
          <w:tcPr>
            <w:tcW w:w="31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(10,643)</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(12,096)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FFFFFF"/>
              </w:rPr>
              <w:t>$</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Leases</w:t>
            </w:r>
          </w:p>
        </w:tc>
        <w:tc>
          <w:tcPr>
            <w:tcW w:w="2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FFFFFF"/>
              </w:rPr>
              <w:t>$</w:t>
            </w: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3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3,407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9"/>
        </w:trPr>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w:t>
            </w:r>
          </w:p>
        </w:tc>
        <w:tc>
          <w:tcPr>
            <w:tcW w:w="28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Property and equipment, net</w:t>
            </w:r>
          </w:p>
        </w:tc>
        <w:tc>
          <w:tcPr>
            <w:tcW w:w="28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3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EEEEEE"/>
          </w:tcPr>
          <w:p>
            <w:pPr>
              <w:spacing w:after="0"/>
              <w:rPr>
                <w:sz w:val="17"/>
                <w:szCs w:val="17"/>
                <w:color w:val="auto"/>
              </w:rPr>
            </w:pPr>
          </w:p>
        </w:tc>
        <w:tc>
          <w:tcPr>
            <w:tcW w:w="28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FFFFFF"/>
              </w:rPr>
              <w:t>$</w:t>
            </w: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3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(1,969)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4840" w:type="dxa"/>
            <w:vAlign w:val="bottom"/>
            <w:shd w:val="clear" w:color="auto" w:fill="EEEEEE"/>
          </w:tcPr>
          <w:p>
            <w:pPr>
              <w:spacing w:after="0"/>
              <w:rPr>
                <w:sz w:val="18"/>
                <w:szCs w:val="18"/>
                <w:color w:val="auto"/>
              </w:rPr>
            </w:pPr>
          </w:p>
        </w:tc>
        <w:tc>
          <w:tcPr>
            <w:tcW w:w="2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FFFFFF"/>
              </w:rPr>
              <w:t>$</w:t>
            </w: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FFFFFF"/>
              </w:rPr>
              <w:t>$</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w:t>
            </w:r>
          </w:p>
        </w:tc>
        <w:tc>
          <w:tcPr>
            <w:tcW w:w="2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Finance lease</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42"/>
        </w:trPr>
        <w:tc>
          <w:tcPr>
            <w:tcW w:w="484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FFFFFF"/>
              </w:rPr>
              <w:t>$</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(In thousands)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Operating</w:t>
            </w:r>
          </w:p>
        </w:tc>
        <w:tc>
          <w:tcPr>
            <w:tcW w:w="3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44"/>
        </w:trPr>
        <w:tc>
          <w:tcPr>
            <w:tcW w:w="48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Lease</w:t>
            </w:r>
          </w:p>
        </w:tc>
        <w:tc>
          <w:tcPr>
            <w:tcW w:w="320" w:type="dxa"/>
            <w:vAlign w:val="bottom"/>
          </w:tcPr>
          <w:p>
            <w:pPr>
              <w:spacing w:after="0"/>
              <w:rPr>
                <w:sz w:val="21"/>
                <w:szCs w:val="21"/>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09"/>
        </w:trPr>
        <w:tc>
          <w:tcPr>
            <w:tcW w:w="48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2021 (excluding the three months ended March 31, 2021)</w:t>
            </w:r>
          </w:p>
        </w:tc>
        <w:tc>
          <w:tcPr>
            <w:tcW w:w="28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5,549</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2022</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6,089</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2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1,421</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2024</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8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13,809</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(3,166)</w:t>
            </w:r>
          </w:p>
        </w:tc>
        <w:tc>
          <w:tcPr>
            <w:tcW w:w="3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48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8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10,643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20" w:type="dxa"/>
            <w:vAlign w:val="bottom"/>
            <w:vMerge w:val="restart"/>
          </w:tcPr>
          <w:p>
            <w:pPr>
              <w:jc w:val="right"/>
              <w:ind w:right="185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supplemental cash flow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flows from operating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cash flows from finance leases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jc w:val="right"/>
              <w:ind w:right="10"/>
              <w:spacing w:after="0" w:line="195" w:lineRule="exact"/>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6"/>
                <w:szCs w:val="16"/>
                <w:color w:val="auto"/>
              </w:rPr>
            </w:pPr>
          </w:p>
        </w:tc>
      </w:tr>
      <w:tr>
        <w:trPr>
          <w:trHeight w:val="230"/>
        </w:trPr>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1,837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195"/>
        </w:trPr>
        <w:tc>
          <w:tcPr>
            <w:tcW w:w="380" w:type="dxa"/>
            <w:vAlign w:val="bottom"/>
          </w:tcPr>
          <w:p>
            <w:pPr>
              <w:spacing w:after="0"/>
              <w:rPr>
                <w:sz w:val="16"/>
                <w:szCs w:val="16"/>
                <w:color w:val="auto"/>
              </w:rPr>
            </w:pPr>
          </w:p>
        </w:tc>
        <w:tc>
          <w:tcPr>
            <w:tcW w:w="2080" w:type="dxa"/>
            <w:vAlign w:val="bottom"/>
            <w:gridSpan w:val="2"/>
          </w:tcPr>
          <w:p>
            <w:pPr>
              <w:jc w:val="right"/>
              <w:ind w:right="10"/>
              <w:spacing w:after="0" w:line="195" w:lineRule="exact"/>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6"/>
                <w:szCs w:val="16"/>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1,930</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1,926</w:t>
            </w:r>
          </w:p>
        </w:tc>
      </w:tr>
      <w:tr>
        <w:trPr>
          <w:trHeight w:val="216"/>
        </w:trPr>
        <w:tc>
          <w:tcPr>
            <w:tcW w:w="3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274</w:t>
            </w: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38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631"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and 2020, we recorded stock-based compensation costs in the amount of $408,000 and $487,000, respectively. As of March 31, 2021, unrecognized stock-based compensation costs to be recognized over future periods equaled $2.8 million. This amount will be recognized as expense over a weighted-average period of 2.0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stock option activity for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Number of Shares</w:t>
            </w:r>
          </w:p>
        </w:tc>
        <w:tc>
          <w:tcPr>
            <w:tcW w:w="26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10"/>
        </w:trPr>
        <w:tc>
          <w:tcPr>
            <w:tcW w:w="4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5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15,977</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4.46</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34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3.05</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520" w:type="dxa"/>
            <w:vAlign w:val="bottom"/>
            <w:shd w:val="clear" w:color="auto" w:fill="EEEEEE"/>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620" w:type="dxa"/>
            <w:vAlign w:val="bottom"/>
            <w:gridSpan w:val="2"/>
            <w:shd w:val="clear" w:color="auto" w:fill="EEEEEE"/>
          </w:tcPr>
          <w:p>
            <w:pPr>
              <w:spacing w:after="0" w:line="20" w:lineRule="exact"/>
              <w:rPr>
                <w:sz w:val="1"/>
                <w:szCs w:val="1"/>
                <w:color w:val="auto"/>
              </w:rPr>
            </w:pPr>
          </w:p>
        </w:tc>
        <w:tc>
          <w:tcPr>
            <w:tcW w:w="146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87"/>
              </w:rPr>
              <w:t>2.58 years</w:t>
            </w:r>
          </w:p>
        </w:tc>
        <w:tc>
          <w:tcPr>
            <w:tcW w:w="0" w:type="dxa"/>
            <w:vAlign w:val="bottom"/>
          </w:tcPr>
          <w:p>
            <w:pPr>
              <w:spacing w:after="0" w:line="20" w:lineRule="exact"/>
              <w:rPr>
                <w:sz w:val="1"/>
                <w:szCs w:val="1"/>
                <w:color w:val="auto"/>
              </w:rPr>
            </w:pPr>
          </w:p>
        </w:tc>
      </w:tr>
      <w:tr>
        <w:trPr>
          <w:trHeight w:val="236"/>
        </w:trPr>
        <w:tc>
          <w:tcPr>
            <w:tcW w:w="4460" w:type="dxa"/>
            <w:vAlign w:val="bottom"/>
            <w:vMerge w:val="continue"/>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1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15,834</w:t>
            </w:r>
          </w:p>
        </w:tc>
        <w:tc>
          <w:tcPr>
            <w:tcW w:w="260" w:type="dxa"/>
            <w:vAlign w:val="bottom"/>
            <w:shd w:val="clear" w:color="auto" w:fill="EEEEEE"/>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4.47</w:t>
            </w:r>
          </w:p>
        </w:tc>
        <w:tc>
          <w:tcPr>
            <w:tcW w:w="1460" w:type="dxa"/>
            <w:vAlign w:val="bottom"/>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34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12,499</w:t>
            </w:r>
          </w:p>
        </w:tc>
        <w:tc>
          <w:tcPr>
            <w:tcW w:w="260" w:type="dxa"/>
            <w:vAlign w:val="bottom"/>
            <w:shd w:val="clear" w:color="auto" w:fill="EEEEEE"/>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4.82</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1.87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bottom w:val="single" w:sz="8" w:color="EEEEEE"/>
            </w:tcBorders>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price distribution of stock options outstanding and exercisable for the years ended March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Number of shares as of</w:t>
            </w:r>
          </w:p>
        </w:tc>
        <w:tc>
          <w:tcPr>
            <w:tcW w:w="31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3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March 31, 2021</w:t>
            </w:r>
          </w:p>
        </w:tc>
        <w:tc>
          <w:tcPr>
            <w:tcW w:w="31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70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Outstanding</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32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08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300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$0.95 - $1.99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1,878</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1,878</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1,904</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$2.00 - $2.99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1,570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1,570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$3.00 - $3.99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4,863</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3,234</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4,973</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$4.00 - $4.99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1,533</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1,217</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1,540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$5.00 - $5.99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$6.00 - $6.99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4,770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4,770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4,770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$7.00 - $7.99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1,220</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1,220</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1,220</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shares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15,834</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12,499</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15,977</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the aggregate intrinsic value of options outstanding and exercisable was $10.0 million and $7.0 million, respectively. There were 98,000 options exercised for the three months ended March 31, 2021 compared to 28,000 for the comparable period in 2020. The total intrinsic value of options exercised was $122,000 and $51,000 for the three-month periods ended March 31, 2021 and 2020. There were 315,000 shares available for future stock option grants under existing plans as of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describes the purchase of our common stock for the three-month ended March 31, 2021 and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3400" w:type="dxa"/>
            <w:vAlign w:val="bottom"/>
            <w:gridSpan w:val="5"/>
          </w:tcPr>
          <w:p>
            <w:pPr>
              <w:ind w:left="940"/>
              <w:spacing w:after="0"/>
              <w:rPr>
                <w:sz w:val="20"/>
                <w:szCs w:val="20"/>
                <w:color w:val="auto"/>
              </w:rPr>
            </w:pPr>
            <w:r>
              <w:rPr>
                <w:rFonts w:ascii="Arial" w:cs="Arial" w:eastAsia="Arial" w:hAnsi="Arial"/>
                <w:sz w:val="18"/>
                <w:szCs w:val="18"/>
                <w:b w:val="1"/>
                <w:bCs w:val="1"/>
                <w:color w:val="auto"/>
              </w:rPr>
              <w:t>March 31, 2021</w:t>
            </w:r>
          </w:p>
        </w:tc>
        <w:tc>
          <w:tcPr>
            <w:tcW w:w="3100" w:type="dxa"/>
            <w:vAlign w:val="bottom"/>
            <w:gridSpan w:val="5"/>
          </w:tcPr>
          <w:p>
            <w:pPr>
              <w:ind w:left="90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4740" w:type="dxa"/>
            <w:vAlign w:val="bottom"/>
          </w:tcPr>
          <w:p>
            <w:pPr>
              <w:spacing w:after="0"/>
              <w:rPr>
                <w:sz w:val="19"/>
                <w:szCs w:val="19"/>
                <w:color w:val="auto"/>
              </w:rPr>
            </w:pPr>
          </w:p>
        </w:tc>
        <w:tc>
          <w:tcPr>
            <w:tcW w:w="170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Avg. Price</w:t>
            </w:r>
          </w:p>
        </w:tc>
        <w:tc>
          <w:tcPr>
            <w:tcW w:w="100" w:type="dxa"/>
            <w:vAlign w:val="bottom"/>
          </w:tcPr>
          <w:p>
            <w:pPr>
              <w:spacing w:after="0"/>
              <w:rPr>
                <w:sz w:val="19"/>
                <w:szCs w:val="19"/>
                <w:color w:val="auto"/>
              </w:rPr>
            </w:pP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138,004</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ind w:left="124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EEEEE"/>
          </w:tcPr>
          <w:p>
            <w:pPr>
              <w:ind w:left="10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Shares redeemed upon net exercise of stock options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40,727</w:t>
            </w: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16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178,731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ind w:left="124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ind w:left="10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2021,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have a significant effect</w:t>
      </w:r>
      <w:r>
        <w:rPr>
          <w:rFonts w:ascii="Arial" w:cs="Arial" w:eastAsia="Arial" w:hAnsi="Arial"/>
          <w:sz w:val="18"/>
          <w:szCs w:val="18"/>
          <w:color w:val="auto"/>
        </w:rPr>
        <w:t xml:space="preserve"> </w:t>
      </w:r>
      <w:r>
        <w:rPr>
          <w:rFonts w:ascii="Arial" w:cs="Arial" w:eastAsia="Arial" w:hAnsi="Arial"/>
          <w:sz w:val="18"/>
          <w:szCs w:val="18"/>
          <w:color w:val="323232"/>
        </w:rPr>
        <w:t>on our fair value measurement.</w:t>
      </w:r>
    </w:p>
    <w:p>
      <w:pPr>
        <w:spacing w:after="0" w:line="18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auto"/>
                <w:w w:val="95"/>
              </w:rPr>
              <w:t>The following table presents the components of Finance Receivables, net of unearned interest: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24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40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410,623</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491,307</w:t>
            </w: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3"/>
        </w:trPr>
        <w:tc>
          <w:tcPr>
            <w:tcW w:w="7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4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411,109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492,133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2021 and December 31,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336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360,369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406,693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4320" w:type="dxa"/>
            <w:vAlign w:val="bottom"/>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35,533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56,572</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11,683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22,660</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4320" w:type="dxa"/>
            <w:vAlign w:val="bottom"/>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3,038</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410,623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Finance receivables totaling $3.0 million and $5.4 million at March 31, 2021 and December 31, 2020, respectively, including all receivables greater than 90 days delinquent, have been placed on non-accrual status as a result of their delinquency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January 1, 2020, the Company adopted Accounting Standards Codification ("ASC") 326, which changes the criteria under which credit losses on financial instruments (such as the Company’s finance receivables) are measured. ASC 326 introduced a new credit reserving model known as the Current Expected Credit Loss (“CECL”) model, which replaces the incurred loss impairment methodology previously used under U.S. GAAP with a methodology that records currently the expected lifetime credit losses on financial instruments.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The offset to the addition to the allowance for finance credit losses was a tax affected reduction to retained earnings using the modified retrospective method.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amortized cost basis of our finance receivables by annual vintage as of March 31, 2021 and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4940" w:type="dxa"/>
            <w:vAlign w:val="bottom"/>
            <w:gridSpan w:val="3"/>
            <w:vMerge w:val="restart"/>
          </w:tcPr>
          <w:p>
            <w:pPr>
              <w:jc w:val="right"/>
              <w:ind w:right="3330"/>
              <w:spacing w:after="0"/>
              <w:rPr>
                <w:sz w:val="20"/>
                <w:szCs w:val="20"/>
                <w:color w:val="auto"/>
              </w:rPr>
            </w:pPr>
            <w:r>
              <w:rPr>
                <w:rFonts w:ascii="Arial" w:cs="Arial" w:eastAsia="Arial" w:hAnsi="Arial"/>
                <w:sz w:val="18"/>
                <w:szCs w:val="18"/>
                <w:color w:val="auto"/>
                <w:w w:val="91"/>
              </w:rPr>
              <w:t>Annual Vintage Pool</w:t>
            </w:r>
          </w:p>
        </w:tc>
        <w:tc>
          <w:tcPr>
            <w:tcW w:w="32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494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4940" w:type="dxa"/>
            <w:vAlign w:val="bottom"/>
            <w:gridSpan w:val="3"/>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2013</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3,102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17,169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2015</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62,428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78,457</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136,699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163,677</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2017</w:t>
            </w: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190,798</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220,967</w:t>
            </w:r>
          </w:p>
        </w:tc>
        <w:tc>
          <w:tcPr>
            <w:tcW w:w="0" w:type="dxa"/>
            <w:vAlign w:val="bottom"/>
          </w:tcPr>
          <w:p>
            <w:pPr>
              <w:spacing w:after="0"/>
              <w:rPr>
                <w:sz w:val="1"/>
                <w:szCs w:val="1"/>
                <w:color w:val="auto"/>
              </w:rPr>
            </w:pP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410,623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2021 and 2020: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44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80,790</w:t>
            </w:r>
          </w:p>
        </w:tc>
        <w:tc>
          <w:tcPr>
            <w:tcW w:w="66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11,640</w:t>
            </w:r>
          </w:p>
        </w:tc>
        <w:tc>
          <w:tcPr>
            <w:tcW w:w="80" w:type="dxa"/>
            <w:vAlign w:val="bottom"/>
            <w:shd w:val="clear" w:color="auto" w:fill="EEEEEE"/>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Early adoption of CECL</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127,000</w:t>
            </w:r>
          </w:p>
        </w:tc>
        <w:tc>
          <w:tcPr>
            <w:tcW w:w="8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20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3,613</w:t>
            </w:r>
          </w:p>
        </w:tc>
        <w:tc>
          <w:tcPr>
            <w:tcW w:w="80" w:type="dxa"/>
            <w:vAlign w:val="bottom"/>
            <w:shd w:val="clear" w:color="auto" w:fill="EEEEEE"/>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Charge-offs</w:t>
            </w: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(12,122)</w:t>
            </w:r>
          </w:p>
        </w:tc>
        <w:tc>
          <w:tcPr>
            <w:tcW w:w="6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(34,214)</w:t>
            </w:r>
          </w:p>
        </w:tc>
      </w:tr>
      <w:tr>
        <w:trPr>
          <w:trHeight w:val="229"/>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20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4,829</w:t>
            </w:r>
          </w:p>
        </w:tc>
        <w:tc>
          <w:tcPr>
            <w:tcW w:w="6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6,034</w:t>
            </w:r>
          </w:p>
        </w:tc>
        <w:tc>
          <w:tcPr>
            <w:tcW w:w="80" w:type="dxa"/>
            <w:vAlign w:val="bottom"/>
            <w:shd w:val="clear" w:color="auto" w:fill="EEEEEE"/>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73,497</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jc w:val="right"/>
              <w:ind w:right="109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10,340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15,589</w:t>
            </w: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(6,816)</w:t>
            </w:r>
          </w:p>
        </w:tc>
        <w:tc>
          <w:tcPr>
            <w:tcW w:w="1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(11,790)</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3,799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Pledged at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 Rate at</w:t>
            </w: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Final Scheduled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940" w:type="dxa"/>
            <w:vAlign w:val="bottom"/>
            <w:gridSpan w:val="2"/>
          </w:tcPr>
          <w:p>
            <w:pPr>
              <w:ind w:left="620"/>
              <w:spacing w:after="0"/>
              <w:rPr>
                <w:sz w:val="20"/>
                <w:szCs w:val="20"/>
                <w:color w:val="auto"/>
              </w:rPr>
            </w:pPr>
            <w:r>
              <w:rPr>
                <w:rFonts w:ascii="Arial" w:cs="Arial" w:eastAsia="Arial" w:hAnsi="Arial"/>
                <w:sz w:val="18"/>
                <w:szCs w:val="18"/>
                <w:b w:val="1"/>
                <w:bCs w:val="1"/>
                <w:color w:val="auto"/>
              </w:rPr>
              <w:t>Series</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Payment Date (1)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2021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Initial Principal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1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2015-B</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2022</w:t>
            </w:r>
          </w:p>
        </w:tc>
        <w:tc>
          <w:tcPr>
            <w:tcW w:w="22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9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250,000</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17,984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2015-C</w:t>
            </w:r>
          </w:p>
        </w:tc>
        <w:tc>
          <w:tcPr>
            <w:tcW w:w="1540" w:type="dxa"/>
            <w:vAlign w:val="bottom"/>
          </w:tcPr>
          <w:p>
            <w:pPr>
              <w:jc w:val="right"/>
              <w:spacing w:after="0"/>
              <w:rPr>
                <w:sz w:val="20"/>
                <w:szCs w:val="20"/>
                <w:color w:val="auto"/>
              </w:rPr>
            </w:pPr>
            <w:r>
              <w:rPr>
                <w:rFonts w:ascii="Arial" w:cs="Arial" w:eastAsia="Arial" w:hAnsi="Arial"/>
                <w:sz w:val="18"/>
                <w:szCs w:val="18"/>
                <w:color w:val="auto"/>
              </w:rPr>
              <w:t>December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21,749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23,929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28,529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2016-A</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2023</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28,459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329,460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30,958</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2016-B</w:t>
            </w:r>
          </w:p>
        </w:tc>
        <w:tc>
          <w:tcPr>
            <w:tcW w:w="1540" w:type="dxa"/>
            <w:vAlign w:val="bottom"/>
          </w:tcPr>
          <w:p>
            <w:pPr>
              <w:jc w:val="right"/>
              <w:spacing w:after="0"/>
              <w:rPr>
                <w:sz w:val="20"/>
                <w:szCs w:val="20"/>
                <w:color w:val="auto"/>
              </w:rPr>
            </w:pPr>
            <w:r>
              <w:rPr>
                <w:rFonts w:ascii="Arial" w:cs="Arial" w:eastAsia="Arial" w:hAnsi="Arial"/>
                <w:sz w:val="18"/>
                <w:szCs w:val="18"/>
                <w:color w:val="auto"/>
              </w:rPr>
              <w:t>June 2023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37,418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332,690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38,724</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46,079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2016-C</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2023</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39,455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318,500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40,046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47,325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2016-D</w:t>
            </w:r>
          </w:p>
        </w:tc>
        <w:tc>
          <w:tcPr>
            <w:tcW w:w="1540" w:type="dxa"/>
            <w:vAlign w:val="bottom"/>
          </w:tcPr>
          <w:p>
            <w:pPr>
              <w:jc w:val="right"/>
              <w:spacing w:after="0"/>
              <w:rPr>
                <w:sz w:val="20"/>
                <w:szCs w:val="20"/>
                <w:color w:val="auto"/>
              </w:rPr>
            </w:pPr>
            <w:r>
              <w:rPr>
                <w:rFonts w:ascii="Arial" w:cs="Arial" w:eastAsia="Arial" w:hAnsi="Arial"/>
                <w:sz w:val="18"/>
                <w:szCs w:val="18"/>
                <w:color w:val="auto"/>
              </w:rPr>
              <w:t>April 2024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32,599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206,325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30,753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36,455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2017-A</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April 2024</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36,408</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206,320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34,412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40,619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2017-B</w:t>
            </w:r>
          </w:p>
        </w:tc>
        <w:tc>
          <w:tcPr>
            <w:tcW w:w="1540" w:type="dxa"/>
            <w:vAlign w:val="bottom"/>
          </w:tcPr>
          <w:p>
            <w:pPr>
              <w:jc w:val="right"/>
              <w:spacing w:after="0"/>
              <w:rPr>
                <w:sz w:val="20"/>
                <w:szCs w:val="20"/>
                <w:color w:val="auto"/>
              </w:rPr>
            </w:pPr>
            <w:r>
              <w:rPr>
                <w:rFonts w:ascii="Arial" w:cs="Arial" w:eastAsia="Arial" w:hAnsi="Arial"/>
                <w:sz w:val="18"/>
                <w:szCs w:val="18"/>
                <w:color w:val="auto"/>
              </w:rPr>
              <w:t>December 2023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46,080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225,170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31,951</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39,016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2017-C</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2024</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48,489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224,825</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41,953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47,553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2017-D</w:t>
            </w:r>
          </w:p>
        </w:tc>
        <w:tc>
          <w:tcPr>
            <w:tcW w:w="1540" w:type="dxa"/>
            <w:vAlign w:val="bottom"/>
          </w:tcPr>
          <w:p>
            <w:pPr>
              <w:jc w:val="right"/>
              <w:spacing w:after="0"/>
              <w:rPr>
                <w:sz w:val="20"/>
                <w:szCs w:val="20"/>
                <w:color w:val="auto"/>
              </w:rPr>
            </w:pPr>
            <w:r>
              <w:rPr>
                <w:rFonts w:ascii="Arial" w:cs="Arial" w:eastAsia="Arial" w:hAnsi="Arial"/>
                <w:sz w:val="18"/>
                <w:szCs w:val="18"/>
                <w:color w:val="auto"/>
              </w:rPr>
              <w:t>June 2024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50,010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196,300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43,273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49,297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2018-A</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2025</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54,744</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190,000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47,230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53,549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2018-B</w:t>
            </w:r>
          </w:p>
        </w:tc>
        <w:tc>
          <w:tcPr>
            <w:tcW w:w="1540" w:type="dxa"/>
            <w:vAlign w:val="bottom"/>
          </w:tcPr>
          <w:p>
            <w:pPr>
              <w:jc w:val="right"/>
              <w:spacing w:after="0"/>
              <w:rPr>
                <w:sz w:val="20"/>
                <w:szCs w:val="20"/>
                <w:color w:val="auto"/>
              </w:rPr>
            </w:pPr>
            <w:r>
              <w:rPr>
                <w:rFonts w:ascii="Arial" w:cs="Arial" w:eastAsia="Arial" w:hAnsi="Arial"/>
                <w:sz w:val="18"/>
                <w:szCs w:val="18"/>
                <w:color w:val="auto"/>
              </w:rPr>
              <w:t>December 2024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65,851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201,823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58,112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66,955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2018-C</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2025</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76,364</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230,275</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68,625</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77,345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4.74%</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2018-D</w:t>
            </w:r>
          </w:p>
        </w:tc>
        <w:tc>
          <w:tcPr>
            <w:tcW w:w="1540" w:type="dxa"/>
            <w:vAlign w:val="bottom"/>
          </w:tcPr>
          <w:p>
            <w:pPr>
              <w:jc w:val="right"/>
              <w:spacing w:after="0"/>
              <w:rPr>
                <w:sz w:val="20"/>
                <w:szCs w:val="20"/>
                <w:color w:val="auto"/>
              </w:rPr>
            </w:pPr>
            <w:r>
              <w:rPr>
                <w:rFonts w:ascii="Arial" w:cs="Arial" w:eastAsia="Arial" w:hAnsi="Arial"/>
                <w:sz w:val="18"/>
                <w:szCs w:val="18"/>
                <w:color w:val="auto"/>
              </w:rPr>
              <w:t>June 2025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91,484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233,730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78,446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88,228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2019-A</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2026</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115,227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254,400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99,017</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114,373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2019-B</w:t>
            </w:r>
          </w:p>
        </w:tc>
        <w:tc>
          <w:tcPr>
            <w:tcW w:w="1540" w:type="dxa"/>
            <w:vAlign w:val="bottom"/>
          </w:tcPr>
          <w:p>
            <w:pPr>
              <w:jc w:val="right"/>
              <w:spacing w:after="0"/>
              <w:rPr>
                <w:sz w:val="20"/>
                <w:szCs w:val="20"/>
                <w:color w:val="auto"/>
              </w:rPr>
            </w:pPr>
            <w:r>
              <w:rPr>
                <w:rFonts w:ascii="Arial" w:cs="Arial" w:eastAsia="Arial" w:hAnsi="Arial"/>
                <w:sz w:val="18"/>
                <w:szCs w:val="18"/>
                <w:color w:val="auto"/>
              </w:rPr>
              <w:t>June 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113,420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228,275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105,045</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118,982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2019-C</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2026</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133,374</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243,513</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125,430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142,080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2019-D</w:t>
            </w:r>
          </w:p>
        </w:tc>
        <w:tc>
          <w:tcPr>
            <w:tcW w:w="1540" w:type="dxa"/>
            <w:vAlign w:val="bottom"/>
          </w:tcPr>
          <w:p>
            <w:pPr>
              <w:jc w:val="right"/>
              <w:spacing w:after="0"/>
              <w:rPr>
                <w:sz w:val="20"/>
                <w:szCs w:val="20"/>
                <w:color w:val="auto"/>
              </w:rPr>
            </w:pPr>
            <w:r>
              <w:rPr>
                <w:rFonts w:ascii="Arial" w:cs="Arial" w:eastAsia="Arial" w:hAnsi="Arial"/>
                <w:sz w:val="18"/>
                <w:szCs w:val="18"/>
                <w:color w:val="auto"/>
              </w:rPr>
              <w:t>December 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168,358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274,313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160,999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181,485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2020-A</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2027</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165,519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260,000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163,649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184,944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2020-B</w:t>
            </w:r>
          </w:p>
        </w:tc>
        <w:tc>
          <w:tcPr>
            <w:tcW w:w="1540" w:type="dxa"/>
            <w:vAlign w:val="bottom"/>
          </w:tcPr>
          <w:p>
            <w:pPr>
              <w:jc w:val="right"/>
              <w:spacing w:after="0"/>
              <w:rPr>
                <w:sz w:val="20"/>
                <w:szCs w:val="20"/>
                <w:color w:val="auto"/>
              </w:rPr>
            </w:pPr>
            <w:r>
              <w:rPr>
                <w:rFonts w:ascii="Arial" w:cs="Arial" w:eastAsia="Arial" w:hAnsi="Arial"/>
                <w:sz w:val="18"/>
                <w:szCs w:val="18"/>
                <w:color w:val="auto"/>
              </w:rPr>
              <w:t>June 2027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168,416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202,343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147,587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164,403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2020-C</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November 2027</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223,358</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252,200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214,018</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231,961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CPS 2021-A</w:t>
            </w:r>
          </w:p>
        </w:tc>
        <w:tc>
          <w:tcPr>
            <w:tcW w:w="1540" w:type="dxa"/>
            <w:vAlign w:val="bottom"/>
          </w:tcPr>
          <w:p>
            <w:pPr>
              <w:jc w:val="right"/>
              <w:spacing w:after="0"/>
              <w:rPr>
                <w:sz w:val="20"/>
                <w:szCs w:val="20"/>
                <w:color w:val="auto"/>
              </w:rPr>
            </w:pPr>
            <w:r>
              <w:rPr>
                <w:rFonts w:ascii="Arial" w:cs="Arial" w:eastAsia="Arial" w:hAnsi="Arial"/>
                <w:sz w:val="18"/>
                <w:szCs w:val="18"/>
                <w:color w:val="auto"/>
              </w:rPr>
              <w:t>March 2028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232,317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230,545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218,218</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r>
      <w:tr>
        <w:trPr>
          <w:trHeight w:val="223"/>
        </w:trPr>
        <w:tc>
          <w:tcPr>
            <w:tcW w:w="17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1,949,099</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9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5,391,007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1,802,375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1,814,320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jc w:val="both"/>
        <w:ind w:left="340" w:hanging="319"/>
        <w:spacing w:after="0" w:line="273" w:lineRule="auto"/>
        <w:tabs>
          <w:tab w:leader="none" w:pos="3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$642.9 million in 2021, $498.5 million in 2022, $411.9 million in 2023, $100.4 million in 2024, $102.2 million in 2025, $33.7 million in 2026, and $2.0 million in 2027.</w:t>
      </w:r>
    </w:p>
    <w:p>
      <w:pPr>
        <w:spacing w:after="0" w:line="176" w:lineRule="exact"/>
        <w:rPr>
          <w:rFonts w:ascii="Arial" w:cs="Arial" w:eastAsia="Arial" w:hAnsi="Arial"/>
          <w:sz w:val="17"/>
          <w:szCs w:val="17"/>
          <w:i w:val="1"/>
          <w:iCs w:val="1"/>
          <w:color w:val="auto"/>
        </w:rPr>
      </w:pPr>
    </w:p>
    <w:p>
      <w:pPr>
        <w:ind w:left="340" w:hanging="319"/>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of $10.8 million and $10.6 million as of March 31, 2021 and December 31, 2020, respectively, have been excluded from the table above. These debt issuance costs are presented as a direct deduction to the carrying amount of the securitization trust debt on our Unaudited Condensed Consolidated Balance Sheets.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2021, we were in compliance with all such covenants.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2021, restricted cash under the various agreements totaled approximately $159.4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28, 2021 we completed our second securitization transaction of 2021. In the transaction, qualified institutional buyers purchased $240.0 million of asset-backed notes secured by $240.0 million in automobile receivables originated by CPS. The sold notes, issued by CPS Auto Receivables Trust 2021-B, consist of five classes. Ratings of the notes were provided by Moody’s and DBRS Morningstar, and were based on the structure of the transaction, the historical performance of similar receivables and CPS’s experience as a servicer. The weighted average yield on the notes is approximately 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amounts of our other debt outstanding at March 31, 2021 and December 31, 2020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8"/>
          </w:tcPr>
          <w:p>
            <w:pPr>
              <w:ind w:left="120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March</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20" w:type="dxa"/>
            <w:vAlign w:val="bottom"/>
            <w:gridSpan w:val="2"/>
            <w:vMerge w:val="restart"/>
          </w:tcPr>
          <w:p>
            <w:pPr>
              <w:ind w:left="840"/>
              <w:spacing w:after="0"/>
              <w:rPr>
                <w:sz w:val="20"/>
                <w:szCs w:val="20"/>
                <w:color w:val="auto"/>
              </w:rPr>
            </w:pPr>
            <w:r>
              <w:rPr>
                <w:rFonts w:ascii="Arial" w:cs="Arial" w:eastAsia="Arial" w:hAnsi="Arial"/>
                <w:sz w:val="18"/>
                <w:szCs w:val="18"/>
                <w:color w:val="auto"/>
              </w:rPr>
              <w:t>Description</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Interest Rate</w:t>
            </w:r>
          </w:p>
        </w:tc>
        <w:tc>
          <w:tcPr>
            <w:tcW w:w="21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Maturity</w:t>
            </w:r>
          </w:p>
        </w:tc>
        <w:tc>
          <w:tcPr>
            <w:tcW w:w="13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2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14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0"/>
              </w:rPr>
              <w:t>5.50% over one month</w:t>
            </w:r>
          </w:p>
        </w:tc>
        <w:tc>
          <w:tcPr>
            <w:tcW w:w="21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rPr>
              <w:t>N/A</w:t>
            </w:r>
          </w:p>
        </w:tc>
        <w:tc>
          <w:tcPr>
            <w:tcW w:w="1340" w:type="dxa"/>
            <w:vAlign w:val="bottom"/>
            <w:vMerge w:val="restart"/>
            <w:shd w:val="clear" w:color="auto" w:fill="EEEEEE"/>
          </w:tcPr>
          <w:p>
            <w:pPr>
              <w:jc w:val="right"/>
              <w:ind w:right="1177"/>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shd w:val="clear" w:color="auto" w:fill="EEEEEE"/>
          </w:tcPr>
          <w:p>
            <w:pPr>
              <w:jc w:val="right"/>
              <w:ind w:right="287"/>
              <w:spacing w:after="0"/>
              <w:rPr>
                <w:sz w:val="20"/>
                <w:szCs w:val="20"/>
                <w:color w:val="auto"/>
              </w:rPr>
            </w:pPr>
            <w:r>
              <w:rPr>
                <w:rFonts w:ascii="Arial" w:cs="Arial" w:eastAsia="Arial" w:hAnsi="Arial"/>
                <w:sz w:val="18"/>
                <w:szCs w:val="18"/>
                <w:color w:val="auto"/>
                <w:w w:val="79"/>
              </w:rPr>
              <w:t>$</w:t>
            </w:r>
          </w:p>
        </w:tc>
        <w:tc>
          <w:tcPr>
            <w:tcW w:w="158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42,558</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20" w:type="dxa"/>
            <w:vAlign w:val="bottom"/>
            <w:gridSpan w:val="2"/>
            <w:vMerge w:val="continue"/>
            <w:shd w:val="clear" w:color="auto" w:fill="EEEEEE"/>
          </w:tcPr>
          <w:p>
            <w:pPr>
              <w:spacing w:after="0"/>
              <w:rPr>
                <w:sz w:val="10"/>
                <w:szCs w:val="10"/>
                <w:color w:val="auto"/>
              </w:rPr>
            </w:pPr>
          </w:p>
        </w:tc>
        <w:tc>
          <w:tcPr>
            <w:tcW w:w="2140" w:type="dxa"/>
            <w:vAlign w:val="bottom"/>
            <w:gridSpan w:val="2"/>
            <w:vMerge w:val="restart"/>
            <w:shd w:val="clear" w:color="auto" w:fill="EEEEEE"/>
          </w:tcPr>
          <w:p>
            <w:pPr>
              <w:jc w:val="center"/>
              <w:ind w:right="140"/>
              <w:spacing w:after="0"/>
              <w:rPr>
                <w:sz w:val="20"/>
                <w:szCs w:val="20"/>
                <w:color w:val="auto"/>
              </w:rPr>
            </w:pPr>
            <w:r>
              <w:rPr>
                <w:rFonts w:ascii="Arial" w:cs="Arial" w:eastAsia="Arial" w:hAnsi="Arial"/>
                <w:sz w:val="18"/>
                <w:szCs w:val="18"/>
                <w:color w:val="auto"/>
                <w:w w:val="96"/>
              </w:rPr>
              <w:t>Libor (Minimum 6.50%)</w:t>
            </w:r>
          </w:p>
        </w:tc>
        <w:tc>
          <w:tcPr>
            <w:tcW w:w="2140" w:type="dxa"/>
            <w:vAlign w:val="bottom"/>
            <w:gridSpan w:val="2"/>
            <w:vMerge w:val="continue"/>
            <w:shd w:val="clear" w:color="auto" w:fill="EEEEEE"/>
          </w:tcPr>
          <w:p>
            <w:pPr>
              <w:spacing w:after="0"/>
              <w:rPr>
                <w:sz w:val="10"/>
                <w:szCs w:val="10"/>
                <w:color w:val="auto"/>
              </w:rPr>
            </w:pPr>
          </w:p>
        </w:tc>
        <w:tc>
          <w:tcPr>
            <w:tcW w:w="1340" w:type="dxa"/>
            <w:vAlign w:val="bottom"/>
            <w:vMerge w:val="continue"/>
            <w:shd w:val="clear" w:color="auto" w:fill="EEEEEE"/>
          </w:tcPr>
          <w:p>
            <w:pPr>
              <w:spacing w:after="0"/>
              <w:rPr>
                <w:sz w:val="10"/>
                <w:szCs w:val="10"/>
                <w:color w:val="auto"/>
              </w:rPr>
            </w:pPr>
          </w:p>
        </w:tc>
        <w:tc>
          <w:tcPr>
            <w:tcW w:w="880" w:type="dxa"/>
            <w:vAlign w:val="bottom"/>
            <w:gridSpan w:val="2"/>
            <w:vMerge w:val="continue"/>
            <w:shd w:val="clear" w:color="auto" w:fill="EEEEEE"/>
          </w:tcPr>
          <w:p>
            <w:pPr>
              <w:spacing w:after="0"/>
              <w:rPr>
                <w:sz w:val="10"/>
                <w:szCs w:val="10"/>
                <w:color w:val="auto"/>
              </w:rPr>
            </w:pPr>
          </w:p>
        </w:tc>
        <w:tc>
          <w:tcPr>
            <w:tcW w:w="460" w:type="dxa"/>
            <w:vAlign w:val="bottom"/>
            <w:gridSpan w:val="2"/>
            <w:vMerge w:val="continue"/>
            <w:shd w:val="clear" w:color="auto" w:fill="EEEEEE"/>
          </w:tcPr>
          <w:p>
            <w:pPr>
              <w:spacing w:after="0"/>
              <w:rPr>
                <w:sz w:val="10"/>
                <w:szCs w:val="10"/>
                <w:color w:val="auto"/>
              </w:rPr>
            </w:pPr>
          </w:p>
        </w:tc>
        <w:tc>
          <w:tcPr>
            <w:tcW w:w="1580" w:type="dxa"/>
            <w:vAlign w:val="bottom"/>
            <w:gridSpan w:val="2"/>
            <w:vMerge w:val="continue"/>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0"/>
              </w:rPr>
              <w:t>3.00% over one month</w:t>
            </w:r>
          </w:p>
        </w:tc>
        <w:tc>
          <w:tcPr>
            <w:tcW w:w="21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0"/>
              </w:rPr>
              <w:t>December 2022</w:t>
            </w:r>
          </w:p>
        </w:tc>
        <w:tc>
          <w:tcPr>
            <w:tcW w:w="1340" w:type="dxa"/>
            <w:vAlign w:val="bottom"/>
            <w:shd w:val="clear" w:color="auto" w:fill="EEEEEE"/>
          </w:tcPr>
          <w:p>
            <w:pPr>
              <w:spacing w:after="0"/>
              <w:rPr>
                <w:sz w:val="17"/>
                <w:szCs w:val="17"/>
                <w:color w:val="auto"/>
              </w:rPr>
            </w:pPr>
          </w:p>
        </w:tc>
        <w:tc>
          <w:tcPr>
            <w:tcW w:w="88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8"/>
                <w:szCs w:val="18"/>
                <w:color w:val="auto"/>
              </w:rPr>
              <w:t>44,956</w:t>
            </w: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58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45,689</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140" w:type="dxa"/>
            <w:vAlign w:val="bottom"/>
            <w:gridSpan w:val="2"/>
            <w:vMerge w:val="restart"/>
            <w:shd w:val="clear" w:color="auto" w:fill="EEEEEE"/>
          </w:tcPr>
          <w:p>
            <w:pPr>
              <w:jc w:val="center"/>
              <w:ind w:right="140"/>
              <w:spacing w:after="0"/>
              <w:rPr>
                <w:sz w:val="20"/>
                <w:szCs w:val="20"/>
                <w:color w:val="auto"/>
              </w:rPr>
            </w:pPr>
            <w:r>
              <w:rPr>
                <w:rFonts w:ascii="Arial" w:cs="Arial" w:eastAsia="Arial" w:hAnsi="Arial"/>
                <w:sz w:val="18"/>
                <w:szCs w:val="18"/>
                <w:color w:val="auto"/>
                <w:w w:val="96"/>
              </w:rPr>
              <w:t>Libor (Minimum 3.75%)</w:t>
            </w:r>
          </w:p>
        </w:tc>
        <w:tc>
          <w:tcPr>
            <w:tcW w:w="2140" w:type="dxa"/>
            <w:vAlign w:val="bottom"/>
            <w:gridSpan w:val="2"/>
            <w:vMerge w:val="continue"/>
            <w:shd w:val="clear" w:color="auto" w:fill="EEEEEE"/>
          </w:tcPr>
          <w:p>
            <w:pPr>
              <w:spacing w:after="0"/>
              <w:rPr>
                <w:sz w:val="10"/>
                <w:szCs w:val="10"/>
                <w:color w:val="auto"/>
              </w:rPr>
            </w:pPr>
          </w:p>
        </w:tc>
        <w:tc>
          <w:tcPr>
            <w:tcW w:w="1340" w:type="dxa"/>
            <w:vAlign w:val="bottom"/>
            <w:shd w:val="clear" w:color="auto" w:fill="EEEEEE"/>
          </w:tcPr>
          <w:p>
            <w:pPr>
              <w:spacing w:after="0"/>
              <w:rPr>
                <w:sz w:val="10"/>
                <w:szCs w:val="10"/>
                <w:color w:val="auto"/>
              </w:rPr>
            </w:pPr>
          </w:p>
        </w:tc>
        <w:tc>
          <w:tcPr>
            <w:tcW w:w="880" w:type="dxa"/>
            <w:vAlign w:val="bottom"/>
            <w:gridSpan w:val="2"/>
            <w:vMerge w:val="continue"/>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1580" w:type="dxa"/>
            <w:vAlign w:val="bottom"/>
            <w:gridSpan w:val="2"/>
            <w:vMerge w:val="continue"/>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4.00% over a commercial</w:t>
            </w:r>
          </w:p>
        </w:tc>
        <w:tc>
          <w:tcPr>
            <w:tcW w:w="1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1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2"/>
              </w:rPr>
              <w:t>paper rate (Minimum</w:t>
            </w:r>
          </w:p>
        </w:tc>
        <w:tc>
          <w:tcPr>
            <w:tcW w:w="2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December 2021</w:t>
            </w:r>
          </w:p>
        </w:tc>
        <w:tc>
          <w:tcPr>
            <w:tcW w:w="1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27,300</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32,265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2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EEEEEE"/>
          </w:tcPr>
          <w:p>
            <w:pPr>
              <w:spacing w:after="0"/>
              <w:rPr>
                <w:sz w:val="20"/>
                <w:szCs w:val="20"/>
                <w:color w:val="auto"/>
              </w:rPr>
            </w:pPr>
          </w:p>
        </w:tc>
        <w:tc>
          <w:tcPr>
            <w:tcW w:w="19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2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EEEEEE"/>
          </w:tcPr>
          <w:p>
            <w:pPr>
              <w:spacing w:after="0"/>
              <w:rPr>
                <w:sz w:val="18"/>
                <w:szCs w:val="18"/>
                <w:color w:val="auto"/>
              </w:rPr>
            </w:pPr>
          </w:p>
        </w:tc>
        <w:tc>
          <w:tcPr>
            <w:tcW w:w="2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2026</w:t>
            </w:r>
          </w:p>
        </w:tc>
        <w:tc>
          <w:tcPr>
            <w:tcW w:w="1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20,597</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25,576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vMerge w:val="restart"/>
            <w:shd w:val="clear" w:color="auto" w:fill="EEEEEE"/>
          </w:tcPr>
          <w:p>
            <w:pPr>
              <w:jc w:val="center"/>
              <w:ind w:right="140"/>
              <w:spacing w:after="0"/>
              <w:rPr>
                <w:sz w:val="20"/>
                <w:szCs w:val="20"/>
                <w:color w:val="auto"/>
              </w:rPr>
            </w:pPr>
            <w:r>
              <w:rPr>
                <w:rFonts w:ascii="Arial" w:cs="Arial" w:eastAsia="Arial" w:hAnsi="Arial"/>
                <w:sz w:val="18"/>
                <w:szCs w:val="18"/>
                <w:color w:val="auto"/>
                <w:w w:val="89"/>
              </w:rPr>
              <w:t>Weighted average rate of</w:t>
            </w:r>
          </w:p>
        </w:tc>
        <w:tc>
          <w:tcPr>
            <w:tcW w:w="21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7"/>
              </w:rPr>
              <w:t>Weighted average</w:t>
            </w:r>
          </w:p>
        </w:tc>
        <w:tc>
          <w:tcPr>
            <w:tcW w:w="13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3"/>
              </w:rPr>
              <w:t>maturity of March 2023</w:t>
            </w: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89"/>
              </w:rPr>
              <w:t>9.92% and 10.09% at</w:t>
            </w:r>
          </w:p>
        </w:tc>
        <w:tc>
          <w:tcPr>
            <w:tcW w:w="2140" w:type="dxa"/>
            <w:vAlign w:val="bottom"/>
            <w:gridSpan w:val="2"/>
            <w:vMerge w:val="continue"/>
            <w:shd w:val="clear" w:color="auto" w:fill="EEEEEE"/>
          </w:tcPr>
          <w:p>
            <w:pPr>
              <w:spacing w:after="0"/>
              <w:rPr>
                <w:sz w:val="9"/>
                <w:szCs w:val="9"/>
                <w:color w:val="auto"/>
              </w:rPr>
            </w:pP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87"/>
              </w:rPr>
              <w:t>and January 2023 at</w:t>
            </w: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14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1"/>
              </w:rPr>
              <w:t>March 31, 2021 and</w:t>
            </w:r>
          </w:p>
        </w:tc>
        <w:tc>
          <w:tcPr>
            <w:tcW w:w="2140" w:type="dxa"/>
            <w:vAlign w:val="bottom"/>
            <w:gridSpan w:val="2"/>
            <w:vMerge w:val="continue"/>
            <w:shd w:val="clear" w:color="auto" w:fill="EEEEEE"/>
          </w:tcPr>
          <w:p>
            <w:pPr>
              <w:spacing w:after="0"/>
              <w:rPr>
                <w:sz w:val="9"/>
                <w:szCs w:val="9"/>
                <w:color w:val="auto"/>
              </w:rPr>
            </w:pPr>
          </w:p>
        </w:tc>
        <w:tc>
          <w:tcPr>
            <w:tcW w:w="1340" w:type="dxa"/>
            <w:vAlign w:val="bottom"/>
            <w:shd w:val="clear" w:color="auto" w:fill="EEEEEE"/>
          </w:tcPr>
          <w:p>
            <w:pPr>
              <w:spacing w:after="0"/>
              <w:rPr>
                <w:sz w:val="9"/>
                <w:szCs w:val="9"/>
                <w:color w:val="auto"/>
              </w:rPr>
            </w:pPr>
          </w:p>
        </w:tc>
        <w:tc>
          <w:tcPr>
            <w:tcW w:w="88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8"/>
                <w:szCs w:val="18"/>
                <w:color w:val="auto"/>
              </w:rPr>
              <w:t>23,740</w:t>
            </w: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8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21,323</w:t>
            </w: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gridSpan w:val="2"/>
            <w:vMerge w:val="continue"/>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89"/>
              </w:rPr>
              <w:t>March 31, 2021 and</w:t>
            </w:r>
          </w:p>
        </w:tc>
        <w:tc>
          <w:tcPr>
            <w:tcW w:w="1340" w:type="dxa"/>
            <w:vAlign w:val="bottom"/>
            <w:shd w:val="clear" w:color="auto" w:fill="EEEEEE"/>
          </w:tcPr>
          <w:p>
            <w:pPr>
              <w:spacing w:after="0"/>
              <w:rPr>
                <w:sz w:val="9"/>
                <w:szCs w:val="9"/>
                <w:color w:val="auto"/>
              </w:rPr>
            </w:pPr>
          </w:p>
        </w:tc>
        <w:tc>
          <w:tcPr>
            <w:tcW w:w="880" w:type="dxa"/>
            <w:vAlign w:val="bottom"/>
            <w:gridSpan w:val="2"/>
            <w:vMerge w:val="continue"/>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80" w:type="dxa"/>
            <w:vAlign w:val="bottom"/>
            <w:gridSpan w:val="2"/>
            <w:vMerge w:val="continue"/>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89"/>
              </w:rPr>
              <w:t>December 31, 2020,</w:t>
            </w:r>
          </w:p>
        </w:tc>
        <w:tc>
          <w:tcPr>
            <w:tcW w:w="2140" w:type="dxa"/>
            <w:vAlign w:val="bottom"/>
            <w:gridSpan w:val="2"/>
            <w:vMerge w:val="continue"/>
            <w:shd w:val="clear" w:color="auto" w:fill="EEEEEE"/>
          </w:tcPr>
          <w:p>
            <w:pPr>
              <w:spacing w:after="0"/>
              <w:rPr>
                <w:sz w:val="9"/>
                <w:szCs w:val="9"/>
                <w:color w:val="auto"/>
              </w:rPr>
            </w:pP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89"/>
              </w:rPr>
              <w:t>December 31, 2020,</w:t>
            </w: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0"/>
              </w:rPr>
              <w:t>respectively</w:t>
            </w:r>
          </w:p>
        </w:tc>
        <w:tc>
          <w:tcPr>
            <w:tcW w:w="2140" w:type="dxa"/>
            <w:vAlign w:val="bottom"/>
            <w:gridSpan w:val="2"/>
            <w:vMerge w:val="continue"/>
            <w:shd w:val="clear" w:color="auto" w:fill="EEEEEE"/>
          </w:tcPr>
          <w:p>
            <w:pPr>
              <w:spacing w:after="0"/>
              <w:rPr>
                <w:sz w:val="9"/>
                <w:szCs w:val="9"/>
                <w:color w:val="auto"/>
              </w:rPr>
            </w:pPr>
          </w:p>
        </w:tc>
        <w:tc>
          <w:tcPr>
            <w:tcW w:w="134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5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140" w:type="dxa"/>
            <w:vAlign w:val="bottom"/>
            <w:gridSpan w:val="2"/>
            <w:vMerge w:val="continue"/>
            <w:shd w:val="clear" w:color="auto" w:fill="EEEEEE"/>
          </w:tcPr>
          <w:p>
            <w:pPr>
              <w:spacing w:after="0"/>
              <w:rPr>
                <w:sz w:val="10"/>
                <w:szCs w:val="10"/>
                <w:color w:val="auto"/>
              </w:rPr>
            </w:pPr>
          </w:p>
        </w:tc>
        <w:tc>
          <w:tcPr>
            <w:tcW w:w="21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2"/>
              </w:rPr>
              <w:t>respectively</w:t>
            </w:r>
          </w:p>
        </w:tc>
        <w:tc>
          <w:tcPr>
            <w:tcW w:w="134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140" w:type="dxa"/>
            <w:vAlign w:val="bottom"/>
            <w:gridSpan w:val="2"/>
            <w:vMerge w:val="continue"/>
            <w:shd w:val="clear" w:color="auto" w:fill="EEEEEE"/>
          </w:tcPr>
          <w:p>
            <w:pPr>
              <w:spacing w:after="0"/>
              <w:rPr>
                <w:sz w:val="10"/>
                <w:szCs w:val="10"/>
                <w:color w:val="auto"/>
              </w:rPr>
            </w:pPr>
          </w:p>
        </w:tc>
        <w:tc>
          <w:tcPr>
            <w:tcW w:w="1340" w:type="dxa"/>
            <w:vAlign w:val="bottom"/>
            <w:tcBorders>
              <w:bottom w:val="single" w:sz="8" w:color="auto"/>
            </w:tcBorders>
            <w:shd w:val="clear" w:color="auto" w:fill="EEEEEE"/>
          </w:tcPr>
          <w:p>
            <w:pPr>
              <w:spacing w:after="0"/>
              <w:rPr>
                <w:sz w:val="10"/>
                <w:szCs w:val="10"/>
                <w:color w:val="auto"/>
              </w:rPr>
            </w:pPr>
          </w:p>
        </w:tc>
        <w:tc>
          <w:tcPr>
            <w:tcW w:w="660" w:type="dxa"/>
            <w:vAlign w:val="bottom"/>
            <w:tcBorders>
              <w:bottom w:val="single" w:sz="8" w:color="auto"/>
            </w:tcBorders>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tcBorders>
              <w:bottom w:val="single" w:sz="8" w:color="auto"/>
            </w:tcBorders>
            <w:shd w:val="clear" w:color="auto" w:fill="EEEEEE"/>
          </w:tcPr>
          <w:p>
            <w:pPr>
              <w:spacing w:after="0"/>
              <w:rPr>
                <w:sz w:val="10"/>
                <w:szCs w:val="10"/>
                <w:color w:val="auto"/>
              </w:rPr>
            </w:pPr>
          </w:p>
        </w:tc>
        <w:tc>
          <w:tcPr>
            <w:tcW w:w="1560" w:type="dxa"/>
            <w:vAlign w:val="bottom"/>
            <w:tcBorders>
              <w:bottom w:val="single" w:sz="8" w:color="auto"/>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117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116,593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short-term funding capacity of $300 million, comprising three credit facilities. We repaid the outstanding balance for the facility first established in April 2015 at its maturity date in February 2021 and elected not to renew it. As of March 31, 2021, our short-term funding capacity is $200 million, comprising two credit facilities.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Unamortized debt issuance costs of $57,000 and $150,000 as of March 31, 2021 and December 31, 2020, respectively, have been excluded from the amount reported above for residual interest financing. Similarly, unamortized debt issuance costs of $1.2 million and $1.5 million as of March 31, 2021 and December 31, 2020,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ectPr>
          <w:pgSz w:w="11900" w:h="16838" w:orient="portrait"/>
          <w:cols w:equalWidth="0" w:num="1">
            <w:col w:w="11200"/>
          </w:cols>
          <w:pgMar w:left="320" w:top="796" w:right="3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to finance receivables measured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jc w:val="right"/>
              <w:ind w:right="10"/>
              <w:spacing w:after="0" w:line="195" w:lineRule="exact"/>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22,099</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43,988</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40,806</w:t>
            </w:r>
          </w:p>
        </w:tc>
        <w:tc>
          <w:tcPr>
            <w:tcW w:w="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(4,417)</w:t>
            </w:r>
          </w:p>
        </w:tc>
        <w:tc>
          <w:tcPr>
            <w:tcW w:w="5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(10,350)</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61,676</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68,786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p>
      <w:pPr>
        <w:sectPr>
          <w:pgSz w:w="11900" w:h="16838" w:orient="portrait"/>
          <w:cols w:equalWidth="0" w:num="2">
            <w:col w:w="6940" w:space="720"/>
            <w:col w:w="3540"/>
          </w:cols>
          <w:pgMar w:left="320" w:top="796" w:right="37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Subordinated renewable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jc w:val="right"/>
              <w:ind w:right="10"/>
              <w:spacing w:after="0" w:line="195" w:lineRule="exact"/>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6"/>
                <w:szCs w:val="16"/>
                <w:color w:val="auto"/>
              </w:rPr>
            </w:pPr>
          </w:p>
        </w:tc>
      </w:tr>
      <w:tr>
        <w:trPr>
          <w:trHeight w:val="216"/>
        </w:trPr>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18,453</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23,798</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1,314</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566</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613</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20,946</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26,991</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-736600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40"/>
          </w:cols>
          <w:pgMar w:left="320" w:top="796" w:right="37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per share for the three-month periods ended March 31, 2021 and 2020 were calculated using the weighted average number of shares outstanding for the related period. The following table reconciles the number of shares used in the computations of basic and diluted earnings per share for the three-month periods ended March 31, 2021 and 2020:</w:t>
      </w:r>
    </w:p>
    <w:p>
      <w:pPr>
        <w:spacing w:after="0" w:line="396"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Weighted average number of common shares outstanding during the period used to compute basic</w:t>
            </w:r>
          </w:p>
        </w:tc>
        <w:tc>
          <w:tcPr>
            <w:tcW w:w="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86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earnings per share</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22,741</w:t>
            </w: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22,539</w:t>
            </w:r>
          </w:p>
        </w:tc>
      </w:tr>
      <w:tr>
        <w:trPr>
          <w:trHeight w:val="216"/>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Incremental common shares attributable to exercise of outstanding options and warrants</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2,226</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1,340</w:t>
            </w:r>
          </w:p>
        </w:tc>
      </w:tr>
      <w:tr>
        <w:trPr>
          <w:trHeight w:val="209"/>
        </w:trPr>
        <w:tc>
          <w:tcPr>
            <w:tcW w:w="76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Weighted average number of common shares used to compute diluted earnings per share</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24,967</w:t>
            </w:r>
          </w:p>
        </w:tc>
        <w:tc>
          <w:tcPr>
            <w:tcW w:w="50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23,879</w:t>
            </w:r>
          </w:p>
        </w:tc>
      </w:tr>
      <w:tr>
        <w:trPr>
          <w:trHeight w:val="20"/>
        </w:trPr>
        <w:tc>
          <w:tcPr>
            <w:tcW w:w="76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three-months ended March 31, 2021 and 2020 would have included an additional 7.5 million and 12.9 million shares, respectively, attributable to the exercise of outstanding options and warrants.</w:t>
      </w:r>
    </w:p>
    <w:p>
      <w:pPr>
        <w:spacing w:after="0" w:line="18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of $8.8 million, which is reflected in income taxes for the three-month period ending March 31, 2020.</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and December 31, 2020,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$27.5 million as of March 31, 2021 is more likely than not based on forecasted future net earnings. Our net deferred tax asset of $27.5 million consists of approximately $16.2 million of net U.S. federal deferred tax assets and $11.3 million of net state deferred tax assets.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expense was $2.8 million for the three months ended March 31, 2021, representing an effective income tax rate of 35%. Income tax benefit was $7.7 million for the three months ended March 31, 2020, which includes net tax benefits of $8.8 million. Excluding the tax benefit, income tax expense would have been $1.1 million, representing an effective income tax rate of 36%.</w:t>
      </w:r>
    </w:p>
    <w:p>
      <w:pPr>
        <w:spacing w:after="0" w:line="184"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There can be no assurance as to the outcomes of the matters described or referenced above. We record at each measurement date,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2020,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March 31, 2021 is immaterial, and that the range of reasonably possible losses for the legal proceedings and contingencies we face, including those described or identified above, as of March 31, 2021 does not exceed $3 million.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Arial" w:cs="Arial" w:eastAsia="Arial" w:hAnsi="Arial"/>
          <w:sz w:val="18"/>
          <w:szCs w:val="18"/>
          <w:color w:val="323232"/>
        </w:rPr>
        <w:t>Significant changes in any of those inputs in isolation would have a significant effect on our fair value</w:t>
      </w:r>
      <w:r>
        <w:rPr>
          <w:rFonts w:ascii="Arial" w:cs="Arial" w:eastAsia="Arial" w:hAnsi="Arial"/>
          <w:sz w:val="18"/>
          <w:szCs w:val="18"/>
          <w:color w:val="auto"/>
        </w:rPr>
        <w:t xml:space="preserve"> </w:t>
      </w:r>
      <w:r>
        <w:rPr>
          <w:rFonts w:ascii="Arial" w:cs="Arial" w:eastAsia="Arial" w:hAnsi="Arial"/>
          <w:sz w:val="18"/>
          <w:szCs w:val="18"/>
          <w:color w:val="323232"/>
        </w:rPr>
        <w:t>measurement.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ended March 31, 2021, the Company evaluated of the appropriate fair value and future earnings rate of existing receivables compared to recently acquired receivables and our assessment of potential additional future net losses on the portfolio of finance receivables carried at fair value and recorded a mark down to that portfolio of $4.4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 reconciliation of the finance receivables measured at fair value on a recurring basis using significant unobservable inputs: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2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1,523,726</w:t>
            </w:r>
          </w:p>
        </w:tc>
        <w:tc>
          <w:tcPr>
            <w:tcW w:w="66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1,444,038</w:t>
            </w:r>
          </w:p>
        </w:tc>
        <w:tc>
          <w:tcPr>
            <w:tcW w:w="80" w:type="dxa"/>
            <w:vAlign w:val="bottom"/>
            <w:shd w:val="clear" w:color="auto" w:fill="EEEEEE"/>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205,459</w:t>
            </w:r>
          </w:p>
        </w:tc>
        <w:tc>
          <w:tcPr>
            <w:tcW w:w="6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265,282</w:t>
            </w: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1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(156,020)</w:t>
            </w:r>
          </w:p>
        </w:tc>
        <w:tc>
          <w:tcPr>
            <w:tcW w:w="66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(109,558)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(35,025)</w:t>
            </w:r>
          </w:p>
        </w:tc>
        <w:tc>
          <w:tcPr>
            <w:tcW w:w="6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(29,715)</w:t>
            </w:r>
          </w:p>
        </w:tc>
      </w:tr>
      <w:tr>
        <w:trPr>
          <w:trHeight w:val="230"/>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8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(4,417)</w:t>
            </w:r>
          </w:p>
        </w:tc>
        <w:tc>
          <w:tcPr>
            <w:tcW w:w="66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(10,350)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1,533,723</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1,559,697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 2021</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2020</w:t>
            </w:r>
          </w:p>
        </w:tc>
      </w:tr>
      <w:tr>
        <w:trPr>
          <w:trHeight w:val="205"/>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6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7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620" w:type="dxa"/>
            <w:vAlign w:val="bottom"/>
          </w:tcPr>
          <w:p>
            <w:pPr>
              <w:spacing w:after="0"/>
              <w:rPr>
                <w:sz w:val="20"/>
                <w:szCs w:val="20"/>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1,698,110</w:t>
            </w:r>
          </w:p>
        </w:tc>
        <w:tc>
          <w:tcPr>
            <w:tcW w:w="62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1,533,723</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1,668,076</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Pr>
          <w:p>
            <w:pPr>
              <w:spacing w:after="0"/>
              <w:rPr>
                <w:sz w:val="17"/>
                <w:szCs w:val="17"/>
                <w:color w:val="auto"/>
              </w:rPr>
            </w:pPr>
          </w:p>
        </w:tc>
        <w:tc>
          <w:tcPr>
            <w:tcW w:w="27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Fair Values as of</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ind w:left="9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6"/>
              </w:rPr>
              <w:t>March 31,</w:t>
            </w:r>
          </w:p>
        </w:tc>
        <w:tc>
          <w:tcPr>
            <w:tcW w:w="1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280"/>
              <w:spacing w:after="0" w:line="205" w:lineRule="exact"/>
              <w:rPr>
                <w:sz w:val="20"/>
                <w:szCs w:val="20"/>
                <w:color w:val="auto"/>
              </w:rPr>
            </w:pPr>
            <w:r>
              <w:rPr>
                <w:rFonts w:ascii="Arial" w:cs="Arial" w:eastAsia="Arial" w:hAnsi="Arial"/>
                <w:sz w:val="18"/>
                <w:szCs w:val="18"/>
                <w:b w:val="1"/>
                <w:bCs w:val="1"/>
                <w:color w:val="auto"/>
              </w:rPr>
              <w:t>March 31,</w:t>
            </w:r>
          </w:p>
        </w:tc>
        <w:tc>
          <w:tcPr>
            <w:tcW w:w="1220" w:type="dxa"/>
            <w:vAlign w:val="bottom"/>
          </w:tcPr>
          <w:p>
            <w:pPr>
              <w:ind w:left="8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8"/>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6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1,533,723  $</w:t>
            </w:r>
          </w:p>
        </w:tc>
        <w:tc>
          <w:tcPr>
            <w:tcW w:w="12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1,523,726</w:t>
            </w:r>
          </w:p>
        </w:tc>
        <w:tc>
          <w:tcPr>
            <w:tcW w:w="200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3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11.0% - 11.3%</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10.4% - 11.1%</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Cumulative net losses</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15.4% - 18.4%</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15.3% - 18.4%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March 31,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336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1,594,070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1,505,486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4320" w:type="dxa"/>
            <w:vAlign w:val="bottom"/>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58,534</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96,296</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20,114</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36,436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4320" w:type="dxa"/>
            <w:vAlign w:val="bottom"/>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5,378</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Repo</w:t>
            </w:r>
          </w:p>
        </w:tc>
        <w:tc>
          <w:tcPr>
            <w:tcW w:w="3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20,014</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1,698,110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1,668,076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2021 the finance receivables related to the repossessed vehicles in inventory totaled $10.3 million. We have applied a valuation adjustment, or loss allowance, of $6.8 million, which is based on a recovery rate of approximately 34%, resulting in an estimated fair value and carrying amount of $3.5 million. The fair value and carrying amount of the repossessed inventory at December 31, 2020 was $3.8 million after applying a valuation adjustment of $11.8 million.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financial assets and liabilities at March 31, 2021 and December 31, 2020,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2"/>
              </w:rPr>
              <w:t>As of March 31, 2021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10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9,197</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9,197</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159,404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159,404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159,404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337,612</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348,892</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348,892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3,744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71,097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71,097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71,097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4,740</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4,740</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1,791,583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1,813,370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1,813,370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23,740</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23,740</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23,740</w:t>
            </w:r>
          </w:p>
        </w:tc>
        <w:tc>
          <w:tcPr>
            <w:tcW w:w="0" w:type="dxa"/>
            <w:vAlign w:val="bottom"/>
          </w:tcPr>
          <w:p>
            <w:pPr>
              <w:spacing w:after="0"/>
              <w:rPr>
                <w:sz w:val="1"/>
                <w:szCs w:val="1"/>
                <w:color w:val="auto"/>
              </w:rPr>
            </w:pPr>
          </w:p>
        </w:tc>
      </w:tr>
      <w:tr>
        <w:trPr>
          <w:trHeight w:val="688"/>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As of December 31, 2020</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10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13,466</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13,466</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130,686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130,686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411,343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429,972</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429,972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118,999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118,999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4,919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1,803,673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1,862,630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1,862,630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21,323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March 31, 2021, we have originated a total of approximately $17.2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4"/>
          </w:tcPr>
          <w:p>
            <w:pPr>
              <w:ind w:left="12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Contracts</w:t>
            </w:r>
          </w:p>
        </w:tc>
        <w:tc>
          <w:tcPr>
            <w:tcW w:w="1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w:t>
            </w:r>
          </w:p>
        </w:tc>
        <w:tc>
          <w:tcPr>
            <w:tcW w:w="100" w:type="dxa"/>
            <w:vAlign w:val="bottom"/>
          </w:tcPr>
          <w:p>
            <w:pPr>
              <w:spacing w:after="0"/>
              <w:rPr>
                <w:sz w:val="16"/>
                <w:szCs w:val="16"/>
                <w:color w:val="auto"/>
              </w:rPr>
            </w:pPr>
          </w:p>
        </w:tc>
      </w:tr>
      <w:tr>
        <w:trPr>
          <w:trHeight w:val="234"/>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in Period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29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0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1,088,785</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2,308,070</w:t>
            </w:r>
          </w:p>
        </w:tc>
        <w:tc>
          <w:tcPr>
            <w:tcW w:w="100" w:type="dxa"/>
            <w:vAlign w:val="bottom"/>
          </w:tcPr>
          <w:p>
            <w:pPr>
              <w:spacing w:after="0"/>
              <w:rPr>
                <w:sz w:val="18"/>
                <w:szCs w:val="18"/>
                <w:color w:val="auto"/>
              </w:rPr>
            </w:pPr>
          </w:p>
        </w:tc>
      </w:tr>
      <w:tr>
        <w:trPr>
          <w:trHeight w:val="216"/>
        </w:trPr>
        <w:tc>
          <w:tcPr>
            <w:tcW w:w="29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1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859,069</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2,333,530</w:t>
            </w:r>
          </w:p>
        </w:tc>
        <w:tc>
          <w:tcPr>
            <w:tcW w:w="100" w:type="dxa"/>
            <w:vAlign w:val="bottom"/>
            <w:shd w:val="clear" w:color="auto" w:fill="EEEEEE"/>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902,416</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2,380,847</w:t>
            </w:r>
          </w:p>
        </w:tc>
        <w:tc>
          <w:tcPr>
            <w:tcW w:w="100" w:type="dxa"/>
            <w:vAlign w:val="bottom"/>
          </w:tcPr>
          <w:p>
            <w:pPr>
              <w:spacing w:after="0"/>
              <w:rPr>
                <w:sz w:val="18"/>
                <w:szCs w:val="18"/>
                <w:color w:val="auto"/>
              </w:rPr>
            </w:pPr>
          </w:p>
        </w:tc>
      </w:tr>
      <w:tr>
        <w:trPr>
          <w:trHeight w:val="216"/>
        </w:trPr>
        <w:tc>
          <w:tcPr>
            <w:tcW w:w="29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1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1,002,782</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2,416,042</w:t>
            </w:r>
          </w:p>
        </w:tc>
        <w:tc>
          <w:tcPr>
            <w:tcW w:w="100" w:type="dxa"/>
            <w:vAlign w:val="bottom"/>
            <w:shd w:val="clear" w:color="auto" w:fill="EEEEEE"/>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333333"/>
                <w:w w:val="89"/>
              </w:rPr>
              <w:t>2020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742,584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2,174,972</w:t>
            </w:r>
          </w:p>
        </w:tc>
        <w:tc>
          <w:tcPr>
            <w:tcW w:w="100" w:type="dxa"/>
            <w:vAlign w:val="bottom"/>
          </w:tcPr>
          <w:p>
            <w:pPr>
              <w:spacing w:after="0"/>
              <w:rPr>
                <w:sz w:val="18"/>
                <w:szCs w:val="18"/>
                <w:color w:val="auto"/>
              </w:rPr>
            </w:pPr>
          </w:p>
        </w:tc>
      </w:tr>
      <w:tr>
        <w:trPr>
          <w:trHeight w:val="216"/>
        </w:trPr>
        <w:tc>
          <w:tcPr>
            <w:tcW w:w="2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Three months ended March 31, 2021</w:t>
            </w:r>
          </w:p>
        </w:tc>
        <w:tc>
          <w:tcPr>
            <w:tcW w:w="1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205,482</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2,119,073</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April 2020, due to the onset of the pandemic, we have seen a decrease in the monthly volumes of our contract purchases when compared to the first quarter of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 as we did during the year ended December 31, 2020 because of the uncertainty related to the pandemic.</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1994 we have conducted 88 term securitizations of automobile contracts that we originated. As of March 31, 2021, 21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and 2020, we closed only three term securitization transactions in each calendar year rather than four.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33"/>
        </w:trPr>
        <w:tc>
          <w:tcPr>
            <w:tcW w:w="512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Recent Asset-Backed Term Securitizations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5"/>
          </w:tcPr>
          <w:p>
            <w:pPr>
              <w:ind w:left="13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Receivables Pledged</w:t>
            </w: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 Term</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 Term</w:t>
            </w:r>
          </w:p>
        </w:tc>
      </w:tr>
      <w:tr>
        <w:trPr>
          <w:trHeight w:val="234"/>
        </w:trPr>
        <w:tc>
          <w:tcPr>
            <w:tcW w:w="2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rPr>
              <w:t>Securitizations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7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18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180" w:type="dxa"/>
            <w:vAlign w:val="bottom"/>
          </w:tcPr>
          <w:p>
            <w:pPr>
              <w:spacing w:after="0"/>
              <w:rPr>
                <w:sz w:val="18"/>
                <w:szCs w:val="18"/>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1,214,997</w:t>
            </w:r>
          </w:p>
        </w:tc>
        <w:tc>
          <w:tcPr>
            <w:tcW w:w="100" w:type="dxa"/>
            <w:vAlign w:val="bottom"/>
          </w:tcPr>
          <w:p>
            <w:pPr>
              <w:spacing w:after="0"/>
              <w:rPr>
                <w:sz w:val="18"/>
                <w:szCs w:val="18"/>
                <w:color w:val="auto"/>
              </w:rPr>
            </w:pPr>
          </w:p>
        </w:tc>
      </w:tr>
      <w:tr>
        <w:trPr>
          <w:trHeight w:val="216"/>
        </w:trPr>
        <w:tc>
          <w:tcPr>
            <w:tcW w:w="27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18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100" w:type="dxa"/>
            <w:vAlign w:val="bottom"/>
            <w:shd w:val="clear" w:color="auto" w:fill="EEEEEE"/>
          </w:tcPr>
          <w:p>
            <w:pPr>
              <w:spacing w:after="0"/>
              <w:rPr>
                <w:sz w:val="18"/>
                <w:szCs w:val="18"/>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180" w:type="dxa"/>
            <w:vAlign w:val="bottom"/>
          </w:tcPr>
          <w:p>
            <w:pPr>
              <w:spacing w:after="0"/>
              <w:rPr>
                <w:sz w:val="18"/>
                <w:szCs w:val="18"/>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883,452</w:t>
            </w:r>
          </w:p>
        </w:tc>
        <w:tc>
          <w:tcPr>
            <w:tcW w:w="100" w:type="dxa"/>
            <w:vAlign w:val="bottom"/>
          </w:tcPr>
          <w:p>
            <w:pPr>
              <w:spacing w:after="0"/>
              <w:rPr>
                <w:sz w:val="18"/>
                <w:szCs w:val="18"/>
                <w:color w:val="auto"/>
              </w:rPr>
            </w:pPr>
          </w:p>
        </w:tc>
      </w:tr>
      <w:tr>
        <w:trPr>
          <w:trHeight w:val="216"/>
        </w:trPr>
        <w:tc>
          <w:tcPr>
            <w:tcW w:w="27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18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1,014,124</w:t>
            </w:r>
          </w:p>
        </w:tc>
        <w:tc>
          <w:tcPr>
            <w:tcW w:w="100" w:type="dxa"/>
            <w:vAlign w:val="bottom"/>
            <w:shd w:val="clear" w:color="auto" w:fill="EEEEEE"/>
          </w:tcPr>
          <w:p>
            <w:pPr>
              <w:spacing w:after="0"/>
              <w:rPr>
                <w:sz w:val="18"/>
                <w:szCs w:val="18"/>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333333"/>
                <w:w w:val="89"/>
              </w:rPr>
              <w:t>2020</w:t>
            </w:r>
          </w:p>
        </w:tc>
        <w:tc>
          <w:tcPr>
            <w:tcW w:w="180" w:type="dxa"/>
            <w:vAlign w:val="bottom"/>
          </w:tcPr>
          <w:p>
            <w:pPr>
              <w:spacing w:after="0"/>
              <w:rPr>
                <w:sz w:val="18"/>
                <w:szCs w:val="18"/>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741,867</w:t>
            </w: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9"/>
              </w:rPr>
              <w:t>Three months ended March 31, 2021</w:t>
            </w:r>
          </w:p>
        </w:tc>
        <w:tc>
          <w:tcPr>
            <w:tcW w:w="170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We previously had short-term funding capacity of $300 million, comprising three credit facilities. The first $100 million credit facility was established in May 2012. This facility was most recently renewed in December 2020, extending the revolving period to December 2022, with an optional amortization period through December 2023. In November 2015, we entered into another $100 million facility. This facility was renewed in November 2017 and again in December 2019, extending the revolving period to December 2021, followed by an amortization period to December 2023. In April 2015, we entered into a $100 million facility that was renewed in April 2017 and again in February 2019. We repaid the outstanding balance for this facility at its maturity date in February 2021 and elected not to renew it. We currently have short-term funding capacity of $200 million.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2021,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2021 with the three months ended March 31, 2020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March 31, 2021, our revenues were $63.1 million, a decrease of $7.7 million, or 10.8%,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$70.8 million. The primary reason for the decrease in revenues is a decrease in interest income. Interest income for the three months ended March 31, 2021 decreased $13.0 million, or 16.5%, to $66.1 million from $79.1 million in the prior year. The primary reason for the decrease in interest income is the continued runoff of our legacy portfolio of finance receivables originated prior to January 2018, the average balance of which decreased by 46.6% from the prior period. The decrease in interest from that legacy portion of our portfolio was partially offset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three months ended March 31, 2021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 Earning Assets</w:t>
            </w:r>
          </w:p>
        </w:tc>
        <w:tc>
          <w:tcPr>
            <w:tcW w:w="9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3"/>
            <w:shd w:val="clear" w:color="auto" w:fill="EEEEEE"/>
          </w:tcPr>
          <w:p>
            <w:pPr>
              <w:spacing w:after="0" w:line="142" w:lineRule="exact"/>
              <w:rPr>
                <w:sz w:val="20"/>
                <w:szCs w:val="20"/>
                <w:color w:val="auto"/>
              </w:rPr>
            </w:pPr>
            <w:r>
              <w:rPr>
                <w:rFonts w:ascii="Arial" w:cs="Arial" w:eastAsia="Arial" w:hAnsi="Arial"/>
                <w:sz w:val="14"/>
                <w:szCs w:val="14"/>
                <w:color w:val="auto"/>
              </w:rPr>
              <w:t>Finance receivables</w:t>
            </w: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EEEEEE"/>
          </w:tcPr>
          <w:p>
            <w:pPr>
              <w:jc w:val="right"/>
              <w:ind w:right="260"/>
              <w:spacing w:after="0" w:line="142" w:lineRule="exact"/>
              <w:rPr>
                <w:sz w:val="20"/>
                <w:szCs w:val="20"/>
                <w:color w:val="auto"/>
              </w:rPr>
            </w:pPr>
            <w:r>
              <w:rPr>
                <w:rFonts w:ascii="Arial" w:cs="Arial" w:eastAsia="Arial" w:hAnsi="Arial"/>
                <w:sz w:val="14"/>
                <w:szCs w:val="14"/>
                <w:color w:val="auto"/>
              </w:rPr>
              <w:t>451,425</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22,105</w:t>
            </w: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19.6%</w:t>
            </w:r>
          </w:p>
        </w:tc>
        <w:tc>
          <w:tcPr>
            <w:tcW w:w="180" w:type="dxa"/>
            <w:vAlign w:val="bottom"/>
            <w:shd w:val="clear" w:color="auto" w:fill="EEEEEE"/>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845,727</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ind w:left="520"/>
              <w:spacing w:after="0" w:line="142" w:lineRule="exact"/>
              <w:rPr>
                <w:sz w:val="20"/>
                <w:szCs w:val="20"/>
                <w:color w:val="auto"/>
              </w:rPr>
            </w:pPr>
            <w:r>
              <w:rPr>
                <w:rFonts w:ascii="Arial" w:cs="Arial" w:eastAsia="Arial" w:hAnsi="Arial"/>
                <w:sz w:val="14"/>
                <w:szCs w:val="14"/>
                <w:color w:val="auto"/>
              </w:rPr>
              <w:t>38,330</w:t>
            </w:r>
          </w:p>
        </w:tc>
        <w:tc>
          <w:tcPr>
            <w:tcW w:w="12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3280" w:type="dxa"/>
            <w:vAlign w:val="bottom"/>
            <w:gridSpan w:val="3"/>
          </w:tcPr>
          <w:p>
            <w:pPr>
              <w:spacing w:after="0"/>
              <w:rPr>
                <w:sz w:val="20"/>
                <w:szCs w:val="20"/>
                <w:color w:val="auto"/>
              </w:rPr>
            </w:pPr>
            <w:r>
              <w:rPr>
                <w:rFonts w:ascii="Arial" w:cs="Arial" w:eastAsia="Arial" w:hAnsi="Arial"/>
                <w:sz w:val="14"/>
                <w:szCs w:val="14"/>
                <w:color w:val="auto"/>
              </w:rPr>
              <w:t>Finance receivables measured at fair value</w:t>
            </w: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1,687,232</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43,988</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1,580,468</w:t>
            </w:r>
          </w:p>
        </w:tc>
        <w:tc>
          <w:tcPr>
            <w:tcW w:w="20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Arial" w:cs="Arial" w:eastAsia="Arial" w:hAnsi="Arial"/>
                <w:sz w:val="14"/>
                <w:szCs w:val="14"/>
                <w:color w:val="auto"/>
              </w:rPr>
              <w:t>40,806</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3280" w:type="dxa"/>
            <w:vAlign w:val="bottom"/>
            <w:tcBorders>
              <w:top w:val="single" w:sz="8" w:color="EEEEEE"/>
              <w:bottom w:val="single" w:sz="8" w:color="EEEEEE"/>
            </w:tcBorders>
            <w:gridSpan w:val="3"/>
            <w:shd w:val="clear" w:color="auto" w:fill="EEEEEE"/>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2,138,657</w:t>
            </w:r>
          </w:p>
        </w:tc>
        <w:tc>
          <w:tcPr>
            <w:tcW w:w="26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66,093</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12.4%</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2,426,195</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ind w:left="520"/>
              <w:spacing w:after="0" w:line="155" w:lineRule="exact"/>
              <w:rPr>
                <w:sz w:val="20"/>
                <w:szCs w:val="20"/>
                <w:color w:val="auto"/>
              </w:rPr>
            </w:pPr>
            <w:r>
              <w:rPr>
                <w:rFonts w:ascii="Arial" w:cs="Arial" w:eastAsia="Arial" w:hAnsi="Arial"/>
                <w:sz w:val="14"/>
                <w:szCs w:val="14"/>
                <w:color w:val="auto"/>
                <w:w w:val="83"/>
              </w:rPr>
              <w:t>79,136</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13.0%</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Revenues for the three months ended March 31, 2021 and 2020 are net of mark downs of $4.4 million and $10.4 million, respectively, to the recorded value of the finance receivables measured at fair value. The mark downs are estimates based on our evaluation of the appropriate fair value and future earnings rate of existing receivables compared to recently acquired receivables and our assessment of potential additional future net losses arising from the pandemic.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three months ended March 31, 2021, other income of $1.4 million decreased by $545,000, or 27.5% compared to the prior year. The three-month period ended March 31, 2021 includes a decrease of $204,000 in revenues associated with direct mail and other related products and services that we offer to our dealers and a decrease of $290,000 in payments from third-party providers of convenience fees paid by our customers for web based and other electronic payments.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operating expenses were $55.2 million for the three months ended March 31, 2021, compared to $67.7 million for the prior period, a decrease of $12.5 million, or 18.5%. The decrease is primarily due to decreases in interest expense, provisions for credit losses and employee costs.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Employee costs decreased by $1.7 million or 7.7%, to $20.2 million during the three months ended March 31, 2021, representing 36.5% of total operating expenses, from $21.8 million for the prior year, or 32.3% of total operating expenses. The table below summarizes our employees by category as well as contract purchases and units in our managed portfolio as of, and for the three-month periods ended, March 31, 2021 and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March 31, 2021</w:t>
            </w:r>
          </w:p>
        </w:tc>
        <w:tc>
          <w:tcPr>
            <w:tcW w:w="140" w:type="dxa"/>
            <w:vAlign w:val="bottom"/>
          </w:tcPr>
          <w:p>
            <w:pPr>
              <w:spacing w:after="0"/>
              <w:rPr>
                <w:sz w:val="19"/>
                <w:szCs w:val="19"/>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March 31, 2020</w:t>
            </w:r>
          </w:p>
        </w:tc>
      </w:tr>
      <w:tr>
        <w:trPr>
          <w:trHeight w:val="234"/>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266.0</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10,736</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14,747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2,119.1</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2,435.1</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158,933</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179,253</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During the second quarter of 2020, we laid off 114 staff members due to the decrease in our business caused by the pandemic. Since then, we have experienced further staff reductions due in part to the fact that our contract purchases have not returned to pre-pandemic levels. If our contract purchase volumes remain at current levels, we expect somewhat lower employee costs in future periods.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$7.7 million, a decrease from $8.7 million in the previous year and represented 14.0% of total operating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March 31, 2021 were $20.9 million and represented 38.0% of total operating expenses, compared to $27.0 million in the previous year, when it was 39.9% of total operating expenses.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securitization trust debt decreased by $5.3 million for the three months ended March 31, 2021 compared to the prior period. The average balance of securitization trust debt decreased to $1,876.8 million for the three months ended March 31, 2021 compared to $2,186.8 million for the three months ended March 31, 2020. The blended interest rates on new term securitizations have generally increased in 2017 and 2018 before declining from 2019 to 2021.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p>
      <w:pPr>
        <w:spacing w:after="0" w:line="207"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4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Funds</w:t>
            </w:r>
          </w:p>
        </w:tc>
      </w:tr>
      <w:tr>
        <w:trPr>
          <w:trHeight w:val="210"/>
        </w:trPr>
        <w:tc>
          <w:tcPr>
            <w:tcW w:w="39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2017</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2018</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2018</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2019</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2019</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2019</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2019</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2020</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41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September 2020</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30"/>
        </w:trPr>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January 2021</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annualized average rate on our securitization trust debt was 3.9% for the three months ended March 31, 2021 compared to 4.4% in the prior year period. The annualized average rate is influenced by the manner in which the underlying securitization trust bonds are repaid. The rate tends to increase over time on each securitization since the structures of our securitization trusts generally provide for sequential repayment of the shorter term, lower interest rate bonds before the longer term, higher interest rate bonds.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Interest expense on subordinated renewable notes increased by $119,000. The average balance of the outstanding subordinated debt increased 22.9% to $22.2 million for the three months ended March 31, 2021 compared to $18.1 million for the three months ended March 31, 2020. The average yield of subordinated notes increased to 11.0% in the three-month period ended March 31, 2021 compared to 10.9% in the prior period.</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expense on warehouse debt decreased by $448,000 to $1.3 million for the three months ended March 31, 2021 compared to $1.8 million in the prior year period. The average rate on the debt increased to 10.4% for the first quarter of 2021 compared to 9.7% for the same quarter in 2020.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Interest expense on this residual interest financing was $566,000 for the three months ended March 31, 2021 compared to $938,000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91"/>
              </w:rPr>
              <w:t>Three Months Ended March 31,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right"/>
              <w:ind w:right="8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32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8"/>
              </w:rPr>
              <w:t>Interest Earning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Interest</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Yield/Rate</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451,425</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22,105</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845,727</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38,330</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540" w:type="dxa"/>
            <w:vAlign w:val="bottom"/>
            <w:gridSpan w:val="5"/>
          </w:tcPr>
          <w:p>
            <w:pPr>
              <w:spacing w:after="0"/>
              <w:rPr>
                <w:sz w:val="20"/>
                <w:szCs w:val="20"/>
                <w:color w:val="auto"/>
              </w:rPr>
            </w:pPr>
            <w:r>
              <w:rPr>
                <w:rFonts w:ascii="Arial" w:cs="Arial" w:eastAsia="Arial" w:hAnsi="Arial"/>
                <w:sz w:val="18"/>
                <w:szCs w:val="18"/>
                <w:color w:val="auto"/>
                <w:w w:val="97"/>
              </w:rPr>
              <w:t>Finance receivables at fair 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1,687,232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43,988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1,580,468</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40,806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2,138,657</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66,093</w:t>
            </w:r>
          </w:p>
        </w:tc>
        <w:tc>
          <w:tcPr>
            <w:tcW w:w="36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2,426,195</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79,136</w:t>
            </w:r>
          </w:p>
        </w:tc>
        <w:tc>
          <w:tcPr>
            <w:tcW w:w="3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40" w:type="dxa"/>
            <w:vAlign w:val="bottom"/>
            <w:gridSpan w:val="5"/>
            <w:shd w:val="clear" w:color="auto" w:fill="EEEEEE"/>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180"/>
              <w:spacing w:after="0" w:line="176" w:lineRule="exact"/>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9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50,322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1,314</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72,684</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22,011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566</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38,895</w:t>
            </w: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938</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1,876,807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18,453</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2,186,833</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23,798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22,180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612</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18,053</w:t>
            </w:r>
          </w:p>
        </w:tc>
        <w:tc>
          <w:tcPr>
            <w:tcW w:w="1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493</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1,971,320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20,945</w:t>
            </w:r>
          </w:p>
        </w:tc>
        <w:tc>
          <w:tcPr>
            <w:tcW w:w="360" w:type="dxa"/>
            <w:vAlign w:val="bottom"/>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2,316,465</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26,991</w:t>
            </w:r>
          </w:p>
        </w:tc>
        <w:tc>
          <w:tcPr>
            <w:tcW w:w="3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FFFFFF"/>
              </w:rPr>
              <w:t>$</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auto"/>
            </w:tcBorders>
            <w:shd w:val="clear" w:color="auto" w:fill="EEEEEE"/>
          </w:tcPr>
          <w:p>
            <w:pPr>
              <w:spacing w:after="0"/>
              <w:rPr>
                <w:sz w:val="18"/>
                <w:szCs w:val="18"/>
                <w:color w:val="auto"/>
              </w:rPr>
            </w:pPr>
          </w:p>
        </w:tc>
        <w:tc>
          <w:tcPr>
            <w:tcW w:w="94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20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45,148</w:t>
            </w:r>
          </w:p>
        </w:tc>
        <w:tc>
          <w:tcPr>
            <w:tcW w:w="36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52,145</w:t>
            </w:r>
          </w:p>
        </w:tc>
        <w:tc>
          <w:tcPr>
            <w:tcW w:w="32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54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180"/>
              <w:spacing w:after="0" w:line="196" w:lineRule="exact"/>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340"/>
              <w:spacing w:after="0" w:line="196" w:lineRule="exact"/>
              <w:rPr>
                <w:sz w:val="20"/>
                <w:szCs w:val="20"/>
                <w:color w:val="auto"/>
              </w:rPr>
            </w:pPr>
            <w:r>
              <w:rPr>
                <w:rFonts w:ascii="Arial" w:cs="Arial" w:eastAsia="Arial" w:hAnsi="Arial"/>
                <w:sz w:val="18"/>
                <w:szCs w:val="18"/>
                <w:color w:val="auto"/>
              </w:rPr>
              <w:t>8.2%</w:t>
            </w: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4"/>
        </w:trPr>
        <w:tc>
          <w:tcPr>
            <w:tcW w:w="2280" w:type="dxa"/>
            <w:vAlign w:val="bottom"/>
            <w:gridSpan w:val="4"/>
          </w:tcPr>
          <w:p>
            <w:pPr>
              <w:spacing w:after="0"/>
              <w:rPr>
                <w:sz w:val="20"/>
                <w:szCs w:val="20"/>
                <w:color w:val="auto"/>
              </w:rPr>
            </w:pPr>
            <w:r>
              <w:rPr>
                <w:rFonts w:ascii="Arial" w:cs="Arial" w:eastAsia="Arial" w:hAnsi="Arial"/>
                <w:sz w:val="22"/>
                <w:szCs w:val="22"/>
                <w:color w:val="auto"/>
                <w:w w:val="87"/>
              </w:rPr>
              <w:t>_____________________</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9"/>
          </w:tcPr>
          <w:p>
            <w:pPr>
              <w:jc w:val="right"/>
              <w:ind w:right="1140"/>
              <w:spacing w:after="0"/>
              <w:rPr>
                <w:sz w:val="20"/>
                <w:szCs w:val="20"/>
                <w:color w:val="auto"/>
              </w:rPr>
            </w:pPr>
            <w:r>
              <w:rPr>
                <w:rFonts w:ascii="Arial" w:cs="Arial" w:eastAsia="Arial" w:hAnsi="Arial"/>
                <w:sz w:val="18"/>
                <w:szCs w:val="18"/>
                <w:b w:val="1"/>
                <w:bCs w:val="1"/>
                <w:color w:val="auto"/>
              </w:rPr>
              <w:t>Three Months Ended March 31, 2021</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Compared to March 31, 2020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761"/>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380" w:type="dxa"/>
            <w:vAlign w:val="bottom"/>
            <w:gridSpan w:val="2"/>
          </w:tcPr>
          <w:p>
            <w:pPr>
              <w:jc w:val="right"/>
              <w:ind w:right="301"/>
              <w:spacing w:after="0" w:line="205" w:lineRule="exact"/>
              <w:rPr>
                <w:sz w:val="20"/>
                <w:szCs w:val="20"/>
                <w:color w:val="auto"/>
              </w:rPr>
            </w:pPr>
            <w:r>
              <w:rPr>
                <w:rFonts w:ascii="Arial" w:cs="Arial" w:eastAsia="Arial" w:hAnsi="Arial"/>
                <w:sz w:val="18"/>
                <w:szCs w:val="18"/>
                <w:b w:val="1"/>
                <w:bCs w:val="1"/>
                <w:color w:val="auto"/>
                <w:w w:val="93"/>
              </w:rPr>
              <w:t>Change Due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1"/>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3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 Volume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Interest Earning Assets</w:t>
            </w:r>
          </w:p>
        </w:tc>
        <w:tc>
          <w:tcPr>
            <w:tcW w:w="2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vMerge w:val="restart"/>
          </w:tcPr>
          <w:p>
            <w:pPr>
              <w:jc w:val="right"/>
              <w:ind w:right="281"/>
              <w:spacing w:after="0"/>
              <w:rPr>
                <w:sz w:val="20"/>
                <w:szCs w:val="20"/>
                <w:color w:val="auto"/>
              </w:rPr>
            </w:pPr>
            <w:r>
              <w:rPr>
                <w:rFonts w:ascii="Arial" w:cs="Arial" w:eastAsia="Arial" w:hAnsi="Arial"/>
                <w:sz w:val="18"/>
                <w:szCs w:val="18"/>
                <w:color w:val="FFFFFF"/>
              </w:rPr>
              <w:t>$</w:t>
            </w:r>
          </w:p>
        </w:tc>
        <w:tc>
          <w:tcPr>
            <w:tcW w:w="1520" w:type="dxa"/>
            <w:vAlign w:val="bottom"/>
            <w:tcBorders>
              <w:top w:val="single" w:sz="8" w:color="auto"/>
            </w:tcBorders>
            <w:gridSpan w:val="3"/>
          </w:tcPr>
          <w:p>
            <w:pPr>
              <w:jc w:val="right"/>
              <w:ind w:right="241"/>
              <w:spacing w:after="0"/>
              <w:rPr>
                <w:sz w:val="20"/>
                <w:szCs w:val="20"/>
                <w:color w:val="auto"/>
              </w:rPr>
            </w:pPr>
            <w:r>
              <w:rPr>
                <w:rFonts w:ascii="Arial" w:cs="Arial" w:eastAsia="Arial" w:hAnsi="Arial"/>
                <w:sz w:val="18"/>
                <w:szCs w:val="18"/>
                <w:b w:val="1"/>
                <w:bCs w:val="1"/>
                <w:color w:val="auto"/>
                <w:w w:val="95"/>
              </w:rPr>
              <w:t>(In thousands)</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5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(16,225)</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(17,918)</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30"/>
        </w:trPr>
        <w:tc>
          <w:tcPr>
            <w:tcW w:w="4140" w:type="dxa"/>
            <w:vAlign w:val="bottom"/>
            <w:gridSpan w:val="4"/>
          </w:tcPr>
          <w:p>
            <w:pPr>
              <w:spacing w:after="0"/>
              <w:rPr>
                <w:sz w:val="20"/>
                <w:szCs w:val="20"/>
                <w:color w:val="auto"/>
              </w:rPr>
            </w:pPr>
            <w:r>
              <w:rPr>
                <w:rFonts w:ascii="Arial" w:cs="Arial" w:eastAsia="Arial" w:hAnsi="Arial"/>
                <w:sz w:val="18"/>
                <w:szCs w:val="18"/>
                <w:color w:val="auto"/>
              </w:rPr>
              <w:t>Finance receivables at fair value</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81"/>
              <w:spacing w:after="0"/>
              <w:rPr>
                <w:sz w:val="20"/>
                <w:szCs w:val="20"/>
                <w:color w:val="auto"/>
              </w:rPr>
            </w:pPr>
            <w:r>
              <w:rPr>
                <w:rFonts w:ascii="Arial" w:cs="Arial" w:eastAsia="Arial" w:hAnsi="Arial"/>
                <w:sz w:val="18"/>
                <w:szCs w:val="18"/>
                <w:color w:val="auto"/>
              </w:rPr>
              <w:t>3,182</w:t>
            </w:r>
          </w:p>
        </w:tc>
        <w:tc>
          <w:tcPr>
            <w:tcW w:w="14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2,760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9"/>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(13,043)</w:t>
            </w:r>
          </w:p>
        </w:tc>
        <w:tc>
          <w:tcPr>
            <w:tcW w:w="3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0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81"/>
              <w:spacing w:after="0" w:line="176" w:lineRule="exact"/>
              <w:rPr>
                <w:sz w:val="20"/>
                <w:szCs w:val="20"/>
                <w:color w:val="auto"/>
              </w:rPr>
            </w:pPr>
            <w:r>
              <w:rPr>
                <w:rFonts w:ascii="Arial" w:cs="Arial" w:eastAsia="Arial" w:hAnsi="Arial"/>
                <w:sz w:val="18"/>
                <w:szCs w:val="18"/>
                <w:color w:val="FFFFFF"/>
              </w:rPr>
              <w: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Residual interest financing</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1"/>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29"/>
        </w:trPr>
        <w:tc>
          <w:tcPr>
            <w:tcW w:w="4140" w:type="dxa"/>
            <w:vAlign w:val="bottom"/>
            <w:gridSpan w:val="4"/>
          </w:tcPr>
          <w:p>
            <w:pPr>
              <w:spacing w:after="0"/>
              <w:rPr>
                <w:sz w:val="20"/>
                <w:szCs w:val="20"/>
                <w:color w:val="auto"/>
              </w:rPr>
            </w:pPr>
            <w:r>
              <w:rPr>
                <w:rFonts w:ascii="Arial" w:cs="Arial" w:eastAsia="Arial" w:hAnsi="Arial"/>
                <w:sz w:val="18"/>
                <w:szCs w:val="18"/>
                <w:color w:val="auto"/>
              </w:rPr>
              <w:t>Subordinated renewable notes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81"/>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(6,046)</w:t>
            </w:r>
          </w:p>
        </w:tc>
        <w:tc>
          <w:tcPr>
            <w:tcW w:w="3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(3,833)</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28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22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(6,997</w:t>
            </w:r>
          </w:p>
        </w:tc>
        <w:tc>
          <w:tcPr>
            <w:tcW w:w="360" w:type="dxa"/>
            <w:vAlign w:val="bottom"/>
            <w:tcBorders>
              <w:bottom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(11,325</w:t>
            </w:r>
          </w:p>
        </w:tc>
        <w:tc>
          <w:tcPr>
            <w:tcW w:w="180" w:type="dxa"/>
            <w:vAlign w:val="bottom"/>
            <w:tcBorders>
              <w:bottom w:val="single" w:sz="8" w:color="EEEEEE"/>
            </w:tcBorders>
            <w:shd w:val="clear" w:color="auto" w:fill="EEEEEE"/>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March 31,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$1,687.2 million for the three months ended March 31, 2021 compared to $1,580.5 million in the prior year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at the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credit losses was $3.6 million for the three months ended March 31, 2020. The provision represents our estimate of additional forecasted losses that may be incurred on the portfolio of finance receivables resulting from the pandemic. Such losses were not considered in our initial estimate of remaining lifetime losses that we recorded with the adoption of CECL in January 2020. There were no additional provisions for credit losses for the three months ended March 31, 2021.</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both"/>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$444,000 to $4.0 million during the three months ended March 31, 2021 and represented 7.2% of total operating expenses. We purchased $205.5 million of new contracts during the three months ended March 31, 2021 compared to $266.0 million in the prior year period. In our second quarter of 2020, we experienced a significant reduction in contract purchases due to the pandemic and partial shutdown of the economy. Since then, our contract purchase volumes increased but have not recovered to pre-pandemic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was $1.9 million for the three months ending March 31, 2021 compared to $1.7 million in the prior year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increased to $428,000 compared to $419,000 in the previous year and represented 0.8% of total operating expenses.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2021 we recorded income tax expense of $2.8 million, representing a 35% effective tax rate. For the three months ended March 31, 2020, we recorded a net income tax benefit of $7.7 million.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$1.1 million, representing an effective income tax rate of 36%.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Experience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Recent effects of the pandemic include higher volumes of payment extensions requested by our customers and, in some states, temporary suspension of our rights to repossess automobiles. The pandemic will likely have a negative effect on our delinquency and charge off experience in the future, which is not yet reflected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7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March 31, 2021</w:t>
            </w: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 2020</w:t>
            </w:r>
          </w:p>
        </w:tc>
        <w:tc>
          <w:tcPr>
            <w:tcW w:w="2540" w:type="dxa"/>
            <w:vAlign w:val="bottom"/>
            <w:gridSpan w:val="5"/>
          </w:tcPr>
          <w:p>
            <w:pPr>
              <w:ind w:left="740"/>
              <w:spacing w:after="0"/>
              <w:rPr>
                <w:sz w:val="20"/>
                <w:szCs w:val="20"/>
                <w:color w:val="auto"/>
              </w:rPr>
            </w:pPr>
            <w:r>
              <w:rPr>
                <w:rFonts w:ascii="Arial" w:cs="Arial" w:eastAsia="Arial" w:hAnsi="Arial"/>
                <w:sz w:val="14"/>
                <w:szCs w:val="14"/>
                <w:b w:val="1"/>
                <w:bCs w:val="1"/>
                <w:color w:val="auto"/>
              </w:rPr>
              <w:t>March 31, 2020</w:t>
            </w:r>
          </w:p>
        </w:tc>
      </w:tr>
      <w:tr>
        <w:trPr>
          <w:trHeight w:val="133"/>
        </w:trPr>
        <w:tc>
          <w:tcPr>
            <w:tcW w:w="3280" w:type="dxa"/>
            <w:vAlign w:val="bottom"/>
          </w:tcPr>
          <w:p>
            <w:pPr>
              <w:spacing w:after="0"/>
              <w:rPr>
                <w:sz w:val="11"/>
                <w:szCs w:val="11"/>
                <w:color w:val="auto"/>
              </w:rPr>
            </w:pPr>
          </w:p>
        </w:tc>
        <w:tc>
          <w:tcPr>
            <w:tcW w:w="138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Number of</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32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142"/>
        </w:trPr>
        <w:tc>
          <w:tcPr>
            <w:tcW w:w="3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Delinquency Experience</w:t>
            </w:r>
          </w:p>
        </w:tc>
        <w:tc>
          <w:tcPr>
            <w:tcW w:w="1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158,933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2,119,073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163,117</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2,174,972</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179,253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2,435,074</w:t>
            </w: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Period of delinquency (2)</w:t>
            </w:r>
          </w:p>
        </w:tc>
        <w:tc>
          <w:tcPr>
            <w:tcW w:w="1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3280" w:type="dxa"/>
            <w:vAlign w:val="bottom"/>
          </w:tcPr>
          <w:p>
            <w:pPr>
              <w:ind w:left="120"/>
              <w:spacing w:after="0" w:line="149" w:lineRule="exact"/>
              <w:rPr>
                <w:sz w:val="20"/>
                <w:szCs w:val="20"/>
                <w:color w:val="auto"/>
              </w:rPr>
            </w:pPr>
            <w:r>
              <w:rPr>
                <w:rFonts w:ascii="Arial" w:cs="Arial" w:eastAsia="Arial" w:hAnsi="Arial"/>
                <w:sz w:val="14"/>
                <w:szCs w:val="14"/>
                <w:color w:val="auto"/>
              </w:rPr>
              <w:t>31-60 days</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7,108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94,067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11,357</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152,868</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10,465</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143,749</w:t>
            </w:r>
          </w:p>
        </w:tc>
      </w:tr>
      <w:tr>
        <w:trPr>
          <w:trHeight w:val="148"/>
        </w:trPr>
        <w:tc>
          <w:tcPr>
            <w:tcW w:w="328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61-90 days</w:t>
            </w:r>
          </w:p>
        </w:tc>
        <w:tc>
          <w:tcPr>
            <w:tcW w:w="138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2,496</w:t>
            </w:r>
          </w:p>
        </w:tc>
        <w:tc>
          <w:tcPr>
            <w:tcW w:w="18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31,797</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4,525</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59,096</w:t>
            </w:r>
          </w:p>
        </w:tc>
        <w:tc>
          <w:tcPr>
            <w:tcW w:w="13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5,077</w:t>
            </w:r>
          </w:p>
        </w:tc>
        <w:tc>
          <w:tcPr>
            <w:tcW w:w="2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69,364</w:t>
            </w:r>
          </w:p>
        </w:tc>
      </w:tr>
      <w:tr>
        <w:trPr>
          <w:trHeight w:val="162"/>
        </w:trPr>
        <w:tc>
          <w:tcPr>
            <w:tcW w:w="3280" w:type="dxa"/>
            <w:vAlign w:val="bottom"/>
          </w:tcPr>
          <w:p>
            <w:pPr>
              <w:ind w:left="120"/>
              <w:spacing w:after="0"/>
              <w:rPr>
                <w:sz w:val="20"/>
                <w:szCs w:val="20"/>
                <w:color w:val="auto"/>
              </w:rPr>
            </w:pPr>
            <w:r>
              <w:rPr>
                <w:rFonts w:ascii="Arial" w:cs="Arial" w:eastAsia="Arial" w:hAnsi="Arial"/>
                <w:sz w:val="14"/>
                <w:szCs w:val="14"/>
                <w:color w:val="auto"/>
              </w:rPr>
              <w:t>91+ days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822</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8,416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1,290</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14,989</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2,929</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34,816</w:t>
            </w:r>
          </w:p>
        </w:tc>
      </w:tr>
      <w:tr>
        <w:trPr>
          <w:trHeight w:val="142"/>
        </w:trPr>
        <w:tc>
          <w:tcPr>
            <w:tcW w:w="32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Total delinquencies (2)</w:t>
            </w: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10,426</w:t>
            </w:r>
          </w:p>
        </w:tc>
        <w:tc>
          <w:tcPr>
            <w:tcW w:w="26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134,280</w:t>
            </w: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17,172</w:t>
            </w: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226,953</w:t>
            </w:r>
          </w:p>
        </w:tc>
        <w:tc>
          <w:tcPr>
            <w:tcW w:w="2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18,471</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247,929</w:t>
            </w:r>
          </w:p>
        </w:tc>
        <w:tc>
          <w:tcPr>
            <w:tcW w:w="100" w:type="dxa"/>
            <w:vAlign w:val="bottom"/>
            <w:tcBorders>
              <w:top w:val="single" w:sz="8" w:color="EEEEEE"/>
            </w:tcBorders>
            <w:shd w:val="clear" w:color="auto" w:fill="EEEEEE"/>
          </w:tcPr>
          <w:p>
            <w:pPr>
              <w:spacing w:after="0"/>
              <w:rPr>
                <w:sz w:val="12"/>
                <w:szCs w:val="12"/>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Amount in repossession (3)</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2,448</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30,353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2,979</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35,839</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4,511</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54,349</w:t>
            </w:r>
          </w:p>
        </w:tc>
      </w:tr>
      <w:tr>
        <w:trPr>
          <w:trHeight w:val="156"/>
        </w:trPr>
        <w:tc>
          <w:tcPr>
            <w:tcW w:w="328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Total delinquencies and amount in repossession (2)</w:t>
            </w:r>
          </w:p>
        </w:tc>
        <w:tc>
          <w:tcPr>
            <w:tcW w:w="1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12,874</w:t>
            </w:r>
          </w:p>
        </w:tc>
        <w:tc>
          <w:tcPr>
            <w:tcW w:w="26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164,633</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20,151</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262,792</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22,982</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302,278</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796" w:right="339" w:bottom="1440" w:gutter="0" w:footer="0" w:header="0"/>
        </w:sectPr>
      </w:pPr>
    </w:p>
    <w:p>
      <w:pPr>
        <w:ind w:left="180" w:right="200" w:hanging="179"/>
        <w:spacing w:after="0" w:line="253" w:lineRule="auto"/>
        <w:rPr>
          <w:sz w:val="20"/>
          <w:szCs w:val="20"/>
          <w:color w:val="auto"/>
        </w:rPr>
      </w:pPr>
      <w:r>
        <w:rPr>
          <w:rFonts w:ascii="Arial" w:cs="Arial" w:eastAsia="Arial" w:hAnsi="Arial"/>
          <w:sz w:val="14"/>
          <w:szCs w:val="14"/>
          <w:color w:val="auto"/>
        </w:rPr>
        <w:t>Delinquencies as a percentage of gross servicing portfolio</w:t>
      </w:r>
    </w:p>
    <w:p>
      <w:pPr>
        <w:spacing w:after="0" w:line="147" w:lineRule="exact"/>
        <w:rPr>
          <w:sz w:val="20"/>
          <w:szCs w:val="20"/>
          <w:color w:val="auto"/>
        </w:rPr>
      </w:pPr>
    </w:p>
    <w:p>
      <w:pPr>
        <w:ind w:left="180" w:hanging="179"/>
        <w:spacing w:after="0" w:line="253" w:lineRule="auto"/>
        <w:rPr>
          <w:sz w:val="20"/>
          <w:szCs w:val="20"/>
          <w:color w:val="auto"/>
        </w:rPr>
      </w:pPr>
      <w:r>
        <w:rPr>
          <w:rFonts w:ascii="Arial" w:cs="Arial" w:eastAsia="Arial" w:hAnsi="Arial"/>
          <w:sz w:val="14"/>
          <w:szCs w:val="14"/>
          <w:color w:val="auto"/>
        </w:rPr>
        <w:t>Total delinquencies and amount in repossession as a percentage of gross servicing portfolio</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Extension Experience</w:t>
      </w:r>
    </w:p>
    <w:p>
      <w:pPr>
        <w:spacing w:after="0"/>
        <w:rPr>
          <w:sz w:val="20"/>
          <w:szCs w:val="20"/>
          <w:color w:val="auto"/>
        </w:rPr>
      </w:pPr>
      <w:r>
        <w:rPr>
          <w:rFonts w:ascii="Arial" w:cs="Arial" w:eastAsia="Arial" w:hAnsi="Arial"/>
          <w:sz w:val="14"/>
          <w:szCs w:val="14"/>
          <w:color w:val="auto"/>
        </w:rPr>
        <w:t>Contracts with one extension, accruing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Contracts with two or more extensions, accruing</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Contracts with one extension, non-accrual (4)</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Contracts with two or more extensions, non-accrual</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6.6%</w:t>
            </w:r>
          </w:p>
        </w:tc>
        <w:tc>
          <w:tcPr>
            <w:tcW w:w="3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6.3%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10.5%</w:t>
            </w:r>
          </w:p>
        </w:tc>
        <w:tc>
          <w:tcPr>
            <w:tcW w:w="3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10.3%</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486"/>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8.1%</w:t>
            </w:r>
          </w:p>
        </w:tc>
        <w:tc>
          <w:tcPr>
            <w:tcW w:w="3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7.8%</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12.1%</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12.8%</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486"/>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28,384</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388,637#</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29,709</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417,347</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29,683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397,622</w:t>
            </w:r>
          </w:p>
        </w:tc>
      </w:tr>
      <w:tr>
        <w:trPr>
          <w:trHeight w:val="323"/>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54,882</w:t>
            </w:r>
          </w:p>
        </w:tc>
        <w:tc>
          <w:tcPr>
            <w:tcW w:w="3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640,154#</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55,885</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665,572</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58,254</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794,789</w:t>
            </w:r>
          </w:p>
        </w:tc>
      </w:tr>
      <w:tr>
        <w:trPr>
          <w:trHeight w:val="176"/>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83,266</w:t>
            </w: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1,028,791</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85,594</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1,082,919</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87,937</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1,192,411</w:t>
            </w:r>
          </w:p>
        </w:tc>
      </w:tr>
      <w:tr>
        <w:trPr>
          <w:trHeight w:val="319"/>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130</w:t>
            </w:r>
          </w:p>
        </w:tc>
        <w:tc>
          <w:tcPr>
            <w:tcW w:w="3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1,510</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915</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12,408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833</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9,958</w:t>
            </w:r>
          </w:p>
        </w:tc>
      </w:tr>
      <w:tr>
        <w:trPr>
          <w:trHeight w:val="294"/>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488</w:t>
            </w:r>
          </w:p>
        </w:tc>
        <w:tc>
          <w:tcPr>
            <w:tcW w:w="3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5,328</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2,502</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28,189</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2,558</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-1558290</wp:posOffset>
            </wp:positionV>
            <wp:extent cx="71323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-1249680</wp:posOffset>
            </wp:positionV>
            <wp:extent cx="71323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-941070</wp:posOffset>
            </wp:positionV>
            <wp:extent cx="7132320"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-727075</wp:posOffset>
            </wp:positionV>
            <wp:extent cx="7132320"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-512445</wp:posOffset>
            </wp:positionV>
            <wp:extent cx="71323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-315595</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00" w:space="280"/>
            <w:col w:w="796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328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4" w:lineRule="exact"/>
              <w:rPr>
                <w:sz w:val="20"/>
                <w:szCs w:val="20"/>
                <w:color w:val="auto"/>
              </w:rPr>
            </w:pPr>
            <w:r>
              <w:rPr>
                <w:rFonts w:ascii="Arial" w:cs="Arial" w:eastAsia="Arial" w:hAnsi="Arial"/>
                <w:sz w:val="14"/>
                <w:szCs w:val="14"/>
                <w:color w:val="auto"/>
              </w:rPr>
              <w:t>618</w:t>
            </w:r>
          </w:p>
        </w:tc>
        <w:tc>
          <w:tcPr>
            <w:tcW w:w="260" w:type="dxa"/>
            <w:vAlign w:val="bottom"/>
            <w:tcBorders>
              <w:top w:val="single" w:sz="8" w:color="EEEEEE"/>
            </w:tcBorders>
            <w:shd w:val="clear" w:color="auto" w:fill="EEEEEE"/>
          </w:tcPr>
          <w:p>
            <w:pPr>
              <w:spacing w:after="0"/>
              <w:rPr>
                <w:sz w:val="12"/>
                <w:szCs w:val="12"/>
                <w:color w:val="auto"/>
              </w:rPr>
            </w:pPr>
          </w:p>
        </w:tc>
        <w:tc>
          <w:tcPr>
            <w:tcW w:w="300" w:type="dxa"/>
            <w:vAlign w:val="bottom"/>
            <w:tcBorders>
              <w:top w:val="single" w:sz="8" w:color="auto"/>
            </w:tcBorders>
            <w:shd w:val="clear" w:color="auto" w:fill="EEEEEE"/>
          </w:tcPr>
          <w:p>
            <w:pPr>
              <w:spacing w:after="0"/>
              <w:rPr>
                <w:sz w:val="12"/>
                <w:szCs w:val="12"/>
                <w:color w:val="auto"/>
              </w:rPr>
            </w:pPr>
          </w:p>
        </w:tc>
        <w:tc>
          <w:tcPr>
            <w:tcW w:w="820" w:type="dxa"/>
            <w:vAlign w:val="bottom"/>
            <w:tcBorders>
              <w:top w:val="single" w:sz="8" w:color="auto"/>
            </w:tcBorders>
            <w:shd w:val="clear" w:color="auto" w:fill="EEEEEE"/>
          </w:tcPr>
          <w:p>
            <w:pPr>
              <w:jc w:val="right"/>
              <w:spacing w:after="0" w:line="144" w:lineRule="exact"/>
              <w:rPr>
                <w:sz w:val="20"/>
                <w:szCs w:val="20"/>
                <w:color w:val="auto"/>
              </w:rPr>
            </w:pPr>
            <w:r>
              <w:rPr>
                <w:rFonts w:ascii="Arial" w:cs="Arial" w:eastAsia="Arial" w:hAnsi="Arial"/>
                <w:sz w:val="14"/>
                <w:szCs w:val="14"/>
                <w:color w:val="auto"/>
              </w:rPr>
              <w:t>6,838</w:t>
            </w: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4" w:lineRule="exact"/>
              <w:rPr>
                <w:sz w:val="20"/>
                <w:szCs w:val="20"/>
                <w:color w:val="auto"/>
              </w:rPr>
            </w:pPr>
            <w:r>
              <w:rPr>
                <w:rFonts w:ascii="Arial" w:cs="Arial" w:eastAsia="Arial" w:hAnsi="Arial"/>
                <w:sz w:val="14"/>
                <w:szCs w:val="14"/>
                <w:color w:val="auto"/>
              </w:rPr>
              <w:t>3,417</w:t>
            </w:r>
          </w:p>
        </w:tc>
        <w:tc>
          <w:tcPr>
            <w:tcW w:w="220" w:type="dxa"/>
            <w:vAlign w:val="bottom"/>
            <w:tcBorders>
              <w:top w:val="single" w:sz="8" w:color="EEEEEE"/>
            </w:tcBorders>
            <w:shd w:val="clear" w:color="auto" w:fill="EEEEEE"/>
          </w:tcPr>
          <w:p>
            <w:pPr>
              <w:spacing w:after="0"/>
              <w:rPr>
                <w:sz w:val="12"/>
                <w:szCs w:val="12"/>
                <w:color w:val="auto"/>
              </w:rPr>
            </w:pPr>
          </w:p>
        </w:tc>
        <w:tc>
          <w:tcPr>
            <w:tcW w:w="300" w:type="dxa"/>
            <w:vAlign w:val="bottom"/>
            <w:tcBorders>
              <w:top w:val="single" w:sz="8" w:color="auto"/>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4" w:lineRule="exact"/>
              <w:rPr>
                <w:sz w:val="20"/>
                <w:szCs w:val="20"/>
                <w:color w:val="auto"/>
              </w:rPr>
            </w:pPr>
            <w:r>
              <w:rPr>
                <w:rFonts w:ascii="Arial" w:cs="Arial" w:eastAsia="Arial" w:hAnsi="Arial"/>
                <w:sz w:val="14"/>
                <w:szCs w:val="14"/>
                <w:color w:val="auto"/>
              </w:rPr>
              <w:t>40,597</w:t>
            </w:r>
          </w:p>
        </w:tc>
        <w:tc>
          <w:tcPr>
            <w:tcW w:w="2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4" w:lineRule="exact"/>
              <w:rPr>
                <w:sz w:val="20"/>
                <w:szCs w:val="20"/>
                <w:color w:val="auto"/>
              </w:rPr>
            </w:pPr>
            <w:r>
              <w:rPr>
                <w:rFonts w:ascii="Arial" w:cs="Arial" w:eastAsia="Arial" w:hAnsi="Arial"/>
                <w:sz w:val="14"/>
                <w:szCs w:val="14"/>
                <w:color w:val="auto"/>
              </w:rPr>
              <w:t>3,391</w:t>
            </w:r>
          </w:p>
        </w:tc>
        <w:tc>
          <w:tcPr>
            <w:tcW w:w="220" w:type="dxa"/>
            <w:vAlign w:val="bottom"/>
            <w:tcBorders>
              <w:top w:val="single" w:sz="8" w:color="EEEEEE"/>
            </w:tcBorders>
            <w:shd w:val="clear" w:color="auto" w:fill="EEEEEE"/>
          </w:tcPr>
          <w:p>
            <w:pPr>
              <w:spacing w:after="0"/>
              <w:rPr>
                <w:sz w:val="12"/>
                <w:szCs w:val="12"/>
                <w:color w:val="auto"/>
              </w:rPr>
            </w:pPr>
          </w:p>
        </w:tc>
        <w:tc>
          <w:tcPr>
            <w:tcW w:w="300" w:type="dxa"/>
            <w:vAlign w:val="bottom"/>
            <w:tcBorders>
              <w:top w:val="single" w:sz="8" w:color="auto"/>
            </w:tcBorders>
            <w:shd w:val="clear" w:color="auto" w:fill="EEEEEE"/>
          </w:tcPr>
          <w:p>
            <w:pPr>
              <w:spacing w:after="0"/>
              <w:rPr>
                <w:sz w:val="12"/>
                <w:szCs w:val="12"/>
                <w:color w:val="auto"/>
              </w:rPr>
            </w:pPr>
          </w:p>
        </w:tc>
        <w:tc>
          <w:tcPr>
            <w:tcW w:w="820" w:type="dxa"/>
            <w:vAlign w:val="bottom"/>
            <w:tcBorders>
              <w:top w:val="single" w:sz="8" w:color="auto"/>
            </w:tcBorders>
            <w:shd w:val="clear" w:color="auto" w:fill="EEEEEE"/>
          </w:tcPr>
          <w:p>
            <w:pPr>
              <w:jc w:val="right"/>
              <w:spacing w:after="0" w:line="144" w:lineRule="exact"/>
              <w:rPr>
                <w:sz w:val="20"/>
                <w:szCs w:val="20"/>
                <w:color w:val="auto"/>
              </w:rPr>
            </w:pPr>
            <w:r>
              <w:rPr>
                <w:rFonts w:ascii="Arial" w:cs="Arial" w:eastAsia="Arial" w:hAnsi="Arial"/>
                <w:sz w:val="14"/>
                <w:szCs w:val="14"/>
                <w:color w:val="auto"/>
              </w:rPr>
              <w:t>43,091</w:t>
            </w:r>
          </w:p>
        </w:tc>
        <w:tc>
          <w:tcPr>
            <w:tcW w:w="100" w:type="dxa"/>
            <w:vAlign w:val="bottom"/>
            <w:tcBorders>
              <w:top w:val="single" w:sz="8" w:color="EEEEEE"/>
            </w:tcBorders>
            <w:shd w:val="clear" w:color="auto" w:fill="EEEEEE"/>
          </w:tcPr>
          <w:p>
            <w:pPr>
              <w:spacing w:after="0"/>
              <w:rPr>
                <w:sz w:val="12"/>
                <w:szCs w:val="12"/>
                <w:color w:val="auto"/>
              </w:rPr>
            </w:pPr>
          </w:p>
        </w:tc>
      </w:tr>
      <w:tr>
        <w:trPr>
          <w:trHeight w:val="162"/>
        </w:trPr>
        <w:tc>
          <w:tcPr>
            <w:tcW w:w="3280" w:type="dxa"/>
            <w:vAlign w:val="bottom"/>
            <w:tcBorders>
              <w:bottom w:val="single" w:sz="8" w:color="EEEEEE"/>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EEEEEE"/>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EEEEEE"/>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EEEEEE"/>
            </w:tcBorders>
          </w:tcPr>
          <w:p>
            <w:pPr>
              <w:spacing w:after="0"/>
              <w:rPr>
                <w:sz w:val="14"/>
                <w:szCs w:val="14"/>
                <w:color w:val="auto"/>
              </w:rPr>
            </w:pPr>
          </w:p>
        </w:tc>
      </w:tr>
      <w:tr>
        <w:trPr>
          <w:trHeight w:val="155"/>
        </w:trPr>
        <w:tc>
          <w:tcPr>
            <w:tcW w:w="3280" w:type="dxa"/>
            <w:vAlign w:val="bottom"/>
            <w:tcBorders>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Total contracts with extensions</w:t>
            </w:r>
          </w:p>
        </w:tc>
        <w:tc>
          <w:tcPr>
            <w:tcW w:w="11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83,884</w:t>
            </w:r>
          </w:p>
        </w:tc>
        <w:tc>
          <w:tcPr>
            <w:tcW w:w="260" w:type="dxa"/>
            <w:vAlign w:val="bottom"/>
            <w:tcBorders>
              <w:bottom w:val="single" w:sz="8" w:color="EEEEEE"/>
            </w:tcBorders>
            <w:shd w:val="clear" w:color="auto" w:fill="EEEEEE"/>
          </w:tcPr>
          <w:p>
            <w:pPr>
              <w:spacing w:after="0"/>
              <w:rPr>
                <w:sz w:val="13"/>
                <w:szCs w:val="13"/>
                <w:color w:val="auto"/>
              </w:rPr>
            </w:pPr>
          </w:p>
        </w:tc>
        <w:tc>
          <w:tcPr>
            <w:tcW w:w="300" w:type="dxa"/>
            <w:vAlign w:val="bottom"/>
            <w:tcBorders>
              <w:bottom w:val="single" w:sz="8" w:color="auto"/>
            </w:tcBorders>
            <w:shd w:val="clear" w:color="auto" w:fill="EEEEEE"/>
          </w:tcPr>
          <w:p>
            <w:pPr>
              <w:jc w:val="right"/>
              <w:ind w:right="1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1,035,629</w:t>
            </w:r>
          </w:p>
        </w:tc>
        <w:tc>
          <w:tcPr>
            <w:tcW w:w="24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89,011</w:t>
            </w:r>
          </w:p>
        </w:tc>
        <w:tc>
          <w:tcPr>
            <w:tcW w:w="220" w:type="dxa"/>
            <w:vAlign w:val="bottom"/>
            <w:tcBorders>
              <w:bottom w:val="single" w:sz="8" w:color="EEEEEE"/>
            </w:tcBorders>
            <w:shd w:val="clear" w:color="auto" w:fill="EEEEEE"/>
          </w:tcPr>
          <w:p>
            <w:pPr>
              <w:spacing w:after="0"/>
              <w:rPr>
                <w:sz w:val="13"/>
                <w:szCs w:val="13"/>
                <w:color w:val="auto"/>
              </w:rPr>
            </w:pPr>
          </w:p>
        </w:tc>
        <w:tc>
          <w:tcPr>
            <w:tcW w:w="300" w:type="dxa"/>
            <w:vAlign w:val="bottom"/>
            <w:tcBorders>
              <w:bottom w:val="single" w:sz="8" w:color="auto"/>
            </w:tcBorders>
            <w:shd w:val="clear" w:color="auto" w:fill="EEEEEE"/>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1,123,516</w:t>
            </w:r>
          </w:p>
        </w:tc>
        <w:tc>
          <w:tcPr>
            <w:tcW w:w="220" w:type="dxa"/>
            <w:vAlign w:val="bottom"/>
            <w:tcBorders>
              <w:bottom w:val="single" w:sz="8" w:color="EEEEEE"/>
            </w:tcBorders>
            <w:shd w:val="clear" w:color="auto" w:fill="EEEEEE"/>
          </w:tcPr>
          <w:p>
            <w:pPr>
              <w:spacing w:after="0"/>
              <w:rPr>
                <w:sz w:val="13"/>
                <w:szCs w:val="13"/>
                <w:color w:val="auto"/>
              </w:rPr>
            </w:pPr>
          </w:p>
        </w:tc>
        <w:tc>
          <w:tcPr>
            <w:tcW w:w="110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91,328</w:t>
            </w:r>
          </w:p>
        </w:tc>
        <w:tc>
          <w:tcPr>
            <w:tcW w:w="220" w:type="dxa"/>
            <w:vAlign w:val="bottom"/>
            <w:tcBorders>
              <w:bottom w:val="single" w:sz="8" w:color="EEEEEE"/>
            </w:tcBorders>
            <w:shd w:val="clear" w:color="auto" w:fill="EEEEEE"/>
          </w:tcPr>
          <w:p>
            <w:pPr>
              <w:spacing w:after="0"/>
              <w:rPr>
                <w:sz w:val="13"/>
                <w:szCs w:val="13"/>
                <w:color w:val="auto"/>
              </w:rPr>
            </w:pPr>
          </w:p>
        </w:tc>
        <w:tc>
          <w:tcPr>
            <w:tcW w:w="300" w:type="dxa"/>
            <w:vAlign w:val="bottom"/>
            <w:tcBorders>
              <w:bottom w:val="single" w:sz="8" w:color="auto"/>
            </w:tcBorders>
            <w:shd w:val="clear" w:color="auto" w:fill="EEEEEE"/>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1,235,502</w:t>
            </w:r>
          </w:p>
        </w:tc>
        <w:tc>
          <w:tcPr>
            <w:tcW w:w="100" w:type="dxa"/>
            <w:vAlign w:val="bottom"/>
            <w:tcBorders>
              <w:bottom w:val="single" w:sz="8" w:color="EEEEEE"/>
            </w:tcBorders>
            <w:shd w:val="clear" w:color="auto" w:fill="EEEEEE"/>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1" w:lineRule="exact"/>
        <w:rPr>
          <w:sz w:val="20"/>
          <w:szCs w:val="20"/>
          <w:color w:val="auto"/>
        </w:rPr>
      </w:pPr>
    </w:p>
    <w:p>
      <w:pPr>
        <w:jc w:val="both"/>
        <w:ind w:firstLine="8"/>
        <w:spacing w:after="0" w:line="238" w:lineRule="auto"/>
        <w:tabs>
          <w:tab w:leader="none" w:pos="216"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21" w:lineRule="auto"/>
        <w:tabs>
          <w:tab w:leader="none" w:pos="215"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ind w:left="220" w:hanging="212"/>
        <w:spacing w:after="0" w:line="221" w:lineRule="auto"/>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repossession represents financed vehicles that have been repossessed but not yet liquidated.</w:t>
      </w:r>
    </w:p>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89"/>
              </w:rPr>
              <w:t>Finance Receivables Portfolio</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March 31,</w:t>
            </w:r>
          </w:p>
        </w:tc>
        <w:tc>
          <w:tcPr>
            <w:tcW w:w="460" w:type="dxa"/>
            <w:vAlign w:val="bottom"/>
          </w:tcPr>
          <w:p>
            <w:pPr>
              <w:spacing w:after="0"/>
              <w:rPr>
                <w:sz w:val="19"/>
                <w:szCs w:val="19"/>
                <w:color w:val="auto"/>
              </w:rPr>
            </w:pPr>
          </w:p>
        </w:tc>
        <w:tc>
          <w:tcPr>
            <w:tcW w:w="15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451,425</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684,259</w:t>
            </w:r>
          </w:p>
        </w:tc>
        <w:tc>
          <w:tcPr>
            <w:tcW w:w="2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845,727</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426"/>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Fair Value Receivables Portfolio</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March 31,</w:t>
            </w:r>
          </w:p>
        </w:tc>
        <w:tc>
          <w:tcPr>
            <w:tcW w:w="460" w:type="dxa"/>
            <w:vAlign w:val="bottom"/>
          </w:tcPr>
          <w:p>
            <w:pPr>
              <w:spacing w:after="0"/>
              <w:rPr>
                <w:sz w:val="19"/>
                <w:szCs w:val="19"/>
                <w:color w:val="auto"/>
              </w:rPr>
            </w:pPr>
          </w:p>
        </w:tc>
        <w:tc>
          <w:tcPr>
            <w:tcW w:w="15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1,687,232</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1,631,491</w:t>
            </w:r>
          </w:p>
        </w:tc>
        <w:tc>
          <w:tcPr>
            <w:tcW w:w="2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1,580,468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426"/>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Total Managed Portfolio</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March 31,</w:t>
            </w:r>
          </w:p>
        </w:tc>
        <w:tc>
          <w:tcPr>
            <w:tcW w:w="460" w:type="dxa"/>
            <w:vAlign w:val="bottom"/>
          </w:tcPr>
          <w:p>
            <w:pPr>
              <w:spacing w:after="0"/>
              <w:rPr>
                <w:sz w:val="19"/>
                <w:szCs w:val="19"/>
                <w:color w:val="auto"/>
              </w:rPr>
            </w:pPr>
          </w:p>
        </w:tc>
        <w:tc>
          <w:tcPr>
            <w:tcW w:w="150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2,138,657</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2,315,750</w:t>
            </w:r>
          </w:p>
        </w:tc>
        <w:tc>
          <w:tcPr>
            <w:tcW w:w="2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2,426,195</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6.3%</w:t>
            </w:r>
          </w:p>
        </w:tc>
        <w:tc>
          <w:tcPr>
            <w:tcW w:w="460" w:type="dxa"/>
            <w:vAlign w:val="bottom"/>
          </w:tcPr>
          <w:p>
            <w:pPr>
              <w:spacing w:after="0"/>
              <w:rPr>
                <w:sz w:val="17"/>
                <w:szCs w:val="17"/>
                <w:color w:val="auto"/>
              </w:rPr>
            </w:pPr>
          </w:p>
        </w:tc>
        <w:tc>
          <w:tcPr>
            <w:tcW w:w="15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7.0%</w:t>
            </w:r>
          </w:p>
        </w:tc>
      </w:tr>
      <w:tr>
        <w:trPr>
          <w:trHeight w:val="230"/>
        </w:trPr>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_________________________</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1"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57"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2021 and March 31, 2020 percentages represent three months ended March 31, 2021 and March 31, 2020 annualized. December 31, 2020 represents 12 months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0" w:lineRule="auto"/>
        <w:tabs>
          <w:tab w:leader="none" w:pos="2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2021, for accounts that received extensions from 2008 through 2019 (2020 extension data are not included at this time due to insufficient passage of time for meaningful evaluation of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Charged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 Charged</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Charged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 Charged</w:t>
            </w:r>
          </w:p>
        </w:tc>
        <w:tc>
          <w:tcPr>
            <w:tcW w:w="9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Active or</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Active or</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Off &gt; 6</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Off &gt; 6</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Off &lt;= 6</w:t>
            </w:r>
          </w:p>
        </w:tc>
        <w:tc>
          <w:tcPr>
            <w:tcW w:w="1900" w:type="dxa"/>
            <w:vAlign w:val="bottom"/>
            <w:gridSpan w:val="3"/>
          </w:tcPr>
          <w:p>
            <w:pPr>
              <w:ind w:left="140"/>
              <w:spacing w:after="0"/>
              <w:rPr>
                <w:sz w:val="20"/>
                <w:szCs w:val="20"/>
                <w:color w:val="auto"/>
              </w:rPr>
            </w:pPr>
            <w:r>
              <w:rPr>
                <w:rFonts w:ascii="Arial" w:cs="Arial" w:eastAsia="Arial" w:hAnsi="Arial"/>
                <w:sz w:val="18"/>
                <w:szCs w:val="18"/>
                <w:color w:val="auto"/>
                <w:w w:val="99"/>
              </w:rPr>
              <w:t>Off &lt;= 6   Avg Months</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Paid Off at</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Paid Off at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Months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Months</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Months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Months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Extensions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31,</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31,</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After</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After</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After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After</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3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Period of Extension</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Granted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Extension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Extension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09"/>
        </w:trPr>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35,588</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10,710</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30.1%</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20,059</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56.4%</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32,226</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10,274</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31.9%</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16,170</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50.2%</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5,783</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17.9%</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26,167</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12,165</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46.5%</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12,003</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45.9%</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1,999</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18,786</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10,974</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58.4%</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6,881</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932</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18,783</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11,321</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60.3%</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6,666</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35.5%</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796</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23,398</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11,176</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47.8%</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11,246</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48.1%</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976</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25,773</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10,606</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41.2%</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14,341</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55.6%</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826</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53,319</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23,037</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43.2%</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29,200</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54.8%</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1,082</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80,897</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39,135</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48.4%</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39,829</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49.2%</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1,933</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133,881</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67,456</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50.4%</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59,465</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44.4%</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6,926</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121,531</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73,767</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60.7%</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41,757</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34.4%</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6,007</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71,548</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57,433</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80.3%</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12,173</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17.0%</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1,942</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12</w:t>
            </w: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2018, 60.7% were either paid in full or active and performing at March 31, 2021.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Three Months</w:t>
            </w:r>
          </w:p>
        </w:tc>
        <w:tc>
          <w:tcPr>
            <w:tcW w:w="4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Year</w:t>
            </w:r>
          </w:p>
        </w:tc>
        <w:tc>
          <w:tcPr>
            <w:tcW w:w="1340" w:type="dxa"/>
            <w:vAlign w:val="bottom"/>
            <w:gridSpan w:val="4"/>
          </w:tcPr>
          <w:p>
            <w:pPr>
              <w:ind w:left="120"/>
              <w:spacing w:after="0"/>
              <w:rPr>
                <w:sz w:val="20"/>
                <w:szCs w:val="20"/>
                <w:color w:val="auto"/>
              </w:rPr>
            </w:pPr>
            <w:r>
              <w:rPr>
                <w:rFonts w:ascii="Arial" w:cs="Arial" w:eastAsia="Arial" w:hAnsi="Arial"/>
                <w:sz w:val="18"/>
                <w:szCs w:val="18"/>
                <w:color w:val="auto"/>
              </w:rPr>
              <w:t>Three Months</w:t>
            </w:r>
          </w:p>
        </w:tc>
      </w:tr>
      <w:tr>
        <w:trPr>
          <w:trHeight w:val="216"/>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Ended</w:t>
            </w:r>
          </w:p>
        </w:tc>
        <w:tc>
          <w:tcPr>
            <w:tcW w:w="4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r>
      <w:tr>
        <w:trPr>
          <w:trHeight w:val="230"/>
        </w:trPr>
        <w:tc>
          <w:tcPr>
            <w:tcW w:w="2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March 31,</w:t>
            </w:r>
          </w:p>
        </w:tc>
        <w:tc>
          <w:tcPr>
            <w:tcW w:w="40" w:type="dxa"/>
            <w:vAlign w:val="bottom"/>
          </w:tcPr>
          <w:p>
            <w:pPr>
              <w:spacing w:after="0"/>
              <w:rPr>
                <w:sz w:val="19"/>
                <w:szCs w:val="19"/>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r>
      <w:tr>
        <w:trPr>
          <w:trHeight w:val="230"/>
        </w:trPr>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2021</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209"/>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3,535</w:t>
            </w:r>
          </w:p>
        </w:tc>
        <w:tc>
          <w:tcPr>
            <w:tcW w:w="13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6,931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7,118</w:t>
            </w:r>
          </w:p>
        </w:tc>
      </w:tr>
      <w:tr>
        <w:trPr>
          <w:trHeight w:val="216"/>
        </w:trPr>
        <w:tc>
          <w:tcPr>
            <w:tcW w:w="38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160,448</w:t>
            </w:r>
          </w:p>
        </w:tc>
        <w:tc>
          <w:tcPr>
            <w:tcW w:w="13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172,129</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178,570</w:t>
            </w:r>
          </w:p>
        </w:tc>
      </w:tr>
      <w:tr>
        <w:trPr>
          <w:trHeight w:val="216"/>
        </w:trPr>
        <w:tc>
          <w:tcPr>
            <w:tcW w:w="38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89"/>
              </w:rPr>
              <w:t>Average monthly extensions as % of average outstandings</w:t>
            </w: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2.2%</w:t>
            </w:r>
          </w:p>
        </w:tc>
        <w:tc>
          <w:tcPr>
            <w:tcW w:w="13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700" w:type="dxa"/>
            <w:vAlign w:val="bottom"/>
            <w:gridSpan w:val="6"/>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720" w:type="dxa"/>
            <w:vAlign w:val="bottom"/>
          </w:tcPr>
          <w:p>
            <w:pPr>
              <w:spacing w:after="0"/>
              <w:rPr>
                <w:sz w:val="24"/>
                <w:szCs w:val="24"/>
                <w:color w:val="auto"/>
              </w:rPr>
            </w:pPr>
          </w:p>
        </w:tc>
        <w:tc>
          <w:tcPr>
            <w:tcW w:w="2980" w:type="dxa"/>
            <w:vAlign w:val="bottom"/>
            <w:gridSpan w:val="5"/>
          </w:tcPr>
          <w:p>
            <w:pPr>
              <w:jc w:val="right"/>
              <w:ind w:right="1100"/>
              <w:spacing w:after="0"/>
              <w:rPr>
                <w:sz w:val="20"/>
                <w:szCs w:val="20"/>
                <w:color w:val="auto"/>
              </w:rPr>
            </w:pPr>
            <w:r>
              <w:rPr>
                <w:rFonts w:ascii="Arial" w:cs="Arial" w:eastAsia="Arial" w:hAnsi="Arial"/>
                <w:sz w:val="18"/>
                <w:szCs w:val="18"/>
                <w:color w:val="auto"/>
              </w:rPr>
              <w:t>March 31, 2021</w:t>
            </w:r>
          </w:p>
        </w:tc>
        <w:tc>
          <w:tcPr>
            <w:tcW w:w="2860" w:type="dxa"/>
            <w:vAlign w:val="bottom"/>
            <w:gridSpan w:val="7"/>
          </w:tcPr>
          <w:p>
            <w:pPr>
              <w:jc w:val="right"/>
              <w:ind w:right="880"/>
              <w:spacing w:after="0"/>
              <w:rPr>
                <w:sz w:val="20"/>
                <w:szCs w:val="20"/>
                <w:color w:val="auto"/>
              </w:rPr>
            </w:pPr>
            <w:r>
              <w:rPr>
                <w:rFonts w:ascii="Arial" w:cs="Arial" w:eastAsia="Arial" w:hAnsi="Arial"/>
                <w:sz w:val="18"/>
                <w:szCs w:val="18"/>
                <w:color w:val="auto"/>
              </w:rPr>
              <w:t>December 31, 2020</w:t>
            </w:r>
          </w:p>
        </w:tc>
        <w:tc>
          <w:tcPr>
            <w:tcW w:w="40" w:type="dxa"/>
            <w:vAlign w:val="bottom"/>
          </w:tcPr>
          <w:p>
            <w:pPr>
              <w:spacing w:after="0"/>
              <w:rPr>
                <w:sz w:val="24"/>
                <w:szCs w:val="24"/>
                <w:color w:val="auto"/>
              </w:rPr>
            </w:pPr>
          </w:p>
        </w:tc>
        <w:tc>
          <w:tcPr>
            <w:tcW w:w="2640" w:type="dxa"/>
            <w:vAlign w:val="bottom"/>
            <w:gridSpan w:val="7"/>
          </w:tcPr>
          <w:p>
            <w:pPr>
              <w:ind w:left="700"/>
              <w:spacing w:after="0"/>
              <w:rPr>
                <w:sz w:val="20"/>
                <w:szCs w:val="20"/>
                <w:color w:val="auto"/>
              </w:rPr>
            </w:pPr>
            <w:r>
              <w:rPr>
                <w:rFonts w:ascii="Arial" w:cs="Arial" w:eastAsia="Arial" w:hAnsi="Arial"/>
                <w:sz w:val="18"/>
                <w:szCs w:val="18"/>
                <w:color w:val="auto"/>
              </w:rPr>
              <w:t>March 31, 2020</w:t>
            </w:r>
          </w:p>
        </w:tc>
      </w:tr>
      <w:tr>
        <w:trPr>
          <w:trHeight w:val="195"/>
        </w:trPr>
        <w:tc>
          <w:tcPr>
            <w:tcW w:w="272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00"/>
              <w:spacing w:after="0" w:line="195" w:lineRule="exact"/>
              <w:rPr>
                <w:sz w:val="20"/>
                <w:szCs w:val="20"/>
                <w:color w:val="auto"/>
              </w:rPr>
            </w:pPr>
            <w:r>
              <w:rPr>
                <w:rFonts w:ascii="Arial" w:cs="Arial" w:eastAsia="Arial" w:hAnsi="Arial"/>
                <w:sz w:val="18"/>
                <w:szCs w:val="18"/>
                <w:color w:val="auto"/>
              </w:rPr>
              <w:t>Number of</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Borders>
              <w:top w:val="single" w:sz="8" w:color="auto"/>
            </w:tcBorders>
            <w:gridSpan w:val="3"/>
          </w:tcPr>
          <w:p>
            <w:pPr>
              <w:jc w:val="center"/>
              <w:ind w:right="20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18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Contracts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Amount</w:t>
            </w:r>
          </w:p>
        </w:tc>
      </w:tr>
      <w:tr>
        <w:trPr>
          <w:trHeight w:val="224"/>
        </w:trPr>
        <w:tc>
          <w:tcPr>
            <w:tcW w:w="27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tcBorders>
              <w:top w:val="single" w:sz="8" w:color="auto"/>
            </w:tcBorders>
            <w:gridSpan w:val="5"/>
          </w:tcPr>
          <w:p>
            <w:pPr>
              <w:jc w:val="right"/>
              <w:ind w:right="390"/>
              <w:spacing w:after="0"/>
              <w:rPr>
                <w:sz w:val="20"/>
                <w:szCs w:val="20"/>
                <w:color w:val="auto"/>
              </w:rPr>
            </w:pPr>
            <w:r>
              <w:rPr>
                <w:rFonts w:ascii="Arial" w:cs="Arial" w:eastAsia="Arial" w:hAnsi="Arial"/>
                <w:sz w:val="18"/>
                <w:szCs w:val="18"/>
                <w:color w:val="auto"/>
              </w:rPr>
              <w:t>(Dollars in thousands)</w:t>
            </w:r>
          </w:p>
        </w:tc>
        <w:tc>
          <w:tcPr>
            <w:tcW w:w="3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28,514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390,146</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30,624</w:t>
            </w:r>
          </w:p>
        </w:tc>
        <w:tc>
          <w:tcPr>
            <w:tcW w:w="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429,754</w:t>
            </w:r>
          </w:p>
        </w:tc>
        <w:tc>
          <w:tcPr>
            <w:tcW w:w="1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30,516</w:t>
            </w:r>
          </w:p>
        </w:tc>
        <w:tc>
          <w:tcPr>
            <w:tcW w:w="100" w:type="dxa"/>
            <w:vAlign w:val="bottom"/>
            <w:shd w:val="clear" w:color="auto" w:fill="EEEEEE"/>
          </w:tcPr>
          <w:p>
            <w:pPr>
              <w:spacing w:after="0"/>
              <w:rPr>
                <w:sz w:val="18"/>
                <w:szCs w:val="18"/>
                <w:color w:val="auto"/>
              </w:rPr>
            </w:pPr>
          </w:p>
        </w:tc>
        <w:tc>
          <w:tcPr>
            <w:tcW w:w="2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407,580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18,664</w:t>
            </w: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247,272</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19,381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259,236</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22,794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310,711</w:t>
            </w: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12,720</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152,871</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13,117</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159,447</w:t>
            </w:r>
          </w:p>
        </w:tc>
        <w:tc>
          <w:tcPr>
            <w:tcW w:w="1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17,058</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235,319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10,235</w:t>
            </w: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111,789</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10,868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122,469</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155,514</w:t>
            </w: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7,827</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79,510</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8,548</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90,322</w:t>
            </w:r>
          </w:p>
        </w:tc>
        <w:tc>
          <w:tcPr>
            <w:tcW w:w="1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6,332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84,695</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5,924</w:t>
            </w: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54,040</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6,473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62,288</w:t>
            </w:r>
          </w:p>
        </w:tc>
        <w:tc>
          <w:tcPr>
            <w:tcW w:w="12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41,682</w:t>
            </w:r>
          </w:p>
        </w:tc>
      </w:tr>
      <w:tr>
        <w:trPr>
          <w:trHeight w:val="223"/>
        </w:trPr>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83,884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1,035,628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91,328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1,235,501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158,933</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2,119,073</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163,117</w:t>
            </w:r>
          </w:p>
        </w:tc>
        <w:tc>
          <w:tcPr>
            <w:tcW w:w="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2,174,972</w:t>
            </w:r>
          </w:p>
        </w:tc>
        <w:tc>
          <w:tcPr>
            <w:tcW w:w="120" w:type="dxa"/>
            <w:vAlign w:val="bottom"/>
            <w:shd w:val="clear" w:color="auto" w:fill="EEEEEE"/>
          </w:tcPr>
          <w:p>
            <w:pPr>
              <w:spacing w:after="0"/>
              <w:rPr>
                <w:sz w:val="20"/>
                <w:szCs w:val="20"/>
                <w:color w:val="auto"/>
              </w:rPr>
            </w:pP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179,253</w:t>
            </w:r>
          </w:p>
        </w:tc>
        <w:tc>
          <w:tcPr>
            <w:tcW w:w="100" w:type="dxa"/>
            <w:vAlign w:val="bottom"/>
            <w:shd w:val="clear" w:color="auto" w:fill="EEEEEE"/>
          </w:tcPr>
          <w:p>
            <w:pPr>
              <w:spacing w:after="0"/>
              <w:rPr>
                <w:sz w:val="20"/>
                <w:szCs w:val="20"/>
                <w:color w:val="auto"/>
              </w:rPr>
            </w:pPr>
          </w:p>
        </w:tc>
        <w:tc>
          <w:tcPr>
            <w:tcW w:w="2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2,435,074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several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three-month period ended March 31, 2021 was $65.4 million, an increase of $1.3 million, compared to net cash provided by operating activities for the three-month period ended March 31, 2020 of $64.1 million. Net cash from operating activities is generally provided by net income from operations adjusted for significant non-cash items such as our provision for credit losses and interest accretion on fair value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Net cash provided by investing activities for the three-month period ended March 31, 2021 was $23.9 million compared to net cash used in investing activities of $61.1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$205.5 million and $266.0 million during the first three months of 2021 and 2020, respectively.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financing activities for the three months ended March 31, 2021 was $64.8 million compared to $1.7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2021, we issued $230.5 million in new securitization trust debt compared to $260.0 million in the same period of 2020. We repaid $242.5 million in securitization trust debt in the three months ended March 31, 2021 compared to repayments of securitization trust debt of $266.1 million in the prior year period. In the three months ended March 31, 2021, we had net repayments on warehouse lines of credit of $48.3 million, compared to net advances of $6.8 million in the prior year’s period.</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 Since approximately April 1, 2020, due to the onset of the pandemic, we have seen a decrease in the number of purchased contracts.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March 31, 2021, we had unrestricted cash of $9.2 million and $128.9 million aggregate available borrowings under our two warehouse credit facilities (assuming the availability of sufficient eligible collateral). As of March 31, 2021, we had approximately $61.3 million of such eligible collateral. Our plans to manage our liquidity include maintaining our rate of automobile contract purchases at a level that matches our available capital, and, as appropriate, minimizing our operating costs. During the three-month period ended March 31, 2021, we completed one securitization aggregating $230.5 million of notes sold. We generally complete one securitization each calendar quarter and have completed four securitizations every year since 2012, except for 2015 in which we completed three.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2021,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t>We have and will continue to have a substantial amount of indebtedness. At March 31, 2021, we had approximately $1,907.0 million of debt outstanding. Such debt consisted primarily of $1,791.6 million of securitization trust debt and $71.1 million of debt from warehouse lines of credit. Our securitization trust debt has decreased by $12.1 million while our warehouse lines of credit debt has decreased by $47.9 million since December 31, 2020 (each net of deferred financing costs). Since 2005, we have offered renewable subordinated notes to the public on a continuous basis, and such notes have maturities that range from six months to 10 years. We had $23.7 million and $21.3 million in subordinated renewable notes outstanding at March 31, 2021 and December 31, 2020, respectively. On May 16, 2018, we completed a $40.0 million securitization of residual interests from previously issued securitizations. At March 31, 2021, $20.6 million of this residual interest financing debt remains outstanding ($20.5 million net of deferred financing costs).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10, 2021.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March 31, 2021, we had approximately $1,907.0 million of debt outstanding. Such debt consisted primarily of $1,791.6 million of securitization trust debt and $71.1 million of debt from warehouse lines of credit. Our securitization trust debt has decreased by $12.1 million while our warehouse lines of credit debt has decreased by $47.9 million since December 31, 2020 (each net of deferred financing costs). Since 2005, we have offered renewable subordinated notes to the public on a continuous basis, and such notes have maturities that range from six months to 10 years. We had $23.7 million and $21.3 million in subordinated renewable notes outstanding at March 31, 2021 and December 31, 2020, respectively. On May 16, 2018, we completed a $40.0 million securitization of residual interests from previously issued securitizations. At March 31, 2021, $20.6 million of this residual interest financing debt remains outstanding ($20.5 million net of deferred financing costs). Our substantial indebtedness could adversely affect our financial condition by, among other things:</w:t>
      </w:r>
    </w:p>
    <w:p>
      <w:pPr>
        <w:spacing w:after="0" w:line="178"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97"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repurchased 138,004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Total Number of</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Purchased as</w:t>
            </w:r>
          </w:p>
        </w:tc>
        <w:tc>
          <w:tcPr>
            <w:tcW w:w="3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Part of Publicly</w:t>
            </w:r>
          </w:p>
        </w:tc>
        <w:tc>
          <w:tcPr>
            <w:tcW w:w="3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Announced</w:t>
            </w:r>
          </w:p>
        </w:tc>
        <w:tc>
          <w:tcPr>
            <w:tcW w:w="3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Average Price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3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4740" w:type="dxa"/>
            <w:vAlign w:val="bottom"/>
            <w:gridSpan w:val="2"/>
          </w:tcPr>
          <w:p>
            <w:pPr>
              <w:ind w:left="1900"/>
              <w:spacing w:after="0"/>
              <w:rPr>
                <w:sz w:val="20"/>
                <w:szCs w:val="20"/>
                <w:color w:val="auto"/>
              </w:rPr>
            </w:pPr>
            <w:r>
              <w:rPr>
                <w:rFonts w:ascii="Arial" w:cs="Arial" w:eastAsia="Arial" w:hAnsi="Arial"/>
                <w:sz w:val="18"/>
                <w:szCs w:val="18"/>
                <w:b w:val="1"/>
                <w:bCs w:val="1"/>
                <w:color w:val="auto"/>
              </w:rPr>
              <w:t>Period(1)</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Paid per Share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Programs</w:t>
            </w:r>
          </w:p>
        </w:tc>
        <w:tc>
          <w:tcPr>
            <w:tcW w:w="300" w:type="dxa"/>
            <w:vAlign w:val="bottom"/>
          </w:tcPr>
          <w:p>
            <w:pPr>
              <w:spacing w:after="0"/>
              <w:rPr>
                <w:sz w:val="20"/>
                <w:szCs w:val="20"/>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or Programs (2)</w:t>
            </w:r>
          </w:p>
        </w:tc>
      </w:tr>
      <w:tr>
        <w:trPr>
          <w:trHeight w:val="209"/>
        </w:trPr>
        <w:tc>
          <w:tcPr>
            <w:tcW w:w="45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January 2021</w:t>
            </w: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3,010</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5,051,154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February 2021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24,081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24,081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4,952,308</w:t>
            </w:r>
          </w:p>
        </w:tc>
      </w:tr>
      <w:tr>
        <w:trPr>
          <w:trHeight w:val="230"/>
        </w:trPr>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2021</w:t>
            </w: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110,913</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4.20</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110,913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4,486,745</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138,004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138,004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2021,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Arial" w:cs="Arial" w:eastAsia="Arial" w:hAnsi="Arial"/>
                <w:sz w:val="18"/>
                <w:szCs w:val="18"/>
                <w:color w:val="auto"/>
                <w:w w:val="85"/>
              </w:rPr>
              <w:t>4.14</w:t>
            </w:r>
          </w:p>
        </w:tc>
        <w:tc>
          <w:tcPr>
            <w:tcW w:w="9880" w:type="dxa"/>
            <w:vAlign w:val="bottom"/>
            <w:gridSpan w:val="3"/>
          </w:tcPr>
          <w:p>
            <w:pPr>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3"/>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r>
      <w:tr>
        <w:trPr>
          <w:trHeight w:val="190"/>
        </w:trPr>
        <w:tc>
          <w:tcPr>
            <w:tcW w:w="1360" w:type="dxa"/>
            <w:vAlign w:val="bottom"/>
          </w:tcPr>
          <w:p>
            <w:pPr>
              <w:jc w:val="right"/>
              <w:ind w:right="950"/>
              <w:spacing w:after="0" w:line="190" w:lineRule="exact"/>
              <w:rPr>
                <w:sz w:val="20"/>
                <w:szCs w:val="20"/>
                <w:color w:val="auto"/>
              </w:rPr>
            </w:pPr>
            <w:r>
              <w:rPr>
                <w:rFonts w:ascii="Arial" w:cs="Arial" w:eastAsia="Arial" w:hAnsi="Arial"/>
                <w:sz w:val="18"/>
                <w:szCs w:val="18"/>
                <w:color w:val="auto"/>
                <w:w w:val="85"/>
              </w:rPr>
              <w:t>31.1</w:t>
            </w:r>
          </w:p>
        </w:tc>
        <w:tc>
          <w:tcPr>
            <w:tcW w:w="5500" w:type="dxa"/>
            <w:vAlign w:val="bottom"/>
            <w:tcBorders>
              <w:bottom w:val="single" w:sz="8" w:color="0000EE"/>
            </w:tcBorders>
            <w:gridSpan w:val="2"/>
          </w:tcPr>
          <w:p>
            <w:pPr>
              <w:spacing w:after="0" w:line="190"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Rule 13a-14(a) Certification of the Chief Executive Officer of the registrant.</w:t>
              </w:r>
            </w:hyperlink>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Arial" w:cs="Arial" w:eastAsia="Arial" w:hAnsi="Arial"/>
                <w:sz w:val="18"/>
                <w:szCs w:val="18"/>
                <w:color w:val="auto"/>
                <w:w w:val="85"/>
              </w:rPr>
              <w:t>31.2</w:t>
            </w:r>
          </w:p>
        </w:tc>
        <w:tc>
          <w:tcPr>
            <w:tcW w:w="9880" w:type="dxa"/>
            <w:vAlign w:val="bottom"/>
            <w:gridSpan w:val="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Rule 13a-14(a) Certification of the Chief Financial Officer of the registrant.</w:t>
              </w:r>
            </w:hyperlink>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hanging="1352"/>
        <w:spacing w:after="0"/>
        <w:tabs>
          <w:tab w:leader="none" w:pos="1360" w:val="left"/>
        </w:tabs>
        <w:numPr>
          <w:ilvl w:val="0"/>
          <w:numId w:val="20"/>
        </w:numPr>
        <w:rPr>
          <w:rFonts w:ascii="Arial" w:cs="Arial" w:eastAsia="Arial" w:hAnsi="Arial"/>
          <w:sz w:val="18"/>
          <w:szCs w:val="18"/>
          <w:color w:val="0000EE"/>
        </w:rPr>
      </w:pPr>
      <w:hyperlink w:anchor="page47">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25" w:lineRule="exact"/>
        <w:rPr>
          <w:sz w:val="20"/>
          <w:szCs w:val="20"/>
          <w:color w:val="auto"/>
        </w:rPr>
      </w:pPr>
    </w:p>
    <w:p>
      <w:pPr>
        <w:jc w:val="both"/>
        <w:ind w:firstLine="8"/>
        <w:spacing w:after="0" w:line="311" w:lineRule="auto"/>
        <w:tabs>
          <w:tab w:leader="none" w:pos="14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38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By: /s/  CHARLES E. BRADLEY, JR.</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By: /s/  JEFFREY P. FRITZ</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5915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5915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2021,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591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591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2021-05-11T14:15:22Z</dcterms:created>
  <dcterms:modified xsi:type="dcterms:W3CDTF">2021-05-11T14:15:22Z</dcterms:modified>
</cp:coreProperties>
</file>