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1-11416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CONSUMER PORTFOLIO SERVICES,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9" w:lineRule="exact"/>
        <w:rPr>
          <w:sz w:val="24"/>
          <w:szCs w:val="24"/>
          <w:color w:val="auto"/>
        </w:rPr>
      </w:pPr>
    </w:p>
    <w:tbl>
      <w:tblPr>
        <w:tblLayout w:type="fixed"/>
        <w:tblInd w:w="720" w:type="dxa"/>
        <w:tblCellMar>
          <w:top w:w="0" w:type="dxa"/>
          <w:left w:w="0" w:type="dxa"/>
          <w:bottom w:w="0" w:type="dxa"/>
          <w:right w:w="0" w:type="dxa"/>
        </w:tblCellMar>
      </w:tblPr>
      <w:tr>
        <w:trPr>
          <w:trHeight w:val="216"/>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4"/>
              </w:rPr>
              <w:t>California</w:t>
            </w:r>
          </w:p>
        </w:tc>
        <w:tc>
          <w:tcPr>
            <w:tcW w:w="3640" w:type="dxa"/>
            <w:vAlign w:val="bottom"/>
          </w:tcPr>
          <w:p>
            <w:pPr>
              <w:jc w:val="right"/>
              <w:ind w:right="730"/>
              <w:spacing w:after="0"/>
              <w:rPr>
                <w:sz w:val="20"/>
                <w:szCs w:val="20"/>
                <w:color w:val="auto"/>
              </w:rPr>
            </w:pPr>
            <w:r>
              <w:rPr>
                <w:rFonts w:ascii="Arial" w:cs="Arial" w:eastAsia="Arial" w:hAnsi="Arial"/>
                <w:sz w:val="18"/>
                <w:szCs w:val="18"/>
                <w:color w:val="auto"/>
              </w:rPr>
              <w:t>33-0459135</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40" w:type="dxa"/>
            <w:vAlign w:val="bottom"/>
          </w:tcPr>
          <w:p>
            <w:pPr>
              <w:jc w:val="center"/>
              <w:ind w:left="107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460" w:type="dxa"/>
            <w:vAlign w:val="bottom"/>
          </w:tcPr>
          <w:p>
            <w:pPr>
              <w:jc w:val="center"/>
              <w:ind w:right="1090"/>
              <w:spacing w:after="0"/>
              <w:rPr>
                <w:sz w:val="20"/>
                <w:szCs w:val="20"/>
                <w:color w:val="auto"/>
              </w:rPr>
            </w:pPr>
            <w:r>
              <w:rPr>
                <w:rFonts w:ascii="Arial" w:cs="Arial" w:eastAsia="Arial" w:hAnsi="Arial"/>
                <w:sz w:val="18"/>
                <w:szCs w:val="18"/>
                <w:color w:val="auto"/>
                <w:w w:val="90"/>
              </w:rPr>
              <w:t>3800 Howard Hughes Parkway, Suite 1400,</w:t>
            </w:r>
          </w:p>
        </w:tc>
        <w:tc>
          <w:tcPr>
            <w:tcW w:w="3640" w:type="dxa"/>
            <w:vAlign w:val="bottom"/>
          </w:tcPr>
          <w:p>
            <w:pPr>
              <w:spacing w:after="0"/>
              <w:rPr>
                <w:sz w:val="24"/>
                <w:szCs w:val="24"/>
                <w:color w:val="auto"/>
              </w:rPr>
            </w:pPr>
          </w:p>
        </w:tc>
      </w:tr>
      <w:tr>
        <w:trPr>
          <w:trHeight w:val="216"/>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87"/>
              </w:rPr>
              <w:t>Las Vegas, Nevada</w:t>
            </w:r>
          </w:p>
        </w:tc>
        <w:tc>
          <w:tcPr>
            <w:tcW w:w="3640" w:type="dxa"/>
            <w:vAlign w:val="bottom"/>
          </w:tcPr>
          <w:p>
            <w:pPr>
              <w:jc w:val="right"/>
              <w:ind w:right="930"/>
              <w:spacing w:after="0"/>
              <w:rPr>
                <w:sz w:val="20"/>
                <w:szCs w:val="20"/>
                <w:color w:val="auto"/>
              </w:rPr>
            </w:pPr>
            <w:r>
              <w:rPr>
                <w:rFonts w:ascii="Arial" w:cs="Arial" w:eastAsia="Arial" w:hAnsi="Arial"/>
                <w:sz w:val="18"/>
                <w:szCs w:val="18"/>
                <w:color w:val="auto"/>
              </w:rPr>
              <w:t>89169</w:t>
            </w:r>
          </w:p>
        </w:tc>
      </w:tr>
      <w:tr>
        <w:trPr>
          <w:trHeight w:val="230"/>
        </w:trPr>
        <w:tc>
          <w:tcPr>
            <w:tcW w:w="5460" w:type="dxa"/>
            <w:vAlign w:val="bottom"/>
          </w:tcPr>
          <w:p>
            <w:pPr>
              <w:jc w:val="center"/>
              <w:ind w:right="1070"/>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ind w:left="105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(949) 753-6800</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 N/A</w:t>
      </w:r>
    </w:p>
    <w:p>
      <w:pPr>
        <w:spacing w:after="0" w:line="225" w:lineRule="exact"/>
        <w:rPr>
          <w:sz w:val="24"/>
          <w:szCs w:val="24"/>
          <w:color w:val="auto"/>
        </w:rPr>
      </w:pPr>
    </w:p>
    <w:p>
      <w:pPr>
        <w:jc w:val="both"/>
        <w:ind w:right="20"/>
        <w:spacing w:after="0" w:line="264" w:lineRule="auto"/>
        <w:rPr>
          <w:sz w:val="20"/>
          <w:szCs w:val="20"/>
          <w:color w:val="auto"/>
        </w:rPr>
      </w:pPr>
      <w:r>
        <w:rPr>
          <w:rFonts w:ascii="Arial" w:cs="Arial" w:eastAsia="Arial" w:hAnsi="Arial"/>
          <w:sz w:val="18"/>
          <w:szCs w:val="18"/>
          <w:color w:val="auto"/>
        </w:rPr>
        <w:t>Indicate by check mark whether the registrant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81"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ectPr>
          <w:pgSz w:w="11900" w:h="16838" w:orient="portrait"/>
          <w:cols w:equalWidth="0" w:num="1">
            <w:col w:w="11420"/>
          </w:cols>
          <w:pgMar w:left="240" w:top="594" w:right="239" w:bottom="1440" w:gutter="0" w:footer="0" w:header="0"/>
        </w:sectPr>
      </w:pPr>
    </w:p>
    <w:p>
      <w:pPr>
        <w:spacing w:after="0" w:line="170"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Large Accelerated Filer [</w:t>
      </w:r>
    </w:p>
    <w:p>
      <w:pPr>
        <w:spacing w:after="0" w:line="46" w:lineRule="exact"/>
        <w:rPr>
          <w:sz w:val="24"/>
          <w:szCs w:val="24"/>
          <w:color w:val="auto"/>
        </w:rPr>
      </w:pPr>
    </w:p>
    <w:p>
      <w:pPr>
        <w:ind w:left="3440"/>
        <w:spacing w:after="0"/>
        <w:rPr>
          <w:sz w:val="20"/>
          <w:szCs w:val="20"/>
          <w:color w:val="auto"/>
        </w:rPr>
      </w:pPr>
      <w:r>
        <w:rPr>
          <w:rFonts w:ascii="Arial" w:cs="Arial" w:eastAsia="Arial" w:hAnsi="Arial"/>
          <w:sz w:val="18"/>
          <w:szCs w:val="18"/>
          <w:color w:val="auto"/>
        </w:rPr>
        <w:t>Non-Accelerated Filer [ ]</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ind w:left="120"/>
        <w:spacing w:after="0"/>
        <w:tabs>
          <w:tab w:leader="none" w:pos="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Accelerated Filer [X]</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w:t>
      </w:r>
    </w:p>
    <w:p>
      <w:pPr>
        <w:spacing w:after="0" w:line="20" w:lineRule="exact"/>
        <w:rPr>
          <w:sz w:val="24"/>
          <w:szCs w:val="24"/>
          <w:color w:val="auto"/>
        </w:rPr>
      </w:pPr>
      <w:r>
        <w:rPr>
          <w:sz w:val="24"/>
          <w:szCs w:val="24"/>
          <w:color w:val="auto"/>
        </w:rPr>
        <w:br w:type="column"/>
      </w:r>
    </w:p>
    <w:p>
      <w:pPr>
        <w:spacing w:after="0" w:line="367"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14" w:lineRule="exact"/>
        <w:rPr>
          <w:sz w:val="24"/>
          <w:szCs w:val="24"/>
          <w:color w:val="auto"/>
        </w:rPr>
      </w:pPr>
    </w:p>
    <w:p>
      <w:pPr>
        <w:sectPr>
          <w:pgSz w:w="11900" w:h="16838" w:orient="portrait"/>
          <w:cols w:equalWidth="0" w:num="3">
            <w:col w:w="5600" w:space="20"/>
            <w:col w:w="2180" w:space="140"/>
            <w:col w:w="3480"/>
          </w:cols>
          <w:pgMar w:left="240" w:top="594"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As of August 2, 2016 the registrant had 23,865,015 common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vMerge w:val="restart"/>
          </w:tcPr>
          <w:p>
            <w:pPr>
              <w:ind w:left="3400"/>
              <w:spacing w:after="0"/>
              <w:rPr>
                <w:sz w:val="20"/>
                <w:szCs w:val="20"/>
                <w:color w:val="auto"/>
              </w:rPr>
            </w:pPr>
            <w:r>
              <w:rPr>
                <w:rFonts w:ascii="Arial" w:cs="Arial" w:eastAsia="Arial" w:hAnsi="Arial"/>
                <w:sz w:val="18"/>
                <w:szCs w:val="18"/>
                <w:b w:val="1"/>
                <w:bCs w:val="1"/>
                <w:color w:val="auto"/>
              </w:rPr>
              <w:t>PART I. FINANCIAL INFORMATION</w:t>
            </w:r>
          </w:p>
        </w:tc>
        <w:tc>
          <w:tcPr>
            <w:tcW w:w="880" w:type="dxa"/>
            <w:vAlign w:val="bottom"/>
            <w:gridSpan w:val="3"/>
          </w:tcPr>
          <w:p>
            <w:pPr>
              <w:ind w:left="2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Financial Statements</w:t>
            </w:r>
          </w:p>
        </w:tc>
        <w:tc>
          <w:tcPr>
            <w:tcW w:w="2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60" w:type="dxa"/>
            <w:vAlign w:val="bottom"/>
          </w:tcPr>
          <w:p>
            <w:pPr>
              <w:ind w:left="140"/>
              <w:spacing w:after="0"/>
              <w:rPr>
                <w:sz w:val="20"/>
                <w:szCs w:val="20"/>
                <w:color w:val="auto"/>
              </w:rPr>
            </w:pPr>
            <w:r>
              <w:rPr>
                <w:rFonts w:ascii="Arial" w:cs="Arial" w:eastAsia="Arial" w:hAnsi="Arial"/>
                <w:sz w:val="18"/>
                <w:szCs w:val="18"/>
                <w:color w:val="auto"/>
              </w:rPr>
              <w:t>Unaudited Condensed Consolidated Balance Sheets as of June 30, 2016 and December 31, 2015</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shd w:val="clear" w:color="auto" w:fill="EEEEEE"/>
          </w:tcPr>
          <w:p>
            <w:pPr>
              <w:spacing w:after="0"/>
              <w:rPr>
                <w:sz w:val="17"/>
                <w:szCs w:val="17"/>
                <w:color w:val="auto"/>
              </w:rPr>
            </w:pPr>
          </w:p>
        </w:tc>
        <w:tc>
          <w:tcPr>
            <w:tcW w:w="9760" w:type="dxa"/>
            <w:vAlign w:val="bottom"/>
            <w:shd w:val="clear" w:color="auto" w:fill="EEEEEE"/>
          </w:tcPr>
          <w:p>
            <w:pPr>
              <w:ind w:left="140"/>
              <w:spacing w:after="0" w:line="201" w:lineRule="exact"/>
              <w:rPr>
                <w:sz w:val="20"/>
                <w:szCs w:val="20"/>
                <w:color w:val="auto"/>
              </w:rPr>
            </w:pPr>
            <w:r>
              <w:rPr>
                <w:rFonts w:ascii="Arial" w:cs="Arial" w:eastAsia="Arial" w:hAnsi="Arial"/>
                <w:sz w:val="18"/>
                <w:szCs w:val="18"/>
                <w:color w:val="auto"/>
                <w:w w:val="91"/>
              </w:rPr>
              <w:t>Unaudited Condensed Consolidated Statements of Operations for the three-month and six-month periods ended June 30, 2016 and</w:t>
            </w:r>
          </w:p>
        </w:tc>
        <w:tc>
          <w:tcPr>
            <w:tcW w:w="24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shd w:val="clear" w:color="auto" w:fill="EEEEEE"/>
          </w:tcPr>
          <w:p>
            <w:pPr>
              <w:spacing w:after="0"/>
              <w:rPr>
                <w:sz w:val="20"/>
                <w:szCs w:val="20"/>
                <w:color w:val="auto"/>
              </w:rPr>
            </w:pPr>
          </w:p>
        </w:tc>
        <w:tc>
          <w:tcPr>
            <w:tcW w:w="9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2015</w:t>
            </w:r>
          </w:p>
        </w:tc>
        <w:tc>
          <w:tcPr>
            <w:tcW w:w="62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99"/>
              </w:rPr>
              <w:t>4</w:t>
            </w:r>
          </w:p>
        </w:tc>
        <w:tc>
          <w:tcPr>
            <w:tcW w:w="2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tcPr>
          <w:p>
            <w:pPr>
              <w:ind w:left="140"/>
              <w:spacing w:after="0" w:line="201" w:lineRule="exact"/>
              <w:rPr>
                <w:sz w:val="20"/>
                <w:szCs w:val="20"/>
                <w:color w:val="auto"/>
              </w:rPr>
            </w:pPr>
            <w:r>
              <w:rPr>
                <w:rFonts w:ascii="Arial" w:cs="Arial" w:eastAsia="Arial" w:hAnsi="Arial"/>
                <w:sz w:val="18"/>
                <w:szCs w:val="18"/>
                <w:color w:val="auto"/>
                <w:w w:val="92"/>
              </w:rPr>
              <w:t>Unaudited Condensed Consolidated Statements of Comprehensive Income for the three-month and six-month periods ended June</w:t>
            </w: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60" w:type="dxa"/>
            <w:vAlign w:val="bottom"/>
          </w:tcPr>
          <w:p>
            <w:pPr>
              <w:ind w:left="140"/>
              <w:spacing w:after="0"/>
              <w:rPr>
                <w:sz w:val="20"/>
                <w:szCs w:val="20"/>
                <w:color w:val="auto"/>
              </w:rPr>
            </w:pPr>
            <w:r>
              <w:rPr>
                <w:rFonts w:ascii="Arial" w:cs="Arial" w:eastAsia="Arial" w:hAnsi="Arial"/>
                <w:sz w:val="18"/>
                <w:szCs w:val="18"/>
                <w:color w:val="auto"/>
              </w:rPr>
              <w:t>30, 2016 and 2015</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5</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9760" w:type="dxa"/>
            <w:vAlign w:val="bottom"/>
            <w:shd w:val="clear" w:color="auto" w:fill="EEEEEE"/>
          </w:tcPr>
          <w:p>
            <w:pPr>
              <w:ind w:left="140"/>
              <w:spacing w:after="0"/>
              <w:rPr>
                <w:sz w:val="20"/>
                <w:szCs w:val="20"/>
                <w:color w:val="auto"/>
              </w:rPr>
            </w:pPr>
            <w:r>
              <w:rPr>
                <w:rFonts w:ascii="Arial" w:cs="Arial" w:eastAsia="Arial" w:hAnsi="Arial"/>
                <w:sz w:val="18"/>
                <w:szCs w:val="18"/>
                <w:color w:val="auto"/>
                <w:w w:val="99"/>
              </w:rPr>
              <w:t>Unaudited Condensed Consolidated Statements of Cash Flows for the six-month periods ended June 30, 2016 and 2015</w:t>
            </w:r>
          </w:p>
        </w:tc>
        <w:tc>
          <w:tcPr>
            <w:tcW w:w="62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99"/>
              </w:rPr>
              <w:t>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760" w:type="dxa"/>
            <w:vAlign w:val="bottom"/>
          </w:tcPr>
          <w:p>
            <w:pPr>
              <w:ind w:left="140"/>
              <w:spacing w:after="0"/>
              <w:rPr>
                <w:sz w:val="20"/>
                <w:szCs w:val="20"/>
                <w:color w:val="auto"/>
              </w:rPr>
            </w:pPr>
            <w:r>
              <w:rPr>
                <w:rFonts w:ascii="Arial" w:cs="Arial" w:eastAsia="Arial" w:hAnsi="Arial"/>
                <w:sz w:val="18"/>
                <w:szCs w:val="18"/>
                <w:color w:val="auto"/>
              </w:rPr>
              <w:t>Notes to Unaudited Condensed Consolidated Financial Statements</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62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89"/>
              </w:rPr>
              <w:t>19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4.</w:t>
            </w:r>
          </w:p>
        </w:tc>
        <w:tc>
          <w:tcPr>
            <w:tcW w:w="976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34</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760" w:type="dxa"/>
            <w:vAlign w:val="bottom"/>
          </w:tcPr>
          <w:p>
            <w:pPr>
              <w:ind w:left="3560"/>
              <w:spacing w:after="0"/>
              <w:rPr>
                <w:sz w:val="20"/>
                <w:szCs w:val="20"/>
                <w:color w:val="auto"/>
              </w:rPr>
            </w:pPr>
            <w:r>
              <w:rPr>
                <w:rFonts w:ascii="Arial" w:cs="Arial" w:eastAsia="Arial" w:hAnsi="Arial"/>
                <w:sz w:val="18"/>
                <w:szCs w:val="18"/>
                <w:b w:val="1"/>
                <w:bCs w:val="1"/>
                <w:color w:val="auto"/>
              </w:rPr>
              <w:t>PART II. OTHER INFORMATION</w:t>
            </w: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Pr>
          <w:p>
            <w:pPr>
              <w:spacing w:after="0"/>
              <w:rPr>
                <w:sz w:val="18"/>
                <w:szCs w:val="18"/>
                <w:color w:val="auto"/>
              </w:rPr>
            </w:pPr>
          </w:p>
        </w:tc>
        <w:tc>
          <w:tcPr>
            <w:tcW w:w="9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Legal Proceedings</w:t>
            </w:r>
          </w:p>
        </w:tc>
        <w:tc>
          <w:tcPr>
            <w:tcW w:w="62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89"/>
              </w:rPr>
              <w:t>35</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1A.</w:t>
            </w:r>
          </w:p>
        </w:tc>
        <w:tc>
          <w:tcPr>
            <w:tcW w:w="976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35</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62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89"/>
              </w:rPr>
              <w:t>36</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Item 6.</w:t>
            </w:r>
          </w:p>
        </w:tc>
        <w:tc>
          <w:tcPr>
            <w:tcW w:w="9760" w:type="dxa"/>
            <w:vAlign w:val="bottom"/>
          </w:tcPr>
          <w:p>
            <w:pPr>
              <w:ind w:left="140"/>
              <w:spacing w:after="0"/>
              <w:rPr>
                <w:sz w:val="20"/>
                <w:szCs w:val="20"/>
                <w:color w:val="auto"/>
              </w:rPr>
            </w:pPr>
            <w:r>
              <w:rPr>
                <w:rFonts w:ascii="Arial" w:cs="Arial" w:eastAsia="Arial" w:hAnsi="Arial"/>
                <w:sz w:val="18"/>
                <w:szCs w:val="18"/>
                <w:color w:val="auto"/>
              </w:rPr>
              <w:t>Exhibits</w:t>
            </w:r>
          </w:p>
        </w:tc>
        <w:tc>
          <w:tcPr>
            <w:tcW w:w="62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9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Signatures</w:t>
            </w:r>
          </w:p>
        </w:tc>
        <w:tc>
          <w:tcPr>
            <w:tcW w:w="620" w:type="dxa"/>
            <w:vAlign w:val="bottom"/>
            <w:gridSpan w:val="2"/>
            <w:shd w:val="clear" w:color="auto" w:fill="EEEEEE"/>
          </w:tcPr>
          <w:p>
            <w:pPr>
              <w:jc w:val="center"/>
              <w:ind w:left="150"/>
              <w:spacing w:after="0"/>
              <w:rPr>
                <w:sz w:val="20"/>
                <w:szCs w:val="20"/>
                <w:color w:val="auto"/>
              </w:rPr>
            </w:pPr>
            <w:r>
              <w:rPr>
                <w:rFonts w:ascii="Arial" w:cs="Arial" w:eastAsia="Arial" w:hAnsi="Arial"/>
                <w:sz w:val="18"/>
                <w:szCs w:val="18"/>
                <w:color w:val="auto"/>
                <w:w w:val="89"/>
              </w:rPr>
              <w:t>37</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EEEEEE"/>
            </w:tcBorders>
          </w:tcPr>
          <w:p>
            <w:pPr>
              <w:spacing w:after="0"/>
              <w:rPr>
                <w:sz w:val="20"/>
                <w:szCs w:val="20"/>
                <w:color w:val="auto"/>
              </w:rPr>
            </w:pPr>
          </w:p>
        </w:tc>
        <w:tc>
          <w:tcPr>
            <w:tcW w:w="20" w:type="dxa"/>
            <w:vAlign w:val="bottom"/>
            <w:tcBorders>
              <w:bottom w:val="single" w:sz="8" w:color="EEEEE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15,752</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19,322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115,268</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106,054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2,218,389</w:t>
            </w: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1,985,093</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Less: Allowance for finance credit losses</w:t>
            </w:r>
          </w:p>
        </w:tc>
        <w:tc>
          <w:tcPr>
            <w:tcW w:w="28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(90,168)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(75,603)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8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2,128,221</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1,909,490</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Furniture and equipment, net</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1,792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1,715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Deferred tax assets, net</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40,350</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37,597</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Accrued interest receivable</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33,598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31,547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19,915</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23,139</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76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2,354,909</w:t>
            </w:r>
          </w:p>
        </w:tc>
        <w:tc>
          <w:tcPr>
            <w:tcW w:w="36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2,128,925</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7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38,509</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29,509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165,103</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194,056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Residual interest financing</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7,455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1,956,620</w:t>
            </w: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1,720,021</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Subordinated renewable notes</w:t>
            </w:r>
          </w:p>
        </w:tc>
        <w:tc>
          <w:tcPr>
            <w:tcW w:w="280" w:type="dxa"/>
            <w:vAlign w:val="bottom"/>
          </w:tcPr>
          <w:p>
            <w:pPr>
              <w:spacing w:after="0"/>
              <w:rPr>
                <w:sz w:val="19"/>
                <w:szCs w:val="19"/>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15,257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15,138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2,182,944</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1,967,766</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Shareholders' Equity</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Preferred stock, $1 par value; authorized 4,998,130 shares; none issued</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Series A preferred stock, $1 par value; authorized 5,000,000 shares; none issued</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5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Series B preferred stock, $1 par value; authorized 1,870 shares; none issued</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76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3"/>
              </w:rPr>
              <w:t>Common stock, no par value; authorized 75,000,000 shares; 24,088,674 and 25,616,460 shares issued</w:t>
            </w:r>
          </w:p>
        </w:tc>
        <w:tc>
          <w:tcPr>
            <w:tcW w:w="28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and outstanding at June 30, 2016 and December 31, 2015, respectively</w:t>
            </w:r>
          </w:p>
        </w:tc>
        <w:tc>
          <w:tcPr>
            <w:tcW w:w="280" w:type="dxa"/>
            <w:vAlign w:val="bottom"/>
            <w:shd w:val="clear" w:color="auto" w:fill="EEEEEE"/>
          </w:tcPr>
          <w:p>
            <w:pPr>
              <w:spacing w:after="0"/>
              <w:rPr>
                <w:sz w:val="20"/>
                <w:szCs w:val="20"/>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77,657</w:t>
            </w:r>
          </w:p>
        </w:tc>
        <w:tc>
          <w:tcPr>
            <w:tcW w:w="2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81,337</w:t>
            </w: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100,958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86,472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(6,650)</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5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(6,650)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171,965</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161,159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spacing w:after="0"/>
              <w:rPr>
                <w:sz w:val="19"/>
                <w:szCs w:val="19"/>
                <w:color w:val="auto"/>
              </w:rPr>
            </w:pPr>
          </w:p>
        </w:tc>
        <w:tc>
          <w:tcPr>
            <w:tcW w:w="1320" w:type="dxa"/>
            <w:vAlign w:val="bottom"/>
            <w:tcBorders>
              <w:bottom w:val="single" w:sz="8" w:color="auto"/>
            </w:tcBorders>
            <w:shd w:val="clear" w:color="auto" w:fill="EEEEEE"/>
          </w:tcPr>
          <w:p>
            <w:pPr>
              <w:spacing w:after="0"/>
              <w:rPr>
                <w:sz w:val="19"/>
                <w:szCs w:val="19"/>
                <w:color w:val="auto"/>
              </w:rPr>
            </w:pPr>
          </w:p>
        </w:tc>
        <w:tc>
          <w:tcPr>
            <w:tcW w:w="36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2,354,909</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2,128,925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13" w:right="239" w:bottom="1440" w:gutter="0" w:footer="0" w:header="0"/>
        </w:sectPr>
      </w:pPr>
    </w:p>
    <w:bookmarkStart w:id="3" w:name="page4"/>
    <w:bookmarkEnd w:id="3"/>
    <w:p>
      <w:pPr>
        <w:jc w:val="center"/>
        <w:ind w:left="260" w:right="2440"/>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OPERATIONS (In thousands, except per share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380" w:type="dxa"/>
            <w:vAlign w:val="bottom"/>
            <w:gridSpan w:val="6"/>
          </w:tcPr>
          <w:p>
            <w:pPr>
              <w:jc w:val="right"/>
              <w:ind w:right="114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b w:val="1"/>
                <w:bCs w:val="1"/>
                <w:color w:val="auto"/>
              </w:rPr>
              <w:t>June 30,</w:t>
            </w:r>
          </w:p>
        </w:tc>
        <w:tc>
          <w:tcPr>
            <w:tcW w:w="12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right"/>
              <w:ind w:right="345"/>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8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101,709</w:t>
            </w:r>
          </w:p>
        </w:tc>
        <w:tc>
          <w:tcPr>
            <w:tcW w:w="56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84,900</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198,372</w:t>
            </w:r>
          </w:p>
        </w:tc>
        <w:tc>
          <w:tcPr>
            <w:tcW w:w="74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Servicing fees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3,200</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3,399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7,163</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104,933</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88,361</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205,582</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174,350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Employee costs</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15,678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13,144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30,822</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27,630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6,569</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5,108</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11,900</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Interest</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19,727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13,688</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37,548</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Provision for credit losses</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44,423</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35,683</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88,619</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69,122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4,731</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4,436</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9,401</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Occupancy</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1,288</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949</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2,371</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192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153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367</w:t>
            </w: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EEEEEE"/>
            </w:tcBorders>
            <w:shd w:val="clear" w:color="auto" w:fill="EEEEEE"/>
          </w:tcPr>
          <w:p>
            <w:pPr>
              <w:spacing w:after="0"/>
              <w:rPr>
                <w:sz w:val="18"/>
                <w:szCs w:val="18"/>
                <w:color w:val="auto"/>
              </w:rPr>
            </w:pP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92,608</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80" w:type="dxa"/>
            <w:vAlign w:val="bottom"/>
            <w:tcBorders>
              <w:top w:val="single" w:sz="8" w:color="auto"/>
              <w:bottom w:val="single" w:sz="8" w:color="auto"/>
            </w:tcBorders>
            <w:shd w:val="clear" w:color="auto" w:fill="EEEEEE"/>
          </w:tcPr>
          <w:p>
            <w:pPr>
              <w:spacing w:after="0"/>
              <w:rPr>
                <w:sz w:val="18"/>
                <w:szCs w:val="18"/>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73,161</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34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181,028</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144,401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15,200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24,554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EEEEEE"/>
          </w:tcPr>
          <w:p>
            <w:pPr>
              <w:spacing w:after="0"/>
              <w:rPr>
                <w:sz w:val="20"/>
                <w:szCs w:val="20"/>
                <w:color w:val="auto"/>
              </w:rPr>
            </w:pPr>
            <w:r>
              <w:rPr>
                <w:rFonts w:ascii="Arial" w:cs="Arial" w:eastAsia="Arial" w:hAnsi="Arial"/>
                <w:sz w:val="18"/>
                <w:szCs w:val="18"/>
                <w:color w:val="auto"/>
              </w:rPr>
              <w:t>Income tax expense</w:t>
            </w:r>
          </w:p>
        </w:tc>
        <w:tc>
          <w:tcPr>
            <w:tcW w:w="3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5,053</w:t>
            </w:r>
          </w:p>
        </w:tc>
        <w:tc>
          <w:tcPr>
            <w:tcW w:w="18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6,663</w:t>
            </w:r>
          </w:p>
        </w:tc>
        <w:tc>
          <w:tcPr>
            <w:tcW w:w="1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10,068</w:t>
            </w:r>
          </w:p>
        </w:tc>
        <w:tc>
          <w:tcPr>
            <w:tcW w:w="18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13,079</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7,272</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8,537</w:t>
            </w:r>
          </w:p>
        </w:tc>
        <w:tc>
          <w:tcPr>
            <w:tcW w:w="18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14,486</w:t>
            </w:r>
          </w:p>
        </w:tc>
        <w:tc>
          <w:tcPr>
            <w:tcW w:w="160" w:type="dxa"/>
            <w:vAlign w:val="bottom"/>
            <w:tcBorders>
              <w:bottom w:val="single" w:sz="8" w:color="EEEEEE"/>
            </w:tcBorders>
          </w:tcPr>
          <w:p>
            <w:pPr>
              <w:spacing w:after="0"/>
              <w:rPr>
                <w:sz w:val="22"/>
                <w:szCs w:val="22"/>
                <w:color w:val="auto"/>
              </w:rPr>
            </w:pPr>
          </w:p>
        </w:tc>
        <w:tc>
          <w:tcPr>
            <w:tcW w:w="180" w:type="dxa"/>
            <w:vAlign w:val="bottom"/>
            <w:tcBorders>
              <w:bottom w:val="single" w:sz="8" w:color="EEEEEE"/>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16,870</w:t>
            </w:r>
          </w:p>
        </w:tc>
        <w:tc>
          <w:tcPr>
            <w:tcW w:w="100" w:type="dxa"/>
            <w:vAlign w:val="bottom"/>
            <w:tcBorders>
              <w:bottom w:val="single" w:sz="8" w:color="EEEEEE"/>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88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Earnings per share: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0.30</w:t>
            </w:r>
          </w:p>
        </w:tc>
        <w:tc>
          <w:tcPr>
            <w:tcW w:w="560" w:type="dxa"/>
            <w:vAlign w:val="bottom"/>
            <w:gridSpan w:val="2"/>
            <w:shd w:val="clear" w:color="auto" w:fill="EEEEEE"/>
          </w:tcPr>
          <w:p>
            <w:pPr>
              <w:jc w:val="right"/>
              <w:ind w:right="22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0.33</w:t>
            </w:r>
          </w:p>
        </w:tc>
        <w:tc>
          <w:tcPr>
            <w:tcW w:w="52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0.58</w:t>
            </w:r>
          </w:p>
        </w:tc>
        <w:tc>
          <w:tcPr>
            <w:tcW w:w="74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0.25</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0.27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tcPr>
          <w:p>
            <w:pPr>
              <w:spacing w:after="0" w:line="201" w:lineRule="exact"/>
              <w:rPr>
                <w:sz w:val="20"/>
                <w:szCs w:val="20"/>
                <w:color w:val="auto"/>
              </w:rPr>
            </w:pPr>
            <w:r>
              <w:rPr>
                <w:rFonts w:ascii="Arial" w:cs="Arial" w:eastAsia="Arial" w:hAnsi="Arial"/>
                <w:sz w:val="18"/>
                <w:szCs w:val="18"/>
                <w:color w:val="auto"/>
                <w:w w:val="96"/>
              </w:rPr>
              <w:t>Number of shares used in computing earnings per</w:t>
            </w: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share:</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24,538</w:t>
            </w:r>
          </w:p>
        </w:tc>
        <w:tc>
          <w:tcPr>
            <w:tcW w:w="1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26,234</w:t>
            </w:r>
          </w:p>
        </w:tc>
        <w:tc>
          <w:tcPr>
            <w:tcW w:w="1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24,917</w:t>
            </w:r>
          </w:p>
        </w:tc>
        <w:tc>
          <w:tcPr>
            <w:tcW w:w="1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25,936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29,111</w:t>
            </w: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31,917</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29,632</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31,955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4" w:name="page5"/>
    <w:bookmarkEnd w:id="4"/>
    <w:p>
      <w:pPr>
        <w:jc w:val="center"/>
        <w:ind w:left="260" w:right="1820"/>
        <w:spacing w:after="0" w:line="275"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COMPREHENSIVE INCOME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246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7"/>
          </w:tcPr>
          <w:p>
            <w:pPr>
              <w:ind w:left="4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June 30,</w:t>
            </w:r>
          </w:p>
        </w:tc>
        <w:tc>
          <w:tcPr>
            <w:tcW w:w="4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ind w:right="65"/>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2016</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w:t>
            </w:r>
          </w:p>
        </w:tc>
        <w:tc>
          <w:tcPr>
            <w:tcW w:w="840" w:type="dxa"/>
            <w:vAlign w:val="bottom"/>
            <w:tcBorders>
              <w:top w:val="single" w:sz="8" w:color="auto"/>
            </w:tcBorders>
            <w:shd w:val="clear" w:color="auto" w:fill="EEEEEE"/>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3"/>
              </w:rPr>
              <w:t>7,272</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3"/>
              </w:rPr>
              <w:t>8,537</w:t>
            </w:r>
          </w:p>
        </w:tc>
        <w:tc>
          <w:tcPr>
            <w:tcW w:w="3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14,486</w:t>
            </w: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16,870</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24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Other comprehensive income/(loss); change in funded status of</w:t>
            </w:r>
          </w:p>
        </w:tc>
        <w:tc>
          <w:tcPr>
            <w:tcW w:w="8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52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pension plan</w:t>
            </w:r>
          </w:p>
        </w:tc>
        <w:tc>
          <w:tcPr>
            <w:tcW w:w="840" w:type="dxa"/>
            <w:vAlign w:val="bottom"/>
            <w:shd w:val="clear" w:color="auto" w:fill="EEEEEE"/>
          </w:tcPr>
          <w:p>
            <w:pPr>
              <w:spacing w:after="0"/>
              <w:rPr>
                <w:sz w:val="21"/>
                <w:szCs w:val="21"/>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1"/>
                <w:szCs w:val="21"/>
                <w:color w:val="auto"/>
              </w:rPr>
            </w:pPr>
          </w:p>
        </w:tc>
        <w:tc>
          <w:tcPr>
            <w:tcW w:w="840" w:type="dxa"/>
            <w:vAlign w:val="bottom"/>
            <w:shd w:val="clear" w:color="auto" w:fill="EEEEEE"/>
          </w:tcPr>
          <w:p>
            <w:pPr>
              <w:spacing w:after="0"/>
              <w:rPr>
                <w:sz w:val="21"/>
                <w:szCs w:val="21"/>
                <w:color w:val="auto"/>
              </w:rPr>
            </w:pPr>
          </w:p>
        </w:tc>
        <w:tc>
          <w:tcPr>
            <w:tcW w:w="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21"/>
                <w:szCs w:val="21"/>
                <w:color w:val="auto"/>
              </w:rPr>
            </w:pPr>
          </w:p>
        </w:tc>
        <w:tc>
          <w:tcPr>
            <w:tcW w:w="13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21"/>
                <w:szCs w:val="21"/>
                <w:color w:val="auto"/>
              </w:rPr>
            </w:pPr>
          </w:p>
        </w:tc>
        <w:tc>
          <w:tcPr>
            <w:tcW w:w="280" w:type="dxa"/>
            <w:vAlign w:val="bottom"/>
            <w:shd w:val="clear" w:color="auto" w:fill="EEEEEE"/>
          </w:tcPr>
          <w:p>
            <w:pPr>
              <w:spacing w:after="0"/>
              <w:rPr>
                <w:sz w:val="21"/>
                <w:szCs w:val="21"/>
                <w:color w:val="auto"/>
              </w:rPr>
            </w:pPr>
          </w:p>
        </w:tc>
        <w:tc>
          <w:tcPr>
            <w:tcW w:w="106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Comprehensive income</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7,272</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8,537</w:t>
            </w:r>
          </w:p>
        </w:tc>
        <w:tc>
          <w:tcPr>
            <w:tcW w:w="3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14,486</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5" w:name="page6"/>
    <w:bookmarkEnd w:id="5"/>
    <w:p>
      <w:pPr>
        <w:jc w:val="center"/>
        <w:spacing w:after="0" w:line="266" w:lineRule="auto"/>
        <w:rPr>
          <w:sz w:val="20"/>
          <w:szCs w:val="20"/>
          <w:color w:val="auto"/>
        </w:rPr>
      </w:pPr>
      <w:r>
        <w:rPr>
          <w:rFonts w:ascii="Arial" w:cs="Arial" w:eastAsia="Arial" w:hAnsi="Arial"/>
          <w:sz w:val="18"/>
          <w:szCs w:val="18"/>
          <w:b w:val="1"/>
          <w:bCs w:val="1"/>
          <w:color w:val="auto"/>
        </w:rPr>
        <w:t>CONSUMER PORTFOLIO SERVICES, INC. AND SUBSIDIARIES UNAUDITED CONDENSED CONSOLIDATED STATEMENTS OF CASH FLOWS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16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 Ended</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bottom w:val="single" w:sz="8" w:color="EEEEEE"/>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14,486</w:t>
            </w:r>
          </w:p>
        </w:tc>
        <w:tc>
          <w:tcPr>
            <w:tcW w:w="7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Accretion of deferred acquisition fees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(2,114)</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Amortization of discount on securitization trust debt</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Amortization of deferred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4,129</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88,619</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69,122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2,595</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Interest income on residual assets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Accrued interest receivable</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(2,051)</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Deferred tax assets,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(2,753)</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Other assets</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1,032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5,697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9,000</w:t>
            </w:r>
          </w:p>
        </w:tc>
        <w:tc>
          <w:tcPr>
            <w:tcW w:w="1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4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113,330</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88,891</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i w:val="1"/>
                <w:iCs w:val="1"/>
                <w:color w:val="auto"/>
              </w:rPr>
              <w:t>Cash flows from investing activities:</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Purchases of finance receivables held for investment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(631,412)</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(503,791)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Payments received on finance receivables held for investment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326,176</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264,226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Payments received on receivables portfolio at fair value</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Change in repossessions held in inventory</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2,192</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1,391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Change in restricted cash and cash equivalents, net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(9,214)</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(24,740)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Purchase of furniture and equipment</w:t>
            </w:r>
          </w:p>
        </w:tc>
        <w:tc>
          <w:tcPr>
            <w:tcW w:w="3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ind w:left="4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top w:val="single" w:sz="8" w:color="auto"/>
              <w:bottom w:val="single" w:sz="8" w:color="auto"/>
            </w:tcBorders>
            <w:shd w:val="clear" w:color="auto" w:fill="EEEEEE"/>
          </w:tcPr>
          <w:p>
            <w:pPr>
              <w:spacing w:after="0"/>
              <w:rPr>
                <w:sz w:val="18"/>
                <w:szCs w:val="18"/>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(312,654</w:t>
            </w:r>
          </w:p>
        </w:tc>
        <w:tc>
          <w:tcPr>
            <w:tcW w:w="200" w:type="dxa"/>
            <w:vAlign w:val="bottom"/>
            <w:tcBorders>
              <w:top w:val="single" w:sz="8" w:color="EEEEEE"/>
            </w:tcBorders>
            <w:shd w:val="clear" w:color="auto" w:fill="EEEEEE"/>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(262,398</w:t>
            </w:r>
          </w:p>
        </w:tc>
        <w:tc>
          <w:tcPr>
            <w:tcW w:w="10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i w:val="1"/>
                <w:iCs w:val="1"/>
                <w:color w:val="auto"/>
              </w:rPr>
              <w:t>Cash flows from financing activities: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Proceeds from issuance of securitization trust debt</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662,150</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495,000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Proceeds from issuance of subordinated renewable notes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904</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Payments on subordinated renewable notes</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(785)</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Net repayments of warehouse lines of credit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(29,853)</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Repayments of residual interest financing debt</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(1,587)</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Repayment of securitization trust debt</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(424,155)</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(317,963)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Repayment of debt secured by receivables measured at fair value</w:t>
            </w:r>
          </w:p>
        </w:tc>
        <w:tc>
          <w:tcPr>
            <w:tcW w:w="3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Payment of financing costs</w:t>
            </w:r>
          </w:p>
        </w:tc>
        <w:tc>
          <w:tcPr>
            <w:tcW w:w="36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(4,645)</w:t>
            </w: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40"/>
              <w:spacing w:after="0"/>
              <w:rPr>
                <w:sz w:val="20"/>
                <w:szCs w:val="20"/>
                <w:color w:val="auto"/>
              </w:rPr>
            </w:pPr>
            <w:r>
              <w:rPr>
                <w:rFonts w:ascii="Arial" w:cs="Arial" w:eastAsia="Arial" w:hAnsi="Arial"/>
                <w:sz w:val="18"/>
                <w:szCs w:val="18"/>
                <w:color w:val="auto"/>
              </w:rPr>
              <w:t>Purchase of common stock</w:t>
            </w:r>
          </w:p>
        </w:tc>
        <w:tc>
          <w:tcPr>
            <w:tcW w:w="3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(6,323)</w:t>
            </w: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(1,773)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Exercise of options and warrants</w:t>
            </w:r>
          </w:p>
        </w:tc>
        <w:tc>
          <w:tcPr>
            <w:tcW w:w="360" w:type="dxa"/>
            <w:vAlign w:val="bottom"/>
            <w:shd w:val="clear" w:color="auto" w:fill="EEEEEE"/>
          </w:tcPr>
          <w:p>
            <w:pPr>
              <w:spacing w:after="0"/>
              <w:rPr>
                <w:sz w:val="19"/>
                <w:szCs w:val="19"/>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44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195,754</w:t>
            </w:r>
          </w:p>
        </w:tc>
        <w:tc>
          <w:tcPr>
            <w:tcW w:w="200" w:type="dxa"/>
            <w:vAlign w:val="bottom"/>
            <w:tcBorders>
              <w:bottom w:val="single" w:sz="8" w:color="EEEEEE"/>
            </w:tcBorders>
          </w:tcPr>
          <w:p>
            <w:pPr>
              <w:spacing w:after="0"/>
              <w:rPr>
                <w:sz w:val="18"/>
                <w:szCs w:val="18"/>
                <w:color w:val="auto"/>
              </w:rPr>
            </w:pPr>
          </w:p>
        </w:tc>
        <w:tc>
          <w:tcPr>
            <w:tcW w:w="160" w:type="dxa"/>
            <w:vAlign w:val="bottom"/>
            <w:tcBorders>
              <w:bottom w:val="single" w:sz="8" w:color="EEEEEE"/>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174,084</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Increase (decrease) in cash and cash equivalents</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(3,570)</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36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19,322</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17,859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360" w:type="dxa"/>
            <w:vAlign w:val="bottom"/>
            <w:tcBorders>
              <w:top w:val="single" w:sz="8" w:color="auto"/>
              <w:bottom w:val="single" w:sz="8" w:color="auto"/>
            </w:tcBorders>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15,752</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560" w:type="dxa"/>
            <w:vAlign w:val="bottom"/>
            <w:tcBorders>
              <w:top w:val="single" w:sz="8" w:color="auto"/>
              <w:bottom w:val="single" w:sz="8" w:color="auto"/>
            </w:tcBorders>
            <w:shd w:val="clear" w:color="auto" w:fill="EEEEEE"/>
          </w:tcPr>
          <w:p>
            <w:pPr>
              <w:jc w:val="right"/>
              <w:ind w:right="40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18,436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00"/>
              <w:spacing w:after="0"/>
              <w:rPr>
                <w:sz w:val="20"/>
                <w:szCs w:val="20"/>
                <w:color w:val="auto"/>
              </w:rPr>
            </w:pPr>
            <w:r>
              <w:rPr>
                <w:rFonts w:ascii="Arial" w:cs="Arial" w:eastAsia="Arial" w:hAnsi="Arial"/>
                <w:sz w:val="18"/>
                <w:szCs w:val="18"/>
                <w:color w:val="auto"/>
              </w:rPr>
              <w:t>Interest</w:t>
            </w:r>
          </w:p>
        </w:tc>
        <w:tc>
          <w:tcPr>
            <w:tcW w:w="360" w:type="dxa"/>
            <w:vAlign w:val="bottom"/>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32,746</w:t>
            </w:r>
          </w:p>
        </w:tc>
        <w:tc>
          <w:tcPr>
            <w:tcW w:w="720" w:type="dxa"/>
            <w:vAlign w:val="bottom"/>
            <w:gridSpan w:val="2"/>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22,941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00"/>
              <w:spacing w:after="0"/>
              <w:rPr>
                <w:sz w:val="20"/>
                <w:szCs w:val="20"/>
                <w:color w:val="auto"/>
              </w:rPr>
            </w:pPr>
            <w:r>
              <w:rPr>
                <w:rFonts w:ascii="Arial" w:cs="Arial" w:eastAsia="Arial" w:hAnsi="Arial"/>
                <w:sz w:val="18"/>
                <w:szCs w:val="18"/>
                <w:color w:val="auto"/>
              </w:rPr>
              <w:t>Income taxes</w:t>
            </w:r>
          </w:p>
        </w:tc>
        <w:tc>
          <w:tcPr>
            <w:tcW w:w="360" w:type="dxa"/>
            <w:vAlign w:val="bottom"/>
            <w:shd w:val="clear" w:color="auto" w:fill="EEEEEE"/>
          </w:tcPr>
          <w:p>
            <w:pPr>
              <w:jc w:val="right"/>
              <w:ind w:right="20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3,784</w:t>
            </w:r>
          </w:p>
        </w:tc>
        <w:tc>
          <w:tcPr>
            <w:tcW w:w="720" w:type="dxa"/>
            <w:vAlign w:val="bottom"/>
            <w:gridSpan w:val="2"/>
            <w:shd w:val="clear" w:color="auto" w:fill="EEEEEE"/>
          </w:tcPr>
          <w:p>
            <w:pPr>
              <w:jc w:val="right"/>
              <w:ind w:right="4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8,455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were formed in California on March 8, 1991. We specialize in purchasing and servicing retail automobile installment sale contracts (“automobile contracts” or “finance receivables”) originated by licensed motor vehicle dealers located throughout the United States (“dealers”) in the sale of new and used automobiles, light trucks and passenger vans. Through our purchases, we provide indirect financing to dealer customers for borrowers with limited credit histories or past credit problems (“sub-prime customers”). We serve as an alternative source of financing for dealers, allowing sales to customers who otherwise might not be able to obtain financing.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Unaudited Condensed Consolidated Financial Statements have been prepared in conformity with accounting principles generally accepted in the United States of America, with the instructions to Form 10-Q and with Article 10 of Regulation S-X of the Securities and Exchange Commission, and include all adjustments that are, in management’s opinion, necessary for a fair presentation of the results for the interim periods presented. All such adjustments are, in the opinion of management, of a normal recurring nature. Results for the six month period ended June 30, 2016 are not necessarily indicative of the operating results to be expected for the full year.</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accounting principles generally accepted in the United States of America have been condensed or omitted from these Unaudited Condensed Consolidated Financial Statements. These Unaudited Condensed Consolidated Financial Statements should be read in conjunction with the Consolidated Financial Statements and Notes to Consolidated Financial Statements included in our Annual Report on Form 10-K for the year ended December 31, 2015.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assumptions that affect the reported amounts of assets and liabilities as of the date of the financial statements, as well as the reported amounts of income and expenses during the reported periods.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primary components of Other Income for the three-month and six-month periods ending June 30, 2016 and 2015:</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2460" w:type="dxa"/>
            <w:vAlign w:val="bottom"/>
            <w:gridSpan w:val="5"/>
          </w:tcPr>
          <w:p>
            <w:pPr>
              <w:jc w:val="center"/>
              <w:ind w:left="330"/>
              <w:spacing w:after="0"/>
              <w:rPr>
                <w:sz w:val="20"/>
                <w:szCs w:val="20"/>
                <w:color w:val="auto"/>
              </w:rPr>
            </w:pPr>
            <w:r>
              <w:rPr>
                <w:rFonts w:ascii="Arial" w:cs="Arial" w:eastAsia="Arial" w:hAnsi="Arial"/>
                <w:sz w:val="18"/>
                <w:szCs w:val="18"/>
                <w:b w:val="1"/>
                <w:bCs w:val="1"/>
                <w:color w:val="auto"/>
                <w:w w:val="92"/>
              </w:rPr>
              <w:t>Three Months Ended</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80" w:type="dxa"/>
            <w:vAlign w:val="bottom"/>
            <w:gridSpan w:val="5"/>
          </w:tcPr>
          <w:p>
            <w:pPr>
              <w:jc w:val="center"/>
              <w:ind w:left="350"/>
              <w:spacing w:after="0"/>
              <w:rPr>
                <w:sz w:val="20"/>
                <w:szCs w:val="20"/>
                <w:color w:val="auto"/>
              </w:rPr>
            </w:pPr>
            <w:r>
              <w:rPr>
                <w:rFonts w:ascii="Arial" w:cs="Arial" w:eastAsia="Arial" w:hAnsi="Arial"/>
                <w:sz w:val="18"/>
                <w:szCs w:val="18"/>
                <w:b w:val="1"/>
                <w:bCs w:val="1"/>
                <w:color w:val="auto"/>
                <w:w w:val="90"/>
              </w:rPr>
              <w:t>Six Months Ended</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2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330"/>
              <w:spacing w:after="0"/>
              <w:rPr>
                <w:sz w:val="20"/>
                <w:szCs w:val="20"/>
                <w:color w:val="auto"/>
              </w:rPr>
            </w:pPr>
            <w:r>
              <w:rPr>
                <w:rFonts w:ascii="Arial" w:cs="Arial" w:eastAsia="Arial" w:hAnsi="Arial"/>
                <w:sz w:val="18"/>
                <w:szCs w:val="18"/>
                <w:b w:val="1"/>
                <w:bCs w:val="1"/>
                <w:color w:val="auto"/>
                <w:w w:val="88"/>
              </w:rPr>
              <w:t>June 30,</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325"/>
              <w:spacing w:after="0"/>
              <w:rPr>
                <w:sz w:val="20"/>
                <w:szCs w:val="20"/>
                <w:color w:val="auto"/>
              </w:rPr>
            </w:pPr>
            <w:r>
              <w:rPr>
                <w:rFonts w:ascii="Arial" w:cs="Arial" w:eastAsia="Arial" w:hAnsi="Arial"/>
                <w:sz w:val="18"/>
                <w:szCs w:val="18"/>
                <w:b w:val="1"/>
                <w:bCs w:val="1"/>
                <w:color w:val="auto"/>
                <w:w w:val="88"/>
              </w:rPr>
              <w:t>June 30,</w:t>
            </w:r>
          </w:p>
        </w:tc>
        <w:tc>
          <w:tcPr>
            <w:tcW w:w="4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2015</w:t>
            </w:r>
          </w:p>
        </w:tc>
        <w:tc>
          <w:tcPr>
            <w:tcW w:w="4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5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20" w:type="dxa"/>
            <w:vAlign w:val="bottom"/>
            <w:gridSpan w:val="4"/>
          </w:tcPr>
          <w:p>
            <w:pPr>
              <w:jc w:val="center"/>
              <w:ind w:right="330"/>
              <w:spacing w:after="0"/>
              <w:rPr>
                <w:sz w:val="20"/>
                <w:szCs w:val="20"/>
                <w:color w:val="auto"/>
              </w:rPr>
            </w:pPr>
            <w:r>
              <w:rPr>
                <w:rFonts w:ascii="Arial" w:cs="Arial" w:eastAsia="Arial" w:hAnsi="Arial"/>
                <w:sz w:val="18"/>
                <w:szCs w:val="18"/>
                <w:b w:val="1"/>
                <w:bCs w:val="1"/>
                <w:color w:val="auto"/>
                <w:w w:val="90"/>
              </w:rPr>
              <w:t>(In thousands)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gridSpan w:val="4"/>
          </w:tcPr>
          <w:p>
            <w:pPr>
              <w:jc w:val="center"/>
              <w:ind w:right="325"/>
              <w:spacing w:after="0"/>
              <w:rPr>
                <w:sz w:val="20"/>
                <w:szCs w:val="20"/>
                <w:color w:val="auto"/>
              </w:rPr>
            </w:pPr>
            <w:r>
              <w:rPr>
                <w:rFonts w:ascii="Arial" w:cs="Arial" w:eastAsia="Arial" w:hAnsi="Arial"/>
                <w:sz w:val="18"/>
                <w:szCs w:val="18"/>
                <w:b w:val="1"/>
                <w:bCs w:val="1"/>
                <w:color w:val="auto"/>
                <w:w w:val="90"/>
              </w:rPr>
              <w:t>(In thousands)</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Direct mail revenues</w:t>
            </w:r>
          </w:p>
        </w:tc>
        <w:tc>
          <w:tcPr>
            <w:tcW w:w="840" w:type="dxa"/>
            <w:vAlign w:val="bottom"/>
            <w:shd w:val="clear" w:color="auto" w:fill="EEEEEE"/>
          </w:tcPr>
          <w:p>
            <w:pPr>
              <w:jc w:val="right"/>
              <w:ind w:right="65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3"/>
              </w:rPr>
              <w:t>2,378</w:t>
            </w:r>
          </w:p>
        </w:tc>
        <w:tc>
          <w:tcPr>
            <w:tcW w:w="1020" w:type="dxa"/>
            <w:vAlign w:val="bottom"/>
            <w:gridSpan w:val="2"/>
            <w:shd w:val="clear" w:color="auto" w:fill="EEEEEE"/>
          </w:tcPr>
          <w:p>
            <w:pPr>
              <w:jc w:val="right"/>
              <w:ind w:right="6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w w:val="93"/>
              </w:rPr>
              <w:t>2,382</w:t>
            </w:r>
          </w:p>
        </w:tc>
        <w:tc>
          <w:tcPr>
            <w:tcW w:w="1000" w:type="dxa"/>
            <w:vAlign w:val="bottom"/>
            <w:gridSpan w:val="2"/>
            <w:shd w:val="clear" w:color="auto" w:fill="EEEEEE"/>
          </w:tcPr>
          <w:p>
            <w:pPr>
              <w:jc w:val="right"/>
              <w:ind w:right="63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88"/>
              </w:rPr>
              <w:t>5,222</w:t>
            </w:r>
          </w:p>
        </w:tc>
        <w:tc>
          <w:tcPr>
            <w:tcW w:w="820" w:type="dxa"/>
            <w:vAlign w:val="bottom"/>
            <w:gridSpan w:val="2"/>
            <w:shd w:val="clear" w:color="auto" w:fill="EEEEEE"/>
          </w:tcPr>
          <w:p>
            <w:pPr>
              <w:jc w:val="right"/>
              <w:ind w:right="645"/>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w w:val="93"/>
              </w:rPr>
              <w:t>4,519</w:t>
            </w:r>
          </w:p>
        </w:tc>
        <w:tc>
          <w:tcPr>
            <w:tcW w:w="8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Convenience fee revenue</w:t>
            </w: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460</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1,105</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1,480</w:t>
            </w:r>
          </w:p>
        </w:tc>
        <w:tc>
          <w:tcPr>
            <w:tcW w:w="8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Recoveries on previously charged-off contracts</w:t>
            </w:r>
          </w:p>
        </w:tc>
        <w:tc>
          <w:tcPr>
            <w:tcW w:w="8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308</w:t>
            </w: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365</w:t>
            </w:r>
          </w:p>
        </w:tc>
        <w:tc>
          <w:tcPr>
            <w:tcW w:w="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EEEEEE"/>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Sales tax refunds</w:t>
            </w: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202</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294</w:t>
            </w:r>
          </w:p>
        </w:tc>
        <w:tc>
          <w:tcPr>
            <w:tcW w:w="80" w:type="dxa"/>
            <w:vAlign w:val="bottom"/>
          </w:tcPr>
          <w:p>
            <w:pPr>
              <w:spacing w:after="0"/>
              <w:rPr>
                <w:sz w:val="18"/>
                <w:szCs w:val="18"/>
                <w:color w:val="auto"/>
              </w:rPr>
            </w:pPr>
          </w:p>
        </w:tc>
      </w:tr>
      <w:tr>
        <w:trPr>
          <w:trHeight w:val="230"/>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EEEEEE"/>
          </w:tcPr>
          <w:p>
            <w:pPr>
              <w:spacing w:after="0"/>
              <w:rPr>
                <w:sz w:val="19"/>
                <w:szCs w:val="19"/>
                <w:color w:val="auto"/>
              </w:rPr>
            </w:pP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84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w:t>
            </w:r>
          </w:p>
        </w:tc>
        <w:tc>
          <w:tcPr>
            <w:tcW w:w="180" w:type="dxa"/>
            <w:vAlign w:val="bottom"/>
            <w:shd w:val="clear" w:color="auto" w:fill="EEEEEE"/>
          </w:tcPr>
          <w:p>
            <w:pPr>
              <w:spacing w:after="0"/>
              <w:rPr>
                <w:sz w:val="19"/>
                <w:szCs w:val="19"/>
                <w:color w:val="auto"/>
              </w:rPr>
            </w:pPr>
          </w:p>
        </w:tc>
        <w:tc>
          <w:tcPr>
            <w:tcW w:w="820" w:type="dxa"/>
            <w:vAlign w:val="bottom"/>
            <w:shd w:val="clear" w:color="auto" w:fill="EEEEEE"/>
          </w:tcPr>
          <w:p>
            <w:pPr>
              <w:spacing w:after="0"/>
              <w:rPr>
                <w:sz w:val="19"/>
                <w:szCs w:val="19"/>
                <w:color w:val="auto"/>
              </w:rPr>
            </w:pPr>
          </w:p>
        </w:tc>
        <w:tc>
          <w:tcPr>
            <w:tcW w:w="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70</w:t>
            </w:r>
          </w:p>
        </w:tc>
        <w:tc>
          <w:tcPr>
            <w:tcW w:w="20" w:type="dxa"/>
            <w:vAlign w:val="bottom"/>
            <w:shd w:val="clear" w:color="auto" w:fill="EEEEEE"/>
          </w:tcPr>
          <w:p>
            <w:pPr>
              <w:spacing w:after="0"/>
              <w:rPr>
                <w:sz w:val="19"/>
                <w:szCs w:val="19"/>
                <w:color w:val="auto"/>
              </w:rPr>
            </w:pPr>
          </w:p>
        </w:tc>
        <w:tc>
          <w:tcPr>
            <w:tcW w:w="800" w:type="dxa"/>
            <w:vAlign w:val="bottom"/>
            <w:shd w:val="clear" w:color="auto" w:fill="EEEEEE"/>
          </w:tcPr>
          <w:p>
            <w:pPr>
              <w:spacing w:after="0"/>
              <w:rPr>
                <w:sz w:val="19"/>
                <w:szCs w:val="19"/>
                <w:color w:val="auto"/>
              </w:rPr>
            </w:pPr>
          </w:p>
        </w:tc>
        <w:tc>
          <w:tcPr>
            <w:tcW w:w="4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88</w:t>
            </w:r>
          </w:p>
        </w:tc>
        <w:tc>
          <w:tcPr>
            <w:tcW w:w="80" w:type="dxa"/>
            <w:vAlign w:val="bottom"/>
            <w:shd w:val="clear" w:color="auto" w:fill="EEEEEE"/>
          </w:tcPr>
          <w:p>
            <w:pPr>
              <w:spacing w:after="0"/>
              <w:rPr>
                <w:sz w:val="19"/>
                <w:szCs w:val="19"/>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Other income for the period</w:t>
            </w: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3,399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7,163</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64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6,881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amendment to and partial repayment of our residual interest financing in July 2008, we issued warrants exercisable for 2,500,000 common shares for $4,071,429. The warrants represent the right to purchase 2,500,000 CPS common shares at a nominal exercise price, at any time prior to July 10, 2018. In March 2010 we repurchased warrants for 500,000 of these shares for $1.0 million. Warrants to purchase 2,000,000 shares remain outstanding as of June 30,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recognize compensation costs in the financial statements for all share-based payments based on the grant date fair value estimated in accordance with the provisions of ASC 718 “Stock Compensation”.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 the three and six months ended June 30, 2016, we recorded stock-based compensation costs in the amount of $1.2 million and $2.6 million, respectively. These stock-based compensation costs were $1.1 million and $2.2 million for the three and six months ended June 30, 2015. As of June 30, 2016, unrecognized stock-based compensation costs to be recognized over future periods equaled $13.2 million. This amount will be recognized as expense over a weighted-average period of 2.5 years.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represents stock option activity for the six months ended June 30, 2016: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Number of</w:t>
            </w:r>
          </w:p>
        </w:tc>
        <w:tc>
          <w:tcPr>
            <w:tcW w:w="180" w:type="dxa"/>
            <w:vAlign w:val="bottom"/>
          </w:tcPr>
          <w:p>
            <w:pPr>
              <w:spacing w:after="0"/>
              <w:rPr>
                <w:sz w:val="18"/>
                <w:szCs w:val="18"/>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1"/>
              </w:rPr>
              <w:t>Weighted</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9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Shares</w:t>
            </w:r>
          </w:p>
        </w:tc>
        <w:tc>
          <w:tcPr>
            <w:tcW w:w="180" w:type="dxa"/>
            <w:vAlign w:val="bottom"/>
          </w:tcPr>
          <w:p>
            <w:pPr>
              <w:spacing w:after="0"/>
              <w:rPr>
                <w:sz w:val="19"/>
                <w:szCs w:val="19"/>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7"/>
              </w:rPr>
              <w:t>Average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9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(in thousands)</w:t>
            </w:r>
          </w:p>
        </w:tc>
        <w:tc>
          <w:tcPr>
            <w:tcW w:w="180" w:type="dxa"/>
            <w:vAlign w:val="bottom"/>
          </w:tcPr>
          <w:p>
            <w:pPr>
              <w:spacing w:after="0"/>
              <w:rPr>
                <w:sz w:val="20"/>
                <w:szCs w:val="20"/>
                <w:color w:val="auto"/>
              </w:rPr>
            </w:pPr>
          </w:p>
        </w:tc>
        <w:tc>
          <w:tcPr>
            <w:tcW w:w="17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Exercise Price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beginning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11,228</w:t>
            </w:r>
          </w:p>
        </w:tc>
        <w:tc>
          <w:tcPr>
            <w:tcW w:w="34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4.66</w:t>
            </w:r>
          </w:p>
        </w:tc>
        <w:tc>
          <w:tcPr>
            <w:tcW w:w="32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7"/>
              </w:rPr>
              <w:t>5.55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2,015</w:t>
            </w:r>
          </w:p>
        </w:tc>
        <w:tc>
          <w:tcPr>
            <w:tcW w:w="180" w:type="dxa"/>
            <w:vAlign w:val="bottom"/>
          </w:tcPr>
          <w:p>
            <w:pPr>
              <w:spacing w:after="0"/>
              <w:rPr>
                <w:sz w:val="18"/>
                <w:szCs w:val="18"/>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3.48</w:t>
            </w:r>
          </w:p>
        </w:tc>
        <w:tc>
          <w:tcPr>
            <w:tcW w:w="16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Exercised</w:t>
            </w:r>
          </w:p>
        </w:tc>
        <w:tc>
          <w:tcPr>
            <w:tcW w:w="19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EEEEEE"/>
          </w:tcPr>
          <w:p>
            <w:pPr>
              <w:spacing w:after="0"/>
              <w:rPr>
                <w:sz w:val="18"/>
                <w:szCs w:val="18"/>
                <w:color w:val="auto"/>
              </w:rPr>
            </w:pP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1.18</w:t>
            </w:r>
          </w:p>
        </w:tc>
        <w:tc>
          <w:tcPr>
            <w:tcW w:w="1600" w:type="dxa"/>
            <w:vAlign w:val="bottom"/>
            <w:shd w:val="clear" w:color="auto" w:fill="EEEEEE"/>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Options outstanding at the end of period</w:t>
            </w:r>
          </w:p>
        </w:tc>
        <w:tc>
          <w:tcPr>
            <w:tcW w:w="16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13,214</w:t>
            </w:r>
          </w:p>
        </w:tc>
        <w:tc>
          <w:tcPr>
            <w:tcW w:w="340" w:type="dxa"/>
            <w:vAlign w:val="bottom"/>
            <w:tcBorders>
              <w:top w:val="single" w:sz="8" w:color="EEEEEE"/>
            </w:tcBorders>
            <w:shd w:val="clear" w:color="auto" w:fill="EEEEEE"/>
          </w:tcPr>
          <w:p>
            <w:pPr>
              <w:spacing w:after="0"/>
              <w:rPr>
                <w:sz w:val="19"/>
                <w:szCs w:val="19"/>
                <w:color w:val="auto"/>
              </w:rPr>
            </w:pPr>
          </w:p>
        </w:tc>
        <w:tc>
          <w:tcPr>
            <w:tcW w:w="180" w:type="dxa"/>
            <w:vAlign w:val="bottom"/>
            <w:tcBorders>
              <w:top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top w:val="single" w:sz="8" w:color="EEEEEE"/>
            </w:tcBorders>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4.49</w:t>
            </w:r>
          </w:p>
        </w:tc>
        <w:tc>
          <w:tcPr>
            <w:tcW w:w="1600" w:type="dxa"/>
            <w:vAlign w:val="bottom"/>
            <w:tcBorders>
              <w:top w:val="single" w:sz="8" w:color="EEEEEE"/>
            </w:tcBorders>
            <w:shd w:val="clear" w:color="auto" w:fill="EEEEEE"/>
          </w:tcPr>
          <w:p>
            <w:pPr>
              <w:jc w:val="center"/>
              <w:spacing w:after="0"/>
              <w:rPr>
                <w:sz w:val="20"/>
                <w:szCs w:val="20"/>
                <w:color w:val="auto"/>
              </w:rPr>
            </w:pPr>
            <w:r>
              <w:rPr>
                <w:rFonts w:ascii="Arial" w:cs="Arial" w:eastAsia="Arial" w:hAnsi="Arial"/>
                <w:sz w:val="18"/>
                <w:szCs w:val="18"/>
                <w:color w:val="auto"/>
                <w:w w:val="87"/>
              </w:rPr>
              <w:t>5.33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EEEEEE"/>
          </w:tcPr>
          <w:p>
            <w:pPr>
              <w:spacing w:after="0"/>
              <w:rPr>
                <w:sz w:val="20"/>
                <w:szCs w:val="20"/>
                <w:color w:val="auto"/>
              </w:rPr>
            </w:pPr>
            <w:r>
              <w:rPr>
                <w:rFonts w:ascii="Arial" w:cs="Arial" w:eastAsia="Arial" w:hAnsi="Arial"/>
                <w:sz w:val="18"/>
                <w:szCs w:val="18"/>
                <w:color w:val="auto"/>
              </w:rPr>
              <w:t>Options exercisable at the end of period</w:t>
            </w:r>
          </w:p>
        </w:tc>
        <w:tc>
          <w:tcPr>
            <w:tcW w:w="1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7,288</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3.82</w:t>
            </w:r>
          </w:p>
        </w:tc>
        <w:tc>
          <w:tcPr>
            <w:tcW w:w="16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4.66 years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June 30, 2016, the aggregate intrinsic value of options outstanding and exercisable was $10.8 million and $9.6 million, respectively. There were 29,200 options exercised for the six months ended June 30, 2016 compared to 978,000 for the comparable period in 2015. The total intrinsic value of options exercised was $91,000 and $5.4 million for the six-month periods ended June 30, 2016 and 2015. There were 3.5 million shares available for future stock option grants under existing plans as of June 30, 2016.</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Company Stock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six-month period ended June 30, 2016, we purchased 1.6 million shares of our stock in the open market at an average price of $4.06.</w:t>
      </w:r>
    </w:p>
    <w:p>
      <w:pPr>
        <w:spacing w:after="0" w:line="2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During the six-month period ended June 30, 2015, we purchased 361,046 shares of our common stock, at an average price of $6.39. We purchased 285,473 shares of our stock in the open market at an average price of $6.21. The remaining purchases of 75,573 shares were related to net exercises of outstanding options and warrants. In transactions during the six-month period ended June 30, 2015, the holders of options and warrants to purchase 392,200 shares of our common stock paid the aggregate $535,000 exercise price by surrender to us of 75,573 of such 392,200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June 2016, the FASB issued Accounting Standards Update ("ASU") 2016-13 - Financial Instruments - Credit Losses (Topic 326): Measurement of Credit Losses on Financial Instruments. The revised accounting guidance will remove all recognition thresholds and will require a company to recognize an allowance for credit losses for the difference between the amortized cost basis of a financial instrument and the amount of amortized cost that the company expects to collect over the instrument's contractual life. It also amends the credit loss measurement guidance for beneficial interests in securitized financial assets. This new accounting guidance will be effective for interim and annual reporting periods beginning after December 15, 2019. The Company is currently evaluating the provisions of ASU No. 2016-13 to determine the potential impact the new standard will have on the Company's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Some items in the prior year financial statements were reclassified to conform to the current presentation. Reclassifications had no effect on prior year net income or total shareholders’ equity.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Certain of our securitization transactions, our warehouse credit facilities and our residual interest financing contain various financial covenants requiring minimum financial ratios and results. Such covenants include maintaining minimum levels of liquidity and net worth and not exceeding maximum leverage levels. As of June 30, 2016, we were in compliance with all such covenants. In addition, certain of our debt agreements other than our team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Contingent Liabilities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routinely involved in various legal proceedings resulting from our consumer finance activities and practices, both continuing and discontinued. Our legal counsel has advised us on such matters where, based on information available at the time of this report, there is an indication that it is both probable that a liability has been incurred and the amount of the loss can be reasonably determined.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recorded a liability as of June 30, 2016, which represents our best estimate of probable incurred losses for legal contingencies. The amount of losses that may ultimately be incurred cannot be estimated with certainty.</w:t>
      </w:r>
    </w:p>
    <w:p>
      <w:pPr>
        <w:spacing w:after="0" w:line="170"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Finance Receivables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portfolio of finance receivables consists of small-balance homogeneous contracts comprising a single segment and class that is collectively evaluated for impairment on a portfolio basis according to delinquency status. Our contract purchase guidelines are designed to produce a homogenous portfolio. For key terms such as interest rate, length of contract, monthly payment and amount financed, there is relatively little variation from the average for the portfolio. We report delinquency on a contractual basis. Once a contract becomes greater than 90 days delinquent, we do not recognize additional interest income until the obligor under the contract makes sufficient payments to be less than 90 days delinquent. Any payments received on a contract that is greater than 90 days delinquent are first applied to accrued interest and then to principal reduction.</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60" w:type="dxa"/>
            <w:vAlign w:val="bottom"/>
          </w:tcPr>
          <w:p>
            <w:pPr>
              <w:ind w:left="640"/>
              <w:spacing w:after="0"/>
              <w:rPr>
                <w:sz w:val="20"/>
                <w:szCs w:val="20"/>
                <w:color w:val="auto"/>
              </w:rPr>
            </w:pPr>
            <w:r>
              <w:rPr>
                <w:rFonts w:ascii="Arial" w:cs="Arial" w:eastAsia="Arial" w:hAnsi="Arial"/>
                <w:sz w:val="18"/>
                <w:szCs w:val="18"/>
                <w:color w:val="auto"/>
                <w:w w:val="94"/>
              </w:rPr>
              <w:t>The following table presents the components of Finance Receivables, net of unearned interest:</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Finance Receivables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Automobile finance receivables, net of unearned interest</w:t>
            </w: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2,219,285</w:t>
            </w:r>
          </w:p>
        </w:tc>
        <w:tc>
          <w:tcPr>
            <w:tcW w:w="200" w:type="dxa"/>
            <w:vAlign w:val="bottom"/>
            <w:shd w:val="clear" w:color="auto" w:fill="EEEEEE"/>
          </w:tcPr>
          <w:p>
            <w:pPr>
              <w:spacing w:after="0"/>
              <w:rPr>
                <w:sz w:val="18"/>
                <w:szCs w:val="18"/>
                <w:color w:val="auto"/>
              </w:rPr>
            </w:pP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1,990,913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Less: Unearned acquisition fees and originations costs</w:t>
            </w:r>
          </w:p>
        </w:tc>
        <w:tc>
          <w:tcPr>
            <w:tcW w:w="2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40"/>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Finance Receivables</w:t>
            </w: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2,218,389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1,985,093</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as extended where applicable. Automobile contracts less than 31 days delinquent are not included. In certain circumstances we will grant obligors one-month payment extensions to assist them with temporary cash flow problems. The only modification of terms is to advance the obligor’s next due date by one month and extend the maturity date of the receivable by one month. In certain limited cases, a two-month extension may be granted. There are no other concessions such as a reduction in interest rate, forgiveness of principal or of accrued interest. Accordingly, we consider such extensions to be insignificant delays in payments rather than troubled debt restructurings. The following table summarizes the delinquency status of finance receivables as of June 30, 2016 and December 31, 2015: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3"/>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5"/>
          </w:tcPr>
          <w:p>
            <w:pPr>
              <w:jc w:val="right"/>
              <w:ind w:right="11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gridSpan w:val="2"/>
          </w:tcPr>
          <w:p>
            <w:pPr>
              <w:spacing w:after="0"/>
              <w:rPr>
                <w:sz w:val="18"/>
                <w:szCs w:val="18"/>
                <w:color w:val="auto"/>
              </w:rPr>
            </w:pPr>
          </w:p>
        </w:tc>
      </w:tr>
      <w:tr>
        <w:trPr>
          <w:trHeight w:val="216"/>
        </w:trPr>
        <w:tc>
          <w:tcPr>
            <w:tcW w:w="7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Deliquency Status</w:t>
            </w: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7780" w:type="dxa"/>
            <w:vAlign w:val="bottom"/>
            <w:gridSpan w:val="2"/>
          </w:tcPr>
          <w:p>
            <w:pPr>
              <w:spacing w:after="0"/>
              <w:rPr>
                <w:sz w:val="20"/>
                <w:szCs w:val="20"/>
                <w:color w:val="auto"/>
              </w:rPr>
            </w:pPr>
            <w:r>
              <w:rPr>
                <w:rFonts w:ascii="Arial" w:cs="Arial" w:eastAsia="Arial" w:hAnsi="Arial"/>
                <w:sz w:val="18"/>
                <w:szCs w:val="18"/>
                <w:color w:val="auto"/>
              </w:rPr>
              <w:t>Current</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2,059,318</w:t>
            </w:r>
          </w:p>
        </w:tc>
        <w:tc>
          <w:tcPr>
            <w:tcW w:w="360" w:type="dxa"/>
            <w:vAlign w:val="bottom"/>
          </w:tcPr>
          <w:p>
            <w:pPr>
              <w:spacing w:after="0"/>
              <w:rPr>
                <w:sz w:val="18"/>
                <w:szCs w:val="18"/>
                <w:color w:val="auto"/>
              </w:rPr>
            </w:pP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1,836,267</w:t>
            </w:r>
          </w:p>
        </w:tc>
        <w:tc>
          <w:tcPr>
            <w:tcW w:w="80" w:type="dxa"/>
            <w:vAlign w:val="bottom"/>
          </w:tcPr>
          <w:p>
            <w:pPr>
              <w:spacing w:after="0"/>
              <w:rPr>
                <w:sz w:val="18"/>
                <w:szCs w:val="18"/>
                <w:color w:val="auto"/>
              </w:rPr>
            </w:pPr>
          </w:p>
        </w:tc>
      </w:tr>
      <w:tr>
        <w:trPr>
          <w:trHeight w:val="216"/>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31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- 60 days</w:t>
            </w:r>
          </w:p>
        </w:tc>
        <w:tc>
          <w:tcPr>
            <w:tcW w:w="280" w:type="dxa"/>
            <w:vAlign w:val="bottom"/>
            <w:shd w:val="clear" w:color="auto" w:fill="EEEEEE"/>
          </w:tcPr>
          <w:p>
            <w:pPr>
              <w:spacing w:after="0"/>
              <w:rPr>
                <w:sz w:val="18"/>
                <w:szCs w:val="18"/>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87,824</w:t>
            </w:r>
          </w:p>
        </w:tc>
        <w:tc>
          <w:tcPr>
            <w:tcW w:w="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70,036</w:t>
            </w:r>
          </w:p>
        </w:tc>
        <w:tc>
          <w:tcPr>
            <w:tcW w:w="80" w:type="dxa"/>
            <w:vAlign w:val="bottom"/>
            <w:shd w:val="clear" w:color="auto" w:fill="EEEEEE"/>
          </w:tcPr>
          <w:p>
            <w:pPr>
              <w:spacing w:after="0"/>
              <w:rPr>
                <w:sz w:val="18"/>
                <w:szCs w:val="18"/>
                <w:color w:val="auto"/>
              </w:rPr>
            </w:pPr>
          </w:p>
        </w:tc>
      </w:tr>
      <w:tr>
        <w:trPr>
          <w:trHeight w:val="216"/>
        </w:trPr>
        <w:tc>
          <w:tcPr>
            <w:tcW w:w="220" w:type="dxa"/>
            <w:vAlign w:val="bottom"/>
          </w:tcPr>
          <w:p>
            <w:pPr>
              <w:spacing w:after="0"/>
              <w:rPr>
                <w:sz w:val="20"/>
                <w:szCs w:val="20"/>
                <w:color w:val="auto"/>
              </w:rPr>
            </w:pPr>
            <w:r>
              <w:rPr>
                <w:rFonts w:ascii="Arial" w:cs="Arial" w:eastAsia="Arial" w:hAnsi="Arial"/>
                <w:sz w:val="18"/>
                <w:szCs w:val="18"/>
                <w:color w:val="auto"/>
                <w:w w:val="99"/>
              </w:rPr>
              <w:t>61</w:t>
            </w:r>
          </w:p>
        </w:tc>
        <w:tc>
          <w:tcPr>
            <w:tcW w:w="7560" w:type="dxa"/>
            <w:vAlign w:val="bottom"/>
          </w:tcPr>
          <w:p>
            <w:pPr>
              <w:ind w:left="20"/>
              <w:spacing w:after="0"/>
              <w:rPr>
                <w:sz w:val="20"/>
                <w:szCs w:val="20"/>
                <w:color w:val="auto"/>
              </w:rPr>
            </w:pPr>
            <w:r>
              <w:rPr>
                <w:rFonts w:ascii="Arial" w:cs="Arial" w:eastAsia="Arial" w:hAnsi="Arial"/>
                <w:sz w:val="18"/>
                <w:szCs w:val="18"/>
                <w:color w:val="auto"/>
              </w:rPr>
              <w:t>- 90 days</w:t>
            </w:r>
          </w:p>
        </w:tc>
        <w:tc>
          <w:tcPr>
            <w:tcW w:w="280" w:type="dxa"/>
            <w:vAlign w:val="bottom"/>
          </w:tcPr>
          <w:p>
            <w:pPr>
              <w:spacing w:after="0"/>
              <w:rPr>
                <w:sz w:val="18"/>
                <w:szCs w:val="18"/>
                <w:color w:val="auto"/>
              </w:rPr>
            </w:pP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38,403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41,136</w:t>
            </w:r>
          </w:p>
        </w:tc>
        <w:tc>
          <w:tcPr>
            <w:tcW w:w="80" w:type="dxa"/>
            <w:vAlign w:val="bottom"/>
          </w:tcPr>
          <w:p>
            <w:pPr>
              <w:spacing w:after="0"/>
              <w:rPr>
                <w:sz w:val="18"/>
                <w:szCs w:val="18"/>
                <w:color w:val="auto"/>
              </w:rPr>
            </w:pPr>
          </w:p>
        </w:tc>
      </w:tr>
      <w:tr>
        <w:trPr>
          <w:trHeight w:val="230"/>
        </w:trPr>
        <w:tc>
          <w:tcPr>
            <w:tcW w:w="220" w:type="dxa"/>
            <w:vAlign w:val="bottom"/>
            <w:shd w:val="clear" w:color="auto" w:fill="EEEEEE"/>
          </w:tcPr>
          <w:p>
            <w:pPr>
              <w:spacing w:after="0"/>
              <w:rPr>
                <w:sz w:val="20"/>
                <w:szCs w:val="20"/>
                <w:color w:val="auto"/>
              </w:rPr>
            </w:pPr>
            <w:r>
              <w:rPr>
                <w:rFonts w:ascii="Arial" w:cs="Arial" w:eastAsia="Arial" w:hAnsi="Arial"/>
                <w:sz w:val="18"/>
                <w:szCs w:val="18"/>
                <w:color w:val="auto"/>
                <w:w w:val="99"/>
              </w:rPr>
              <w:t>91</w:t>
            </w:r>
          </w:p>
        </w:tc>
        <w:tc>
          <w:tcPr>
            <w:tcW w:w="7560" w:type="dxa"/>
            <w:vAlign w:val="bottom"/>
            <w:shd w:val="clear" w:color="auto" w:fill="EEEEEE"/>
          </w:tcPr>
          <w:p>
            <w:pPr>
              <w:ind w:left="20"/>
              <w:spacing w:after="0"/>
              <w:rPr>
                <w:sz w:val="20"/>
                <w:szCs w:val="20"/>
                <w:color w:val="auto"/>
              </w:rPr>
            </w:pPr>
            <w:r>
              <w:rPr>
                <w:rFonts w:ascii="Arial" w:cs="Arial" w:eastAsia="Arial" w:hAnsi="Arial"/>
                <w:sz w:val="18"/>
                <w:szCs w:val="18"/>
                <w:color w:val="auto"/>
              </w:rPr>
              <w:t>+ days</w:t>
            </w:r>
          </w:p>
        </w:tc>
        <w:tc>
          <w:tcPr>
            <w:tcW w:w="280" w:type="dxa"/>
            <w:vAlign w:val="bottom"/>
            <w:shd w:val="clear" w:color="auto" w:fill="EEEEEE"/>
          </w:tcPr>
          <w:p>
            <w:pPr>
              <w:spacing w:after="0"/>
              <w:rPr>
                <w:sz w:val="19"/>
                <w:szCs w:val="19"/>
                <w:color w:val="auto"/>
              </w:rPr>
            </w:pPr>
          </w:p>
        </w:tc>
        <w:tc>
          <w:tcPr>
            <w:tcW w:w="16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33,740</w:t>
            </w:r>
          </w:p>
        </w:tc>
        <w:tc>
          <w:tcPr>
            <w:tcW w:w="2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4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43,474</w:t>
            </w:r>
          </w:p>
        </w:tc>
        <w:tc>
          <w:tcPr>
            <w:tcW w:w="80" w:type="dxa"/>
            <w:vAlign w:val="bottom"/>
            <w:shd w:val="clear" w:color="auto" w:fill="EEEEEE"/>
          </w:tcPr>
          <w:p>
            <w:pPr>
              <w:spacing w:after="0"/>
              <w:rPr>
                <w:sz w:val="19"/>
                <w:szCs w:val="19"/>
                <w:color w:val="auto"/>
              </w:rPr>
            </w:pPr>
          </w:p>
        </w:tc>
      </w:tr>
      <w:tr>
        <w:trPr>
          <w:trHeight w:val="223"/>
        </w:trPr>
        <w:tc>
          <w:tcPr>
            <w:tcW w:w="220" w:type="dxa"/>
            <w:vAlign w:val="bottom"/>
          </w:tcPr>
          <w:p>
            <w:pPr>
              <w:spacing w:after="0"/>
              <w:rPr>
                <w:sz w:val="19"/>
                <w:szCs w:val="19"/>
                <w:color w:val="auto"/>
              </w:rPr>
            </w:pPr>
          </w:p>
        </w:tc>
        <w:tc>
          <w:tcPr>
            <w:tcW w:w="75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2,219,285</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1,990,913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Finance receivables totaling $33.7 million and $43.5 million at June 30, 2016 and December 31, 2015, respectively, including all receivables greater than 90 days delinquent, have been placed on non-accrual status as a result of their delinquency status.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use a loss allowance methodology commonly referred to as "static pooling," which stratifies our finance receivable portfolio into separately identified pools based on the period of origination. Using analytical and formula driven techniques, we estimate an allowance for finance credit losses, which we believe is adequate for probable incurred credit losses that can be reasonably estimated in our portfolio of automobile contracts. The estimate for probable incurred credit losses is reduced by our estimate for future recoveries on previously incurred losses. Provision for losses is charged to our consolidated statement of operations. Net losses incurred on finance receivables are charged to the allowance. We establish the allowance for new receivables over the 12-month period following their acquisition.</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a summary of the activity for the allowance for finance credit losses for the three-month and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2015: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2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center"/>
              <w:ind w:right="36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5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2015</w:t>
            </w:r>
          </w:p>
        </w:tc>
        <w:tc>
          <w:tcPr>
            <w:tcW w:w="100" w:type="dxa"/>
            <w:vAlign w:val="bottom"/>
          </w:tcPr>
          <w:p>
            <w:pPr>
              <w:spacing w:after="0"/>
              <w:rPr>
                <w:sz w:val="19"/>
                <w:szCs w:val="19"/>
                <w:color w:val="auto"/>
              </w:rPr>
            </w:pPr>
          </w:p>
        </w:tc>
      </w:tr>
      <w:tr>
        <w:trPr>
          <w:trHeight w:val="210"/>
        </w:trPr>
        <w:tc>
          <w:tcPr>
            <w:tcW w:w="5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4"/>
          </w:tcPr>
          <w:p>
            <w:pPr>
              <w:jc w:val="center"/>
              <w:ind w:left="470"/>
              <w:spacing w:after="0"/>
              <w:rPr>
                <w:sz w:val="20"/>
                <w:szCs w:val="20"/>
                <w:color w:val="auto"/>
              </w:rPr>
            </w:pPr>
            <w:r>
              <w:rPr>
                <w:rFonts w:ascii="Arial" w:cs="Arial" w:eastAsia="Arial" w:hAnsi="Arial"/>
                <w:sz w:val="18"/>
                <w:szCs w:val="18"/>
                <w:b w:val="1"/>
                <w:bCs w:val="1"/>
                <w:color w:val="auto"/>
                <w:w w:val="90"/>
              </w:rPr>
              <w:t>(In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Balance at beginning of period</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79,867</w:t>
            </w:r>
          </w:p>
        </w:tc>
        <w:tc>
          <w:tcPr>
            <w:tcW w:w="56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68,142</w:t>
            </w:r>
          </w:p>
        </w:tc>
        <w:tc>
          <w:tcPr>
            <w:tcW w:w="400" w:type="dxa"/>
            <w:vAlign w:val="bottom"/>
            <w:gridSpan w:val="2"/>
            <w:shd w:val="clear" w:color="auto" w:fill="EEEEEE"/>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75,603</w:t>
            </w:r>
          </w:p>
        </w:tc>
        <w:tc>
          <w:tcPr>
            <w:tcW w:w="540" w:type="dxa"/>
            <w:vAlign w:val="bottom"/>
            <w:gridSpan w:val="2"/>
            <w:shd w:val="clear" w:color="auto" w:fill="EEEEEE"/>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61,460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Provision for credit losses on finance receivables</w:t>
            </w:r>
          </w:p>
        </w:tc>
        <w:tc>
          <w:tcPr>
            <w:tcW w:w="2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44,423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35,683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88,619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69,122</w:t>
            </w:r>
          </w:p>
        </w:tc>
      </w:tr>
      <w:tr>
        <w:trPr>
          <w:trHeight w:val="216"/>
        </w:trPr>
        <w:tc>
          <w:tcPr>
            <w:tcW w:w="5260" w:type="dxa"/>
            <w:vAlign w:val="bottom"/>
            <w:shd w:val="clear" w:color="auto" w:fill="EEEEEE"/>
          </w:tcPr>
          <w:p>
            <w:pPr>
              <w:spacing w:after="0"/>
              <w:rPr>
                <w:sz w:val="20"/>
                <w:szCs w:val="20"/>
                <w:color w:val="auto"/>
              </w:rPr>
            </w:pPr>
            <w:r>
              <w:rPr>
                <w:rFonts w:ascii="Arial" w:cs="Arial" w:eastAsia="Arial" w:hAnsi="Arial"/>
                <w:sz w:val="18"/>
                <w:szCs w:val="18"/>
                <w:color w:val="auto"/>
              </w:rPr>
              <w:t>Charge-offs</w:t>
            </w:r>
          </w:p>
        </w:tc>
        <w:tc>
          <w:tcPr>
            <w:tcW w:w="2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(41,901)</w:t>
            </w:r>
          </w:p>
        </w:tc>
        <w:tc>
          <w:tcPr>
            <w:tcW w:w="1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(34,836)</w:t>
            </w:r>
          </w:p>
        </w:tc>
        <w:tc>
          <w:tcPr>
            <w:tcW w:w="1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(87,834)</w:t>
            </w:r>
          </w:p>
        </w:tc>
        <w:tc>
          <w:tcPr>
            <w:tcW w:w="1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(66,665)</w:t>
            </w:r>
          </w:p>
        </w:tc>
      </w:tr>
      <w:tr>
        <w:trPr>
          <w:trHeight w:val="230"/>
        </w:trPr>
        <w:tc>
          <w:tcPr>
            <w:tcW w:w="5260" w:type="dxa"/>
            <w:vAlign w:val="bottom"/>
          </w:tcPr>
          <w:p>
            <w:pPr>
              <w:spacing w:after="0"/>
              <w:rPr>
                <w:sz w:val="20"/>
                <w:szCs w:val="20"/>
                <w:color w:val="auto"/>
              </w:rPr>
            </w:pPr>
            <w:r>
              <w:rPr>
                <w:rFonts w:ascii="Arial" w:cs="Arial" w:eastAsia="Arial" w:hAnsi="Arial"/>
                <w:sz w:val="18"/>
                <w:szCs w:val="18"/>
                <w:color w:val="auto"/>
              </w:rPr>
              <w:t>Recoveries</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7,779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5,552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13,780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10,624</w:t>
            </w:r>
          </w:p>
        </w:tc>
      </w:tr>
      <w:tr>
        <w:trPr>
          <w:trHeight w:val="223"/>
        </w:trPr>
        <w:tc>
          <w:tcPr>
            <w:tcW w:w="52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Balance at end of period</w:t>
            </w: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90,168</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74,541</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90,168</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jc w:val="right"/>
              <w:ind w:right="2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74,541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Excluded from finance receivables are contracts that were previously classified as finance receivables but were reclassified as other assets because we have repossessed the vehicle securing the Contract. The following table presents a summary of such repossessed inventory together with the allowance for losses in repossessed inventory that is not included in the allowance for finance credit losses:</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Gross balance of repossessions in inventory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Allowance for losses on repossessed inventory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Net repossessed inventory included in other assets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168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June 30,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2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5"/>
        </w:trPr>
        <w:tc>
          <w:tcPr>
            <w:tcW w:w="280" w:type="dxa"/>
            <w:vAlign w:val="bottom"/>
          </w:tcPr>
          <w:p>
            <w:pPr>
              <w:spacing w:after="0"/>
              <w:rPr>
                <w:sz w:val="16"/>
                <w:szCs w:val="16"/>
                <w:color w:val="auto"/>
              </w:rPr>
            </w:pPr>
          </w:p>
        </w:tc>
        <w:tc>
          <w:tcPr>
            <w:tcW w:w="3260" w:type="dxa"/>
            <w:vAlign w:val="bottom"/>
            <w:gridSpan w:val="5"/>
          </w:tcPr>
          <w:p>
            <w:pPr>
              <w:jc w:val="right"/>
              <w:ind w:right="1130"/>
              <w:spacing w:after="0" w:line="195" w:lineRule="exact"/>
              <w:rPr>
                <w:sz w:val="20"/>
                <w:szCs w:val="20"/>
                <w:color w:val="auto"/>
              </w:rPr>
            </w:pPr>
            <w:r>
              <w:rPr>
                <w:rFonts w:ascii="Arial" w:cs="Arial" w:eastAsia="Arial" w:hAnsi="Arial"/>
                <w:sz w:val="18"/>
                <w:szCs w:val="18"/>
                <w:b w:val="1"/>
                <w:bCs w:val="1"/>
                <w:color w:val="auto"/>
              </w:rPr>
              <w:t>(In thousands)</w:t>
            </w:r>
          </w:p>
        </w:tc>
        <w:tc>
          <w:tcPr>
            <w:tcW w:w="60" w:type="dxa"/>
            <w:vAlign w:val="bottom"/>
            <w:gridSpan w:val="2"/>
          </w:tcPr>
          <w:p>
            <w:pPr>
              <w:spacing w:after="0"/>
              <w:rPr>
                <w:sz w:val="16"/>
                <w:szCs w:val="16"/>
                <w:color w:val="auto"/>
              </w:rPr>
            </w:pPr>
          </w:p>
        </w:tc>
      </w:tr>
      <w:tr>
        <w:trPr>
          <w:trHeight w:val="216"/>
        </w:trPr>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680" w:type="dxa"/>
            <w:vAlign w:val="bottom"/>
            <w:gridSpan w:val="2"/>
          </w:tcPr>
          <w:p>
            <w:pPr>
              <w:jc w:val="right"/>
              <w:ind w:right="360"/>
              <w:spacing w:after="0"/>
              <w:rPr>
                <w:sz w:val="20"/>
                <w:szCs w:val="20"/>
                <w:color w:val="auto"/>
              </w:rPr>
            </w:pPr>
            <w:r>
              <w:rPr>
                <w:rFonts w:ascii="Arial" w:cs="Arial" w:eastAsia="Arial" w:hAnsi="Arial"/>
                <w:sz w:val="18"/>
                <w:szCs w:val="18"/>
                <w:color w:val="auto"/>
              </w:rPr>
              <w:t>33,347</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39,728</w:t>
            </w:r>
          </w:p>
        </w:tc>
        <w:tc>
          <w:tcPr>
            <w:tcW w:w="40" w:type="dxa"/>
            <w:vAlign w:val="bottom"/>
          </w:tcPr>
          <w:p>
            <w:pPr>
              <w:spacing w:after="0"/>
              <w:rPr>
                <w:sz w:val="18"/>
                <w:szCs w:val="18"/>
                <w:color w:val="auto"/>
              </w:rPr>
            </w:pPr>
          </w:p>
        </w:tc>
      </w:tr>
      <w:tr>
        <w:trPr>
          <w:trHeight w:val="244"/>
        </w:trPr>
        <w:tc>
          <w:tcPr>
            <w:tcW w:w="280" w:type="dxa"/>
            <w:vAlign w:val="bottom"/>
          </w:tcPr>
          <w:p>
            <w:pPr>
              <w:spacing w:after="0"/>
              <w:rPr>
                <w:sz w:val="21"/>
                <w:szCs w:val="21"/>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(22,765)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(26,954)</w:t>
            </w:r>
          </w:p>
        </w:tc>
      </w:tr>
      <w:tr>
        <w:trPr>
          <w:trHeight w:val="223"/>
        </w:trPr>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10,582</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12,774</w:t>
            </w:r>
          </w:p>
        </w:tc>
        <w:tc>
          <w:tcPr>
            <w:tcW w:w="40" w:type="dxa"/>
            <w:vAlign w:val="bottom"/>
          </w:tcPr>
          <w:p>
            <w:pPr>
              <w:spacing w:after="0"/>
              <w:rPr>
                <w:sz w:val="19"/>
                <w:szCs w:val="19"/>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-462280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-179705</wp:posOffset>
            </wp:positionV>
            <wp:extent cx="72466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60" w:space="720"/>
            <w:col w:w="3640"/>
          </w:cols>
          <w:pgMar w:left="240" w:top="796" w:right="239" w:bottom="1440" w:gutter="0" w:footer="0" w:header="0"/>
          <w:type w:val="continuous"/>
        </w:sectPr>
      </w:pP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Securitization Trust Debt</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have completed many securitization transactions that are structured as secured borrowings for financial accounting purposes. The debt issued in these transactions is shown on our Unaudited Condensed Consolidated Balance Sheets as “Securitization trust debt,” and the components of such debt are summarized in the following table: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Final</w:t>
            </w:r>
          </w:p>
        </w:tc>
        <w:tc>
          <w:tcPr>
            <w:tcW w:w="18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Receivables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Outstanding</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w:t>
            </w:r>
          </w:p>
        </w:tc>
      </w:tr>
      <w:tr>
        <w:trPr>
          <w:trHeight w:val="216"/>
        </w:trPr>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Scheduled</w:t>
            </w:r>
          </w:p>
        </w:tc>
        <w:tc>
          <w:tcPr>
            <w:tcW w:w="180" w:type="dxa"/>
            <w:vAlign w:val="bottom"/>
          </w:tcPr>
          <w:p>
            <w:pPr>
              <w:spacing w:after="0"/>
              <w:rPr>
                <w:sz w:val="18"/>
                <w:szCs w:val="18"/>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Pledged at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Principal at</w:t>
            </w:r>
          </w:p>
        </w:tc>
        <w:tc>
          <w:tcPr>
            <w:tcW w:w="120" w:type="dxa"/>
            <w:vAlign w:val="bottom"/>
          </w:tcPr>
          <w:p>
            <w:pPr>
              <w:spacing w:after="0"/>
              <w:rPr>
                <w:sz w:val="18"/>
                <w:szCs w:val="18"/>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2"/>
              </w:rPr>
              <w:t>Principal at</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Rate at</w:t>
            </w:r>
          </w:p>
        </w:tc>
      </w:tr>
      <w:tr>
        <w:trPr>
          <w:trHeight w:val="230"/>
        </w:trPr>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Payment</w:t>
            </w:r>
          </w:p>
        </w:tc>
        <w:tc>
          <w:tcPr>
            <w:tcW w:w="18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Initial</w:t>
            </w:r>
          </w:p>
        </w:tc>
        <w:tc>
          <w:tcPr>
            <w:tcW w:w="16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9"/>
                <w:szCs w:val="19"/>
                <w:color w:val="auto"/>
              </w:rPr>
            </w:pPr>
          </w:p>
        </w:tc>
        <w:tc>
          <w:tcPr>
            <w:tcW w:w="144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0"/>
              </w:rPr>
              <w:t>December 31,</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1980" w:type="dxa"/>
            <w:vAlign w:val="bottom"/>
            <w:gridSpan w:val="2"/>
          </w:tcPr>
          <w:p>
            <w:pPr>
              <w:ind w:left="640"/>
              <w:spacing w:after="0"/>
              <w:rPr>
                <w:sz w:val="20"/>
                <w:szCs w:val="20"/>
                <w:color w:val="auto"/>
              </w:rPr>
            </w:pPr>
            <w:r>
              <w:rPr>
                <w:rFonts w:ascii="Arial" w:cs="Arial" w:eastAsia="Arial" w:hAnsi="Arial"/>
                <w:sz w:val="18"/>
                <w:szCs w:val="18"/>
                <w:b w:val="1"/>
                <w:bCs w:val="1"/>
                <w:color w:val="auto"/>
              </w:rPr>
              <w:t>Series</w:t>
            </w:r>
          </w:p>
        </w:tc>
        <w:tc>
          <w:tcPr>
            <w:tcW w:w="16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Date (1)</w:t>
            </w:r>
          </w:p>
        </w:tc>
        <w:tc>
          <w:tcPr>
            <w:tcW w:w="180" w:type="dxa"/>
            <w:vAlign w:val="bottom"/>
          </w:tcPr>
          <w:p>
            <w:pPr>
              <w:spacing w:after="0"/>
              <w:rPr>
                <w:sz w:val="20"/>
                <w:szCs w:val="20"/>
                <w:color w:val="auto"/>
              </w:rPr>
            </w:pPr>
          </w:p>
        </w:tc>
        <w:tc>
          <w:tcPr>
            <w:tcW w:w="12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2016 (2)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Principal</w:t>
            </w:r>
          </w:p>
        </w:tc>
        <w:tc>
          <w:tcPr>
            <w:tcW w:w="160" w:type="dxa"/>
            <w:vAlign w:val="bottom"/>
          </w:tcPr>
          <w:p>
            <w:pPr>
              <w:spacing w:after="0"/>
              <w:rPr>
                <w:sz w:val="20"/>
                <w:szCs w:val="20"/>
                <w:color w:val="auto"/>
              </w:rPr>
            </w:pPr>
          </w:p>
        </w:tc>
        <w:tc>
          <w:tcPr>
            <w:tcW w:w="12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r>
      <w:tr>
        <w:trPr>
          <w:trHeight w:val="210"/>
        </w:trPr>
        <w:tc>
          <w:tcPr>
            <w:tcW w:w="17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9"/>
              </w:rPr>
              <w:t>(Dollars in thousands)</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2011-B</w:t>
            </w:r>
          </w:p>
        </w:tc>
        <w:tc>
          <w:tcPr>
            <w:tcW w:w="16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September 2018</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109,936</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10,023</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980" w:type="dxa"/>
            <w:vAlign w:val="bottom"/>
            <w:gridSpan w:val="2"/>
          </w:tcPr>
          <w:p>
            <w:pPr>
              <w:ind w:left="120"/>
              <w:spacing w:after="0"/>
              <w:rPr>
                <w:sz w:val="20"/>
                <w:szCs w:val="20"/>
                <w:color w:val="auto"/>
              </w:rPr>
            </w:pPr>
            <w:r>
              <w:rPr>
                <w:rFonts w:ascii="Arial" w:cs="Arial" w:eastAsia="Arial" w:hAnsi="Arial"/>
                <w:sz w:val="18"/>
                <w:szCs w:val="18"/>
                <w:color w:val="auto"/>
              </w:rPr>
              <w:t>CPS 2011-C</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March 2019</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119,400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14,785</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9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2012-A</w:t>
            </w:r>
          </w:p>
        </w:tc>
        <w:tc>
          <w:tcPr>
            <w:tcW w:w="16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2019</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155,000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16,795</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980" w:type="dxa"/>
            <w:vAlign w:val="bottom"/>
            <w:gridSpan w:val="2"/>
          </w:tcPr>
          <w:p>
            <w:pPr>
              <w:ind w:left="120"/>
              <w:spacing w:after="0"/>
              <w:rPr>
                <w:sz w:val="20"/>
                <w:szCs w:val="20"/>
                <w:color w:val="auto"/>
              </w:rPr>
            </w:pPr>
            <w:r>
              <w:rPr>
                <w:rFonts w:ascii="Arial" w:cs="Arial" w:eastAsia="Arial" w:hAnsi="Arial"/>
                <w:sz w:val="18"/>
                <w:szCs w:val="18"/>
                <w:color w:val="auto"/>
              </w:rPr>
              <w:t>CPS 2012-B</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September 2019</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18,621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141,500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18,275</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26,758</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19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2012-C</w:t>
            </w:r>
          </w:p>
        </w:tc>
        <w:tc>
          <w:tcPr>
            <w:tcW w:w="16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2019</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21,589</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147,000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21,269</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30,653</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2.39%</w:t>
            </w:r>
          </w:p>
        </w:tc>
      </w:tr>
      <w:tr>
        <w:trPr>
          <w:trHeight w:val="216"/>
        </w:trPr>
        <w:tc>
          <w:tcPr>
            <w:tcW w:w="1980" w:type="dxa"/>
            <w:vAlign w:val="bottom"/>
            <w:gridSpan w:val="2"/>
          </w:tcPr>
          <w:p>
            <w:pPr>
              <w:ind w:left="120"/>
              <w:spacing w:after="0"/>
              <w:rPr>
                <w:sz w:val="20"/>
                <w:szCs w:val="20"/>
                <w:color w:val="auto"/>
              </w:rPr>
            </w:pPr>
            <w:r>
              <w:rPr>
                <w:rFonts w:ascii="Arial" w:cs="Arial" w:eastAsia="Arial" w:hAnsi="Arial"/>
                <w:sz w:val="18"/>
                <w:szCs w:val="18"/>
                <w:color w:val="auto"/>
              </w:rPr>
              <w:t>CPS 2012-D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March 2020</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27,579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160,000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26,304</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37,464</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19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2013-A</w:t>
            </w:r>
          </w:p>
        </w:tc>
        <w:tc>
          <w:tcPr>
            <w:tcW w:w="16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2020</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42,677</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185,000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40,925</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56,583</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1.77%</w:t>
            </w:r>
          </w:p>
        </w:tc>
      </w:tr>
      <w:tr>
        <w:trPr>
          <w:trHeight w:val="216"/>
        </w:trPr>
        <w:tc>
          <w:tcPr>
            <w:tcW w:w="1980" w:type="dxa"/>
            <w:vAlign w:val="bottom"/>
            <w:gridSpan w:val="2"/>
          </w:tcPr>
          <w:p>
            <w:pPr>
              <w:ind w:left="120"/>
              <w:spacing w:after="0"/>
              <w:rPr>
                <w:sz w:val="20"/>
                <w:szCs w:val="20"/>
                <w:color w:val="auto"/>
              </w:rPr>
            </w:pPr>
            <w:r>
              <w:rPr>
                <w:rFonts w:ascii="Arial" w:cs="Arial" w:eastAsia="Arial" w:hAnsi="Arial"/>
                <w:sz w:val="18"/>
                <w:szCs w:val="18"/>
                <w:color w:val="auto"/>
              </w:rPr>
              <w:t>CPS 2013-B</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September 2020</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54,229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205,000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51,854</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70,332</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r>
      <w:tr>
        <w:trPr>
          <w:trHeight w:val="216"/>
        </w:trPr>
        <w:tc>
          <w:tcPr>
            <w:tcW w:w="19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2013-C</w:t>
            </w:r>
          </w:p>
        </w:tc>
        <w:tc>
          <w:tcPr>
            <w:tcW w:w="16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2020</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63,533</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205,000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62,695</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82,851</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1980" w:type="dxa"/>
            <w:vAlign w:val="bottom"/>
            <w:gridSpan w:val="2"/>
          </w:tcPr>
          <w:p>
            <w:pPr>
              <w:ind w:left="120"/>
              <w:spacing w:after="0"/>
              <w:rPr>
                <w:sz w:val="20"/>
                <w:szCs w:val="20"/>
                <w:color w:val="auto"/>
              </w:rPr>
            </w:pPr>
            <w:r>
              <w:rPr>
                <w:rFonts w:ascii="Arial" w:cs="Arial" w:eastAsia="Arial" w:hAnsi="Arial"/>
                <w:sz w:val="18"/>
                <w:szCs w:val="18"/>
                <w:color w:val="auto"/>
              </w:rPr>
              <w:t>CPS 2013-D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March 2021</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63,683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183,000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62,318</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82,337</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r>
      <w:tr>
        <w:trPr>
          <w:trHeight w:val="216"/>
        </w:trPr>
        <w:tc>
          <w:tcPr>
            <w:tcW w:w="19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2014-A</w:t>
            </w:r>
          </w:p>
        </w:tc>
        <w:tc>
          <w:tcPr>
            <w:tcW w:w="16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2021</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72,629</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180,000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71,345</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92,571</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2.89%</w:t>
            </w:r>
          </w:p>
        </w:tc>
      </w:tr>
      <w:tr>
        <w:trPr>
          <w:trHeight w:val="216"/>
        </w:trPr>
        <w:tc>
          <w:tcPr>
            <w:tcW w:w="1980" w:type="dxa"/>
            <w:vAlign w:val="bottom"/>
            <w:gridSpan w:val="2"/>
          </w:tcPr>
          <w:p>
            <w:pPr>
              <w:ind w:left="120"/>
              <w:spacing w:after="0"/>
              <w:rPr>
                <w:sz w:val="20"/>
                <w:szCs w:val="20"/>
                <w:color w:val="auto"/>
              </w:rPr>
            </w:pPr>
            <w:r>
              <w:rPr>
                <w:rFonts w:ascii="Arial" w:cs="Arial" w:eastAsia="Arial" w:hAnsi="Arial"/>
                <w:sz w:val="18"/>
                <w:szCs w:val="18"/>
                <w:color w:val="auto"/>
              </w:rPr>
              <w:t>CPS 2014-B</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September 2021</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95,595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202,500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95,528</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121,515</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19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2014-C</w:t>
            </w:r>
          </w:p>
        </w:tc>
        <w:tc>
          <w:tcPr>
            <w:tcW w:w="16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2021</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146,749</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273,000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146,651</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183,802</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1980" w:type="dxa"/>
            <w:vAlign w:val="bottom"/>
            <w:gridSpan w:val="2"/>
          </w:tcPr>
          <w:p>
            <w:pPr>
              <w:ind w:left="120"/>
              <w:spacing w:after="0"/>
              <w:rPr>
                <w:sz w:val="20"/>
                <w:szCs w:val="20"/>
                <w:color w:val="auto"/>
              </w:rPr>
            </w:pPr>
            <w:r>
              <w:rPr>
                <w:rFonts w:ascii="Arial" w:cs="Arial" w:eastAsia="Arial" w:hAnsi="Arial"/>
                <w:sz w:val="18"/>
                <w:szCs w:val="18"/>
                <w:color w:val="auto"/>
              </w:rPr>
              <w:t>CPS 2014-D</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March 2022</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158,601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267,500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157,836</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198,533</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2.92%</w:t>
            </w:r>
          </w:p>
        </w:tc>
      </w:tr>
      <w:tr>
        <w:trPr>
          <w:trHeight w:val="216"/>
        </w:trPr>
        <w:tc>
          <w:tcPr>
            <w:tcW w:w="19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2015-A</w:t>
            </w:r>
          </w:p>
        </w:tc>
        <w:tc>
          <w:tcPr>
            <w:tcW w:w="16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2022</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165,646</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245,000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164,824</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201,527</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1980" w:type="dxa"/>
            <w:vAlign w:val="bottom"/>
            <w:gridSpan w:val="2"/>
          </w:tcPr>
          <w:p>
            <w:pPr>
              <w:ind w:left="120"/>
              <w:spacing w:after="0"/>
              <w:rPr>
                <w:sz w:val="20"/>
                <w:szCs w:val="20"/>
                <w:color w:val="auto"/>
              </w:rPr>
            </w:pPr>
            <w:r>
              <w:rPr>
                <w:rFonts w:ascii="Arial" w:cs="Arial" w:eastAsia="Arial" w:hAnsi="Arial"/>
                <w:sz w:val="18"/>
                <w:szCs w:val="18"/>
                <w:color w:val="auto"/>
              </w:rPr>
              <w:t>CPS 2015-B</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September 2022</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188,417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187,391</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221,587</w:t>
            </w:r>
          </w:p>
        </w:tc>
        <w:tc>
          <w:tcPr>
            <w:tcW w:w="10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2.74%</w:t>
            </w:r>
          </w:p>
        </w:tc>
      </w:tr>
      <w:tr>
        <w:trPr>
          <w:trHeight w:val="216"/>
        </w:trPr>
        <w:tc>
          <w:tcPr>
            <w:tcW w:w="19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2015-C</w:t>
            </w:r>
          </w:p>
        </w:tc>
        <w:tc>
          <w:tcPr>
            <w:tcW w:w="16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December 2022</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250,048</w:t>
            </w:r>
          </w:p>
        </w:tc>
        <w:tc>
          <w:tcPr>
            <w:tcW w:w="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300,000</w:t>
            </w: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246,956</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283,482</w:t>
            </w:r>
          </w:p>
        </w:tc>
        <w:tc>
          <w:tcPr>
            <w:tcW w:w="100" w:type="dxa"/>
            <w:vAlign w:val="bottom"/>
            <w:shd w:val="clear" w:color="auto" w:fill="EEEEEE"/>
          </w:tcPr>
          <w:p>
            <w:pPr>
              <w:spacing w:after="0"/>
              <w:rPr>
                <w:sz w:val="18"/>
                <w:szCs w:val="18"/>
                <w:color w:val="auto"/>
              </w:rPr>
            </w:pP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3.14%</w:t>
            </w:r>
          </w:p>
        </w:tc>
      </w:tr>
      <w:tr>
        <w:trPr>
          <w:trHeight w:val="216"/>
        </w:trPr>
        <w:tc>
          <w:tcPr>
            <w:tcW w:w="1980" w:type="dxa"/>
            <w:vAlign w:val="bottom"/>
            <w:gridSpan w:val="2"/>
          </w:tcPr>
          <w:p>
            <w:pPr>
              <w:ind w:left="120"/>
              <w:spacing w:after="0"/>
              <w:rPr>
                <w:sz w:val="20"/>
                <w:szCs w:val="20"/>
                <w:color w:val="auto"/>
              </w:rPr>
            </w:pPr>
            <w:r>
              <w:rPr>
                <w:rFonts w:ascii="Arial" w:cs="Arial" w:eastAsia="Arial" w:hAnsi="Arial"/>
                <w:sz w:val="18"/>
                <w:szCs w:val="18"/>
                <w:color w:val="auto"/>
              </w:rPr>
              <w:t>CPS 2016-A</w:t>
            </w:r>
          </w:p>
        </w:tc>
        <w:tc>
          <w:tcPr>
            <w:tcW w:w="1600" w:type="dxa"/>
            <w:vAlign w:val="bottom"/>
          </w:tcPr>
          <w:p>
            <w:pPr>
              <w:jc w:val="right"/>
              <w:ind w:right="30"/>
              <w:spacing w:after="0"/>
              <w:rPr>
                <w:sz w:val="20"/>
                <w:szCs w:val="20"/>
                <w:color w:val="auto"/>
              </w:rPr>
            </w:pPr>
            <w:r>
              <w:rPr>
                <w:rFonts w:ascii="Arial" w:cs="Arial" w:eastAsia="Arial" w:hAnsi="Arial"/>
                <w:sz w:val="18"/>
                <w:szCs w:val="18"/>
                <w:color w:val="auto"/>
              </w:rPr>
              <w:t>March 2023</w:t>
            </w:r>
          </w:p>
        </w:tc>
        <w:tc>
          <w:tcPr>
            <w:tcW w:w="18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311,343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329,460</w:t>
            </w:r>
          </w:p>
        </w:tc>
        <w:tc>
          <w:tcPr>
            <w:tcW w:w="16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294,583</w:t>
            </w:r>
          </w:p>
        </w:tc>
        <w:tc>
          <w:tcPr>
            <w:tcW w:w="12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r>
      <w:tr>
        <w:trPr>
          <w:trHeight w:val="230"/>
        </w:trPr>
        <w:tc>
          <w:tcPr>
            <w:tcW w:w="1980" w:type="dxa"/>
            <w:vAlign w:val="bottom"/>
            <w:gridSpan w:val="2"/>
            <w:shd w:val="clear" w:color="auto" w:fill="EEEEEE"/>
          </w:tcPr>
          <w:p>
            <w:pPr>
              <w:ind w:left="120"/>
              <w:spacing w:after="0"/>
              <w:rPr>
                <w:sz w:val="20"/>
                <w:szCs w:val="20"/>
                <w:color w:val="auto"/>
              </w:rPr>
            </w:pPr>
            <w:r>
              <w:rPr>
                <w:rFonts w:ascii="Arial" w:cs="Arial" w:eastAsia="Arial" w:hAnsi="Arial"/>
                <w:sz w:val="18"/>
                <w:szCs w:val="18"/>
                <w:color w:val="auto"/>
              </w:rPr>
              <w:t>CPS 2016-B</w:t>
            </w:r>
          </w:p>
        </w:tc>
        <w:tc>
          <w:tcPr>
            <w:tcW w:w="1600" w:type="dxa"/>
            <w:vAlign w:val="bottom"/>
            <w:shd w:val="clear" w:color="auto" w:fill="EEEEEE"/>
          </w:tcPr>
          <w:p>
            <w:pPr>
              <w:jc w:val="right"/>
              <w:ind w:right="30"/>
              <w:spacing w:after="0"/>
              <w:rPr>
                <w:sz w:val="20"/>
                <w:szCs w:val="20"/>
                <w:color w:val="auto"/>
              </w:rPr>
            </w:pPr>
            <w:r>
              <w:rPr>
                <w:rFonts w:ascii="Arial" w:cs="Arial" w:eastAsia="Arial" w:hAnsi="Arial"/>
                <w:sz w:val="18"/>
                <w:szCs w:val="18"/>
                <w:color w:val="auto"/>
              </w:rPr>
              <w:t>June 2023</w:t>
            </w:r>
          </w:p>
        </w:tc>
        <w:tc>
          <w:tcPr>
            <w:tcW w:w="18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330,267</w:t>
            </w:r>
          </w:p>
        </w:tc>
        <w:tc>
          <w:tcPr>
            <w:tcW w:w="1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332,690</w:t>
            </w:r>
          </w:p>
        </w:tc>
        <w:tc>
          <w:tcPr>
            <w:tcW w:w="16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320,860</w:t>
            </w:r>
          </w:p>
        </w:tc>
        <w:tc>
          <w:tcPr>
            <w:tcW w:w="120" w:type="dxa"/>
            <w:vAlign w:val="bottom"/>
            <w:shd w:val="clear" w:color="auto" w:fill="EEEEEE"/>
          </w:tcPr>
          <w:p>
            <w:pPr>
              <w:spacing w:after="0"/>
              <w:rPr>
                <w:sz w:val="19"/>
                <w:szCs w:val="19"/>
                <w:color w:val="auto"/>
              </w:rPr>
            </w:pPr>
          </w:p>
        </w:tc>
        <w:tc>
          <w:tcPr>
            <w:tcW w:w="14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3.59%</w:t>
            </w:r>
          </w:p>
        </w:tc>
      </w:tr>
      <w:tr>
        <w:trPr>
          <w:trHeight w:val="224"/>
        </w:trPr>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2,011,206</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3,990,986</w:t>
            </w:r>
          </w:p>
        </w:tc>
        <w:tc>
          <w:tcPr>
            <w:tcW w:w="24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1,969,614</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1,731,598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0</wp:posOffset>
            </wp:positionV>
            <wp:extent cx="3910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-130175</wp:posOffset>
            </wp:positionV>
            <wp:extent cx="3910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3" w:lineRule="exact"/>
        <w:rPr>
          <w:sz w:val="20"/>
          <w:szCs w:val="20"/>
          <w:color w:val="auto"/>
        </w:rPr>
      </w:pPr>
    </w:p>
    <w:p>
      <w:pPr>
        <w:jc w:val="both"/>
        <w:ind w:left="380" w:hanging="372"/>
        <w:spacing w:after="0" w:line="254" w:lineRule="auto"/>
        <w:tabs>
          <w:tab w:leader="none" w:pos="3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Final Scheduled Payment Date represents final legal maturity of the securitization trust debt. Securitization trust debt is expected to become due and to be paid prior to those dates, based on amortization of the finance receivables pledged to the trusts. Expected payments, which will depend on the performance of such receivables, as to which there can be no assurance, are $400.4 million in 2016, $673.4 million in 2017, $458.5 million in 2018, $268.7 million in 2019, $134.5 million in 2020, $34.1 million in 2021.</w:t>
      </w:r>
    </w:p>
    <w:p>
      <w:pPr>
        <w:spacing w:after="0" w:line="189" w:lineRule="exact"/>
        <w:rPr>
          <w:rFonts w:ascii="Arial" w:cs="Arial" w:eastAsia="Arial" w:hAnsi="Arial"/>
          <w:sz w:val="18"/>
          <w:szCs w:val="18"/>
          <w:i w:val="1"/>
          <w:iCs w:val="1"/>
          <w:color w:val="auto"/>
        </w:rPr>
      </w:pPr>
    </w:p>
    <w:p>
      <w:pPr>
        <w:ind w:left="380" w:hanging="372"/>
        <w:spacing w:after="0"/>
        <w:tabs>
          <w:tab w:leader="none" w:pos="38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Includes repossessed assets that are included in Other assets on our Unaudited Condensed Consolidated Balance Sheet.</w:t>
      </w:r>
    </w:p>
    <w:p>
      <w:pPr>
        <w:spacing w:after="0" w:line="33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of $13.0 million and $11.6 million as of June 30, 2016 and December 31, 2015, respectively, have been excluded from the table above. These debt issuance costs are presented as a direct deduction to the carrying amount of the Securitization trust debt on our Unaudited Condensed Consolidated Balance Sheets.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of the securitization trust debt was sold in private placement transactions to qualified institutional buyers. The debt was issued through our wholly-owned bankruptcy remote subsidiaries and is secured by the assets of such subsidiaries, but not by our other assets.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terms of the securitization agreements related to the issuance of the securitization trust debt and the warehouse credit facilities require that we meet certain delinquency and credit loss criteria with respect to the pool of receivables, and certain of the agreements require that we maintain minimum levels of liquidity and not exceed maximum leverage levels. As of June 30, 2016, we were in compliance with all such covenants.</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responsible for the administration and collection of the automobile contracts. The securitization agreements also require certain funds be held in restricted cash accounts to provide additional collateral for the borrowings, to be applied to make payments on the securitization trust debt or as pre-funding proceeds from a term securitization prior to the purchase of additional collateral. As of June 30, 2016, restricted cash under the various agreements totaled approximately $115.3 million. Interest expense on the securitization trust debt consists of the stated rate of interest plus amortization of additional costs of borrowing. Additional costs of borrowing include facility fees, amortization of deferred financing costs and discounts on notes sold. Deferred financing costs and discounts on notes sold related to the securitization trust debt are amortized using a level yield method. Accordingly, the effective cost of the securitization trust debt is greater than the contractual rate of interest disclosed above.</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wholly-owned bankruptcy remote subsidiaries were formed to facilitate the above asset-backed financing transactions. Similar bankruptcy remote subsidiaries issue the debt outstanding under our credit facilities. Bankruptcy remote refers to a legal structure in which it is expected that the applicable entity would not be included in any bankruptcy filing by its parent or affiliates. All of the assets of these subsidiaries have been pledged as collateral for the related debt. All such transactions, treated as secured financings for accounting and tax purposes, are treated as sales for all other purposes, including legal and bankruptcy purposes. None of the assets of these subsidiaries are available to pay other creditors.</w:t>
      </w:r>
    </w:p>
    <w:p>
      <w:pPr>
        <w:spacing w:after="0" w:line="173"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and amounts of our other debt outstanding at June 30, 2016 and December 31, 2015 are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6"/>
          </w:tcPr>
          <w:p>
            <w:pPr>
              <w:ind w:left="480"/>
              <w:spacing w:after="0"/>
              <w:rPr>
                <w:sz w:val="20"/>
                <w:szCs w:val="20"/>
                <w:color w:val="auto"/>
              </w:rPr>
            </w:pPr>
            <w:r>
              <w:rPr>
                <w:rFonts w:ascii="Arial" w:cs="Arial" w:eastAsia="Arial" w:hAnsi="Arial"/>
                <w:sz w:val="18"/>
                <w:szCs w:val="18"/>
                <w:b w:val="1"/>
                <w:bCs w:val="1"/>
                <w:color w:val="auto"/>
              </w:rPr>
              <w:t>Amount Outstanding at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gridSpan w:val="2"/>
          </w:tcPr>
          <w:p>
            <w:pPr>
              <w:ind w:left="180"/>
              <w:spacing w:after="0" w:line="205" w:lineRule="exact"/>
              <w:rPr>
                <w:sz w:val="20"/>
                <w:szCs w:val="20"/>
                <w:color w:val="auto"/>
              </w:rPr>
            </w:pPr>
            <w:r>
              <w:rPr>
                <w:rFonts w:ascii="Arial" w:cs="Arial" w:eastAsia="Arial" w:hAnsi="Arial"/>
                <w:sz w:val="18"/>
                <w:szCs w:val="18"/>
                <w:b w:val="1"/>
                <w:bCs w:val="1"/>
                <w:color w:val="auto"/>
              </w:rPr>
              <w:t>June 30,</w:t>
            </w:r>
          </w:p>
        </w:tc>
        <w:tc>
          <w:tcPr>
            <w:tcW w:w="1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ind w:right="130"/>
              <w:spacing w:after="0" w:line="205" w:lineRule="exact"/>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280" w:type="dxa"/>
            <w:vAlign w:val="bottom"/>
            <w:gridSpan w:val="2"/>
            <w:vMerge w:val="restart"/>
          </w:tcPr>
          <w:p>
            <w:pPr>
              <w:ind w:left="600"/>
              <w:spacing w:after="0"/>
              <w:rPr>
                <w:sz w:val="20"/>
                <w:szCs w:val="20"/>
                <w:color w:val="auto"/>
              </w:rPr>
            </w:pPr>
            <w:r>
              <w:rPr>
                <w:rFonts w:ascii="Arial" w:cs="Arial" w:eastAsia="Arial" w:hAnsi="Arial"/>
                <w:sz w:val="18"/>
                <w:szCs w:val="18"/>
                <w:color w:val="auto"/>
              </w:rPr>
              <w:t>Description</w:t>
            </w:r>
          </w:p>
        </w:tc>
        <w:tc>
          <w:tcPr>
            <w:tcW w:w="274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89"/>
              </w:rPr>
              <w:t>Interest Rate</w:t>
            </w:r>
          </w:p>
        </w:tc>
        <w:tc>
          <w:tcPr>
            <w:tcW w:w="3240" w:type="dxa"/>
            <w:vAlign w:val="bottom"/>
            <w:gridSpan w:val="3"/>
            <w:vMerge w:val="restart"/>
          </w:tcPr>
          <w:p>
            <w:pPr>
              <w:jc w:val="right"/>
              <w:ind w:right="1525"/>
              <w:spacing w:after="0"/>
              <w:rPr>
                <w:sz w:val="20"/>
                <w:szCs w:val="20"/>
                <w:color w:val="auto"/>
              </w:rPr>
            </w:pPr>
            <w:r>
              <w:rPr>
                <w:rFonts w:ascii="Arial" w:cs="Arial" w:eastAsia="Arial" w:hAnsi="Arial"/>
                <w:sz w:val="18"/>
                <w:szCs w:val="18"/>
                <w:color w:val="auto"/>
              </w:rPr>
              <w:t>Maturity</w:t>
            </w:r>
          </w:p>
        </w:tc>
        <w:tc>
          <w:tcPr>
            <w:tcW w:w="3040" w:type="dxa"/>
            <w:vAlign w:val="bottom"/>
            <w:gridSpan w:val="5"/>
          </w:tcPr>
          <w:p>
            <w:pPr>
              <w:jc w:val="right"/>
              <w:ind w:right="101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280" w:type="dxa"/>
            <w:vAlign w:val="bottom"/>
            <w:gridSpan w:val="2"/>
            <w:vMerge w:val="continue"/>
          </w:tcPr>
          <w:p>
            <w:pPr>
              <w:spacing w:after="0"/>
              <w:rPr>
                <w:sz w:val="17"/>
                <w:szCs w:val="17"/>
                <w:color w:val="auto"/>
              </w:rPr>
            </w:pPr>
          </w:p>
        </w:tc>
        <w:tc>
          <w:tcPr>
            <w:tcW w:w="2740" w:type="dxa"/>
            <w:vAlign w:val="bottom"/>
            <w:gridSpan w:val="2"/>
            <w:vMerge w:val="continue"/>
          </w:tcPr>
          <w:p>
            <w:pPr>
              <w:spacing w:after="0"/>
              <w:rPr>
                <w:sz w:val="17"/>
                <w:szCs w:val="17"/>
                <w:color w:val="auto"/>
              </w:rPr>
            </w:pPr>
          </w:p>
        </w:tc>
        <w:tc>
          <w:tcPr>
            <w:tcW w:w="3240" w:type="dxa"/>
            <w:vAlign w:val="bottom"/>
            <w:gridSpan w:val="3"/>
            <w:vMerge w:val="continue"/>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Warehouse lines of credit</w:t>
            </w:r>
          </w:p>
        </w:tc>
        <w:tc>
          <w:tcPr>
            <w:tcW w:w="274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1"/>
              </w:rPr>
              <w:t>5.50% over one month Libor</w:t>
            </w:r>
          </w:p>
        </w:tc>
        <w:tc>
          <w:tcPr>
            <w:tcW w:w="3240" w:type="dxa"/>
            <w:vAlign w:val="bottom"/>
            <w:gridSpan w:val="3"/>
            <w:shd w:val="clear" w:color="auto" w:fill="EEEEEE"/>
          </w:tcPr>
          <w:p>
            <w:pPr>
              <w:jc w:val="center"/>
              <w:ind w:right="385"/>
              <w:spacing w:after="0" w:line="201" w:lineRule="exact"/>
              <w:rPr>
                <w:sz w:val="20"/>
                <w:szCs w:val="20"/>
                <w:color w:val="auto"/>
              </w:rPr>
            </w:pPr>
            <w:r>
              <w:rPr>
                <w:rFonts w:ascii="Arial" w:cs="Arial" w:eastAsia="Arial" w:hAnsi="Arial"/>
                <w:sz w:val="18"/>
                <w:szCs w:val="18"/>
                <w:color w:val="auto"/>
                <w:w w:val="96"/>
              </w:rPr>
              <w:t>April 2019</w:t>
            </w:r>
          </w:p>
        </w:tc>
        <w:tc>
          <w:tcPr>
            <w:tcW w:w="1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7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6"/>
              </w:rPr>
              <w:t>(Minimum 6.50%)</w:t>
            </w:r>
          </w:p>
        </w:tc>
        <w:tc>
          <w:tcPr>
            <w:tcW w:w="3240" w:type="dxa"/>
            <w:vAlign w:val="bottom"/>
            <w:gridSpan w:val="3"/>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78,404</w:t>
            </w:r>
          </w:p>
        </w:tc>
        <w:tc>
          <w:tcPr>
            <w:tcW w:w="320" w:type="dxa"/>
            <w:vAlign w:val="bottom"/>
            <w:gridSpan w:val="2"/>
            <w:shd w:val="clear" w:color="auto" w:fill="EEEEEE"/>
          </w:tcPr>
          <w:p>
            <w:pPr>
              <w:jc w:val="right"/>
              <w:ind w:right="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91,504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74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91"/>
              </w:rPr>
              <w:t>5.50% over one month Libor</w:t>
            </w:r>
          </w:p>
        </w:tc>
        <w:tc>
          <w:tcPr>
            <w:tcW w:w="3240" w:type="dxa"/>
            <w:vAlign w:val="bottom"/>
            <w:gridSpan w:val="3"/>
            <w:shd w:val="clear" w:color="auto" w:fill="EEEEEE"/>
          </w:tcPr>
          <w:p>
            <w:pPr>
              <w:jc w:val="center"/>
              <w:ind w:right="405"/>
              <w:spacing w:after="0" w:line="201" w:lineRule="exact"/>
              <w:rPr>
                <w:sz w:val="20"/>
                <w:szCs w:val="20"/>
                <w:color w:val="auto"/>
              </w:rPr>
            </w:pPr>
            <w:r>
              <w:rPr>
                <w:rFonts w:ascii="Arial" w:cs="Arial" w:eastAsia="Arial" w:hAnsi="Arial"/>
                <w:sz w:val="18"/>
                <w:szCs w:val="18"/>
                <w:color w:val="auto"/>
                <w:w w:val="90"/>
              </w:rPr>
              <w:t>August 2017</w:t>
            </w:r>
          </w:p>
        </w:tc>
        <w:tc>
          <w:tcPr>
            <w:tcW w:w="1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7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6"/>
              </w:rPr>
              <w:t>(Minimum 6.25%)</w:t>
            </w:r>
          </w:p>
        </w:tc>
        <w:tc>
          <w:tcPr>
            <w:tcW w:w="264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40,079</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74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89"/>
              </w:rPr>
              <w:t>6.75% over a commercial paper</w:t>
            </w:r>
          </w:p>
        </w:tc>
        <w:tc>
          <w:tcPr>
            <w:tcW w:w="3240" w:type="dxa"/>
            <w:vAlign w:val="bottom"/>
            <w:gridSpan w:val="3"/>
            <w:shd w:val="clear" w:color="auto" w:fill="EEEEEE"/>
          </w:tcPr>
          <w:p>
            <w:pPr>
              <w:jc w:val="center"/>
              <w:ind w:right="405"/>
              <w:spacing w:after="0" w:line="201" w:lineRule="exact"/>
              <w:rPr>
                <w:sz w:val="20"/>
                <w:szCs w:val="20"/>
                <w:color w:val="auto"/>
              </w:rPr>
            </w:pPr>
            <w:r>
              <w:rPr>
                <w:rFonts w:ascii="Arial" w:cs="Arial" w:eastAsia="Arial" w:hAnsi="Arial"/>
                <w:sz w:val="18"/>
                <w:szCs w:val="18"/>
                <w:color w:val="auto"/>
                <w:w w:val="90"/>
              </w:rPr>
              <w:t>November 2019</w:t>
            </w:r>
          </w:p>
        </w:tc>
        <w:tc>
          <w:tcPr>
            <w:tcW w:w="1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7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0"/>
              </w:rPr>
              <w:t>rate</w:t>
            </w:r>
          </w:p>
        </w:tc>
        <w:tc>
          <w:tcPr>
            <w:tcW w:w="26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7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6"/>
              </w:rPr>
              <w:t>(Minimum 7.75%)</w:t>
            </w:r>
          </w:p>
        </w:tc>
        <w:tc>
          <w:tcPr>
            <w:tcW w:w="2640" w:type="dxa"/>
            <w:vAlign w:val="bottom"/>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48,123</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7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91"/>
              </w:rPr>
              <w:t>11.75% over one month Libor</w:t>
            </w:r>
          </w:p>
        </w:tc>
        <w:tc>
          <w:tcPr>
            <w:tcW w:w="3240" w:type="dxa"/>
            <w:vAlign w:val="bottom"/>
            <w:gridSpan w:val="3"/>
            <w:shd w:val="clear" w:color="auto" w:fill="EEEEEE"/>
          </w:tcPr>
          <w:p>
            <w:pPr>
              <w:jc w:val="center"/>
              <w:ind w:right="385"/>
              <w:spacing w:after="0"/>
              <w:rPr>
                <w:sz w:val="20"/>
                <w:szCs w:val="20"/>
                <w:color w:val="auto"/>
              </w:rPr>
            </w:pPr>
            <w:r>
              <w:rPr>
                <w:rFonts w:ascii="Arial" w:cs="Arial" w:eastAsia="Arial" w:hAnsi="Arial"/>
                <w:sz w:val="18"/>
                <w:szCs w:val="18"/>
                <w:color w:val="auto"/>
                <w:w w:val="96"/>
              </w:rPr>
              <w:t>April 2018</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7,455</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rPr>
              <w:t>Subordinated renewable</w:t>
            </w:r>
          </w:p>
        </w:tc>
        <w:tc>
          <w:tcPr>
            <w:tcW w:w="2740" w:type="dxa"/>
            <w:vAlign w:val="bottom"/>
            <w:gridSpan w:val="2"/>
            <w:shd w:val="clear" w:color="auto" w:fill="EEEEEE"/>
          </w:tcPr>
          <w:p>
            <w:pPr>
              <w:jc w:val="center"/>
              <w:ind w:right="220"/>
              <w:spacing w:after="0" w:line="201" w:lineRule="exact"/>
              <w:rPr>
                <w:sz w:val="20"/>
                <w:szCs w:val="20"/>
                <w:color w:val="auto"/>
              </w:rPr>
            </w:pPr>
            <w:r>
              <w:rPr>
                <w:rFonts w:ascii="Arial" w:cs="Arial" w:eastAsia="Arial" w:hAnsi="Arial"/>
                <w:sz w:val="18"/>
                <w:szCs w:val="18"/>
                <w:color w:val="auto"/>
                <w:w w:val="89"/>
              </w:rPr>
              <w:t>Weighted average rate of 8.70%</w:t>
            </w:r>
          </w:p>
        </w:tc>
        <w:tc>
          <w:tcPr>
            <w:tcW w:w="3240" w:type="dxa"/>
            <w:vAlign w:val="bottom"/>
            <w:gridSpan w:val="3"/>
            <w:shd w:val="clear" w:color="auto" w:fill="EEEEEE"/>
          </w:tcPr>
          <w:p>
            <w:pPr>
              <w:jc w:val="center"/>
              <w:ind w:right="385"/>
              <w:spacing w:after="0" w:line="201" w:lineRule="exact"/>
              <w:rPr>
                <w:sz w:val="20"/>
                <w:szCs w:val="20"/>
                <w:color w:val="auto"/>
              </w:rPr>
            </w:pPr>
            <w:r>
              <w:rPr>
                <w:rFonts w:ascii="Arial" w:cs="Arial" w:eastAsia="Arial" w:hAnsi="Arial"/>
                <w:sz w:val="18"/>
                <w:szCs w:val="18"/>
                <w:color w:val="auto"/>
                <w:w w:val="91"/>
              </w:rPr>
              <w:t>Weighted average maturity of</w:t>
            </w:r>
          </w:p>
        </w:tc>
        <w:tc>
          <w:tcPr>
            <w:tcW w:w="12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notes</w:t>
            </w:r>
          </w:p>
        </w:tc>
        <w:tc>
          <w:tcPr>
            <w:tcW w:w="27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7"/>
              </w:rPr>
              <w:t>and 9.04% at June 30, 2016 and</w:t>
            </w:r>
          </w:p>
        </w:tc>
        <w:tc>
          <w:tcPr>
            <w:tcW w:w="3240" w:type="dxa"/>
            <w:vAlign w:val="bottom"/>
            <w:gridSpan w:val="3"/>
            <w:shd w:val="clear" w:color="auto" w:fill="EEEEEE"/>
          </w:tcPr>
          <w:p>
            <w:pPr>
              <w:jc w:val="center"/>
              <w:ind w:right="405"/>
              <w:spacing w:after="0"/>
              <w:rPr>
                <w:sz w:val="20"/>
                <w:szCs w:val="20"/>
                <w:color w:val="auto"/>
              </w:rPr>
            </w:pPr>
            <w:r>
              <w:rPr>
                <w:rFonts w:ascii="Arial" w:cs="Arial" w:eastAsia="Arial" w:hAnsi="Arial"/>
                <w:sz w:val="18"/>
                <w:szCs w:val="18"/>
                <w:color w:val="auto"/>
                <w:w w:val="90"/>
              </w:rPr>
              <w:t>February 2018 and October 2017</w:t>
            </w: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74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9"/>
              </w:rPr>
              <w:t>December 31, 2015 , respectively</w:t>
            </w:r>
          </w:p>
        </w:tc>
        <w:tc>
          <w:tcPr>
            <w:tcW w:w="3240" w:type="dxa"/>
            <w:vAlign w:val="bottom"/>
            <w:gridSpan w:val="3"/>
            <w:shd w:val="clear" w:color="auto" w:fill="EEEEEE"/>
          </w:tcPr>
          <w:p>
            <w:pPr>
              <w:jc w:val="center"/>
              <w:ind w:right="405"/>
              <w:spacing w:after="0"/>
              <w:rPr>
                <w:sz w:val="20"/>
                <w:szCs w:val="20"/>
                <w:color w:val="auto"/>
              </w:rPr>
            </w:pPr>
            <w:r>
              <w:rPr>
                <w:rFonts w:ascii="Arial" w:cs="Arial" w:eastAsia="Arial" w:hAnsi="Arial"/>
                <w:sz w:val="18"/>
                <w:szCs w:val="18"/>
                <w:color w:val="auto"/>
                <w:w w:val="88"/>
              </w:rPr>
              <w:t>at June 30, 2016 and December</w:t>
            </w:r>
          </w:p>
        </w:tc>
        <w:tc>
          <w:tcPr>
            <w:tcW w:w="12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5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3240" w:type="dxa"/>
            <w:vAlign w:val="bottom"/>
            <w:gridSpan w:val="3"/>
            <w:shd w:val="clear" w:color="auto" w:fill="EEEEEE"/>
          </w:tcPr>
          <w:p>
            <w:pPr>
              <w:jc w:val="center"/>
              <w:ind w:right="405"/>
              <w:spacing w:after="0"/>
              <w:rPr>
                <w:sz w:val="20"/>
                <w:szCs w:val="20"/>
                <w:color w:val="auto"/>
              </w:rPr>
            </w:pPr>
            <w:r>
              <w:rPr>
                <w:rFonts w:ascii="Arial" w:cs="Arial" w:eastAsia="Arial" w:hAnsi="Arial"/>
                <w:sz w:val="18"/>
                <w:szCs w:val="18"/>
                <w:color w:val="auto"/>
                <w:w w:val="91"/>
              </w:rPr>
              <w:t>31, 2015, respectively</w:t>
            </w:r>
          </w:p>
        </w:tc>
        <w:tc>
          <w:tcPr>
            <w:tcW w:w="1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15,257</w:t>
            </w:r>
          </w:p>
        </w:tc>
        <w:tc>
          <w:tcPr>
            <w:tcW w:w="16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1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06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520" w:type="dxa"/>
            <w:vAlign w:val="bottom"/>
            <w:tcBorders>
              <w:bottom w:val="single" w:sz="8" w:color="EEEEEE"/>
            </w:tcBorders>
          </w:tcPr>
          <w:p>
            <w:pPr>
              <w:spacing w:after="0"/>
              <w:rPr>
                <w:sz w:val="19"/>
                <w:szCs w:val="19"/>
                <w:color w:val="auto"/>
              </w:rPr>
            </w:pPr>
          </w:p>
        </w:tc>
        <w:tc>
          <w:tcPr>
            <w:tcW w:w="220" w:type="dxa"/>
            <w:vAlign w:val="bottom"/>
            <w:tcBorders>
              <w:bottom w:val="single" w:sz="8" w:color="EEEEEE"/>
            </w:tcBorders>
          </w:tcPr>
          <w:p>
            <w:pPr>
              <w:spacing w:after="0"/>
              <w:rPr>
                <w:sz w:val="19"/>
                <w:szCs w:val="19"/>
                <w:color w:val="auto"/>
              </w:rPr>
            </w:pPr>
          </w:p>
        </w:tc>
        <w:tc>
          <w:tcPr>
            <w:tcW w:w="2640" w:type="dxa"/>
            <w:vAlign w:val="bottom"/>
            <w:tcBorders>
              <w:bottom w:val="single" w:sz="8" w:color="EEEEEE"/>
            </w:tcBorders>
          </w:tcPr>
          <w:p>
            <w:pPr>
              <w:spacing w:after="0"/>
              <w:rPr>
                <w:sz w:val="19"/>
                <w:szCs w:val="19"/>
                <w:color w:val="auto"/>
              </w:rPr>
            </w:pPr>
          </w:p>
        </w:tc>
        <w:tc>
          <w:tcPr>
            <w:tcW w:w="360" w:type="dxa"/>
            <w:vAlign w:val="bottom"/>
            <w:tcBorders>
              <w:bottom w:val="single" w:sz="8" w:color="EEEEEE"/>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6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52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EEEEEE"/>
            </w:tcBorders>
            <w:shd w:val="clear" w:color="auto" w:fill="EEEEEE"/>
          </w:tcPr>
          <w:p>
            <w:pPr>
              <w:spacing w:after="0"/>
              <w:rPr>
                <w:sz w:val="19"/>
                <w:szCs w:val="19"/>
                <w:color w:val="auto"/>
              </w:rPr>
            </w:pPr>
          </w:p>
        </w:tc>
        <w:tc>
          <w:tcPr>
            <w:tcW w:w="2640" w:type="dxa"/>
            <w:vAlign w:val="bottom"/>
            <w:tcBorders>
              <w:bottom w:val="single" w:sz="8" w:color="EEEEEE"/>
            </w:tcBorders>
            <w:shd w:val="clear" w:color="auto" w:fill="EEEEEE"/>
          </w:tcPr>
          <w:p>
            <w:pPr>
              <w:spacing w:after="0"/>
              <w:rPr>
                <w:sz w:val="19"/>
                <w:szCs w:val="19"/>
                <w:color w:val="auto"/>
              </w:rPr>
            </w:pPr>
          </w:p>
        </w:tc>
        <w:tc>
          <w:tcPr>
            <w:tcW w:w="3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189,318</w:t>
            </w: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220,641</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Debt issuance costs of $1.5 million and $2.4 million as of June 30, 2016 and December 31, 2015, respectively, have been excluded from the table above. These debt issuance costs are presented as a direct deduction to the carrying amount of the Warehouse lines of credit on our Unaudited Condensed Consolidated Balance Sheets.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Interest Income and 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interest income:</w:t>
      </w: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Interest on finance receivables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interest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19"/>
                <w:szCs w:val="19"/>
                <w:color w:val="auto"/>
              </w:rPr>
            </w:pPr>
          </w:p>
        </w:tc>
        <w:tc>
          <w:tcPr>
            <w:tcW w:w="278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560" w:type="dxa"/>
            <w:vAlign w:val="bottom"/>
            <w:gridSpan w:val="5"/>
          </w:tcPr>
          <w:p>
            <w:pPr>
              <w:jc w:val="center"/>
              <w:ind w:right="170"/>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r>
      <w:tr>
        <w:trPr>
          <w:trHeight w:val="223"/>
        </w:trPr>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2015</w:t>
            </w:r>
          </w:p>
        </w:tc>
      </w:tr>
      <w:tr>
        <w:trPr>
          <w:trHeight w:val="195"/>
        </w:trPr>
        <w:tc>
          <w:tcPr>
            <w:tcW w:w="280" w:type="dxa"/>
            <w:vAlign w:val="bottom"/>
          </w:tcPr>
          <w:p>
            <w:pPr>
              <w:spacing w:after="0"/>
              <w:rPr>
                <w:sz w:val="16"/>
                <w:szCs w:val="16"/>
                <w:color w:val="auto"/>
              </w:rPr>
            </w:pPr>
          </w:p>
        </w:tc>
        <w:tc>
          <w:tcPr>
            <w:tcW w:w="1760" w:type="dxa"/>
            <w:vAlign w:val="bottom"/>
            <w:gridSpan w:val="4"/>
          </w:tcPr>
          <w:p>
            <w:pPr>
              <w:jc w:val="center"/>
              <w:ind w:left="47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20" w:type="dxa"/>
            <w:vAlign w:val="bottom"/>
            <w:gridSpan w:val="4"/>
          </w:tcPr>
          <w:p>
            <w:pPr>
              <w:jc w:val="center"/>
              <w:ind w:left="470"/>
              <w:spacing w:after="0" w:line="195" w:lineRule="exact"/>
              <w:rPr>
                <w:sz w:val="20"/>
                <w:szCs w:val="20"/>
                <w:color w:val="auto"/>
              </w:rPr>
            </w:pPr>
            <w:r>
              <w:rPr>
                <w:rFonts w:ascii="Arial" w:cs="Arial" w:eastAsia="Arial" w:hAnsi="Arial"/>
                <w:sz w:val="18"/>
                <w:szCs w:val="18"/>
                <w:b w:val="1"/>
                <w:bCs w:val="1"/>
                <w:color w:val="auto"/>
                <w:w w:val="90"/>
              </w:rPr>
              <w:t>(In thousands)</w:t>
            </w:r>
          </w:p>
        </w:tc>
        <w:tc>
          <w:tcPr>
            <w:tcW w:w="840" w:type="dxa"/>
            <w:vAlign w:val="bottom"/>
          </w:tcPr>
          <w:p>
            <w:pPr>
              <w:spacing w:after="0"/>
              <w:rPr>
                <w:sz w:val="16"/>
                <w:szCs w:val="16"/>
                <w:color w:val="auto"/>
              </w:rPr>
            </w:pPr>
          </w:p>
        </w:tc>
      </w:tr>
      <w:tr>
        <w:trPr>
          <w:trHeight w:val="216"/>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101,624</w:t>
            </w:r>
          </w:p>
        </w:tc>
        <w:tc>
          <w:tcPr>
            <w:tcW w:w="60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84,872</w:t>
            </w:r>
          </w:p>
        </w:tc>
        <w:tc>
          <w:tcPr>
            <w:tcW w:w="4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198,252</w:t>
            </w: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167,193</w:t>
            </w:r>
          </w:p>
        </w:tc>
      </w:tr>
      <w:tr>
        <w:trPr>
          <w:trHeight w:val="230"/>
        </w:trPr>
        <w:tc>
          <w:tcPr>
            <w:tcW w:w="28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30"/>
        </w:trPr>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120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84,900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198,372</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167,259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-599440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-325120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40" w:space="720"/>
            <w:col w:w="6160"/>
          </w:cols>
          <w:pgMar w:left="240" w:top="796" w:right="239" w:bottom="1440" w:gutter="0" w:footer="0" w:header="0"/>
          <w:type w:val="continuous"/>
        </w:sectPr>
      </w:pPr>
    </w:p>
    <w:p>
      <w:pPr>
        <w:spacing w:after="0" w:line="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components of interest expense:</w:t>
      </w:r>
    </w:p>
    <w:p>
      <w:pPr>
        <w:sectPr>
          <w:pgSz w:w="11900" w:h="16838" w:orient="portrait"/>
          <w:cols w:equalWidth="0" w:num="1">
            <w:col w:w="11420"/>
          </w:cols>
          <w:pgMar w:left="240" w:top="7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Securitization trust debt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Warehouse lines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Residual interest financing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Subordinated renewable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9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Earnings Per Share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2015</w:t>
            </w:r>
          </w:p>
        </w:tc>
      </w:tr>
      <w:tr>
        <w:trPr>
          <w:trHeight w:val="195"/>
        </w:trPr>
        <w:tc>
          <w:tcPr>
            <w:tcW w:w="280" w:type="dxa"/>
            <w:vAlign w:val="bottom"/>
          </w:tcPr>
          <w:p>
            <w:pPr>
              <w:spacing w:after="0"/>
              <w:rPr>
                <w:sz w:val="16"/>
                <w:szCs w:val="16"/>
                <w:color w:val="auto"/>
              </w:rPr>
            </w:pPr>
          </w:p>
        </w:tc>
        <w:tc>
          <w:tcPr>
            <w:tcW w:w="1760" w:type="dxa"/>
            <w:vAlign w:val="bottom"/>
            <w:gridSpan w:val="4"/>
          </w:tcPr>
          <w:p>
            <w:pPr>
              <w:jc w:val="right"/>
              <w:spacing w:after="0" w:line="195" w:lineRule="exact"/>
              <w:rPr>
                <w:sz w:val="20"/>
                <w:szCs w:val="20"/>
                <w:color w:val="auto"/>
              </w:rPr>
            </w:pPr>
            <w:r>
              <w:rPr>
                <w:rFonts w:ascii="Arial" w:cs="Arial" w:eastAsia="Arial" w:hAnsi="Arial"/>
                <w:sz w:val="18"/>
                <w:szCs w:val="18"/>
                <w:b w:val="1"/>
                <w:bCs w:val="1"/>
                <w:color w:val="auto"/>
              </w:rPr>
              <w:t>(In thousands)</w:t>
            </w:r>
          </w:p>
        </w:tc>
        <w:tc>
          <w:tcPr>
            <w:tcW w:w="860" w:type="dxa"/>
            <w:vAlign w:val="bottom"/>
          </w:tcPr>
          <w:p>
            <w:pPr>
              <w:spacing w:after="0"/>
              <w:rPr>
                <w:sz w:val="16"/>
                <w:szCs w:val="16"/>
                <w:color w:val="auto"/>
              </w:rPr>
            </w:pPr>
          </w:p>
        </w:tc>
      </w:tr>
      <w:tr>
        <w:trPr>
          <w:trHeight w:val="216"/>
        </w:trPr>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16,875</w:t>
            </w: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11,670</w:t>
            </w:r>
          </w:p>
        </w:tc>
      </w:tr>
      <w:tr>
        <w:trPr>
          <w:trHeight w:val="216"/>
        </w:trPr>
        <w:tc>
          <w:tcPr>
            <w:tcW w:w="28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2,244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1,259</w:t>
            </w:r>
          </w:p>
        </w:tc>
      </w:tr>
      <w:tr>
        <w:trPr>
          <w:trHeight w:val="230"/>
        </w:trPr>
        <w:tc>
          <w:tcPr>
            <w:tcW w:w="28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351</w:t>
            </w:r>
          </w:p>
        </w:tc>
      </w:tr>
      <w:tr>
        <w:trPr>
          <w:trHeight w:val="230"/>
        </w:trPr>
        <w:tc>
          <w:tcPr>
            <w:tcW w:w="280" w:type="dxa"/>
            <w:vAlign w:val="bottom"/>
          </w:tcPr>
          <w:p>
            <w:pPr>
              <w:spacing w:after="0"/>
              <w:rPr>
                <w:sz w:val="20"/>
                <w:szCs w:val="20"/>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408</w:t>
            </w:r>
          </w:p>
        </w:tc>
      </w:tr>
      <w:tr>
        <w:trPr>
          <w:trHeight w:val="223"/>
        </w:trPr>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19,727</w:t>
            </w:r>
          </w:p>
        </w:tc>
        <w:tc>
          <w:tcPr>
            <w:tcW w:w="3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13,688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-736600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-462280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-179705</wp:posOffset>
            </wp:positionV>
            <wp:extent cx="724662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Six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June 30,</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2015</w:t>
            </w:r>
          </w:p>
        </w:tc>
      </w:tr>
      <w:tr>
        <w:trPr>
          <w:trHeight w:val="195"/>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4"/>
          </w:tcPr>
          <w:p>
            <w:pPr>
              <w:jc w:val="right"/>
              <w:spacing w:after="0" w:line="195" w:lineRule="exact"/>
              <w:rPr>
                <w:sz w:val="20"/>
                <w:szCs w:val="20"/>
                <w:color w:val="auto"/>
              </w:rPr>
            </w:pPr>
            <w:r>
              <w:rPr>
                <w:rFonts w:ascii="Arial" w:cs="Arial" w:eastAsia="Arial" w:hAnsi="Arial"/>
                <w:sz w:val="18"/>
                <w:szCs w:val="18"/>
                <w:b w:val="1"/>
                <w:bCs w:val="1"/>
                <w:color w:val="auto"/>
              </w:rPr>
              <w:t>(In thousands)</w:t>
            </w:r>
          </w:p>
        </w:tc>
        <w:tc>
          <w:tcPr>
            <w:tcW w:w="840" w:type="dxa"/>
            <w:vAlign w:val="bottom"/>
          </w:tcPr>
          <w:p>
            <w:pPr>
              <w:spacing w:after="0"/>
              <w:rPr>
                <w:sz w:val="16"/>
                <w:szCs w:val="16"/>
                <w:color w:val="auto"/>
              </w:rPr>
            </w:pPr>
          </w:p>
        </w:tc>
      </w:tr>
      <w:tr>
        <w:trPr>
          <w:trHeight w:val="216"/>
        </w:trPr>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31,639</w:t>
            </w:r>
          </w:p>
        </w:tc>
        <w:tc>
          <w:tcPr>
            <w:tcW w:w="420" w:type="dxa"/>
            <w:vAlign w:val="bottom"/>
            <w:gridSpan w:val="2"/>
          </w:tcPr>
          <w:p>
            <w:pPr>
              <w:jc w:val="right"/>
              <w:ind w:right="245"/>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22,546</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4,666</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2,732</w:t>
            </w:r>
          </w:p>
        </w:tc>
      </w:tr>
      <w:tr>
        <w:trPr>
          <w:trHeight w:val="230"/>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516</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773</w:t>
            </w:r>
          </w:p>
        </w:tc>
      </w:tr>
      <w:tr>
        <w:trPr>
          <w:trHeight w:val="230"/>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727</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810</w:t>
            </w:r>
          </w:p>
        </w:tc>
      </w:tr>
      <w:tr>
        <w:trPr>
          <w:trHeight w:val="223"/>
        </w:trPr>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37,548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26,861</w:t>
            </w:r>
          </w:p>
        </w:tc>
      </w:tr>
      <w:tr>
        <w:trPr>
          <w:trHeight w:val="20"/>
        </w:trPr>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08" w:lineRule="exact"/>
        <w:rPr>
          <w:sz w:val="20"/>
          <w:szCs w:val="20"/>
          <w:color w:val="auto"/>
        </w:rPr>
      </w:pPr>
    </w:p>
    <w:p>
      <w:pPr>
        <w:sectPr>
          <w:pgSz w:w="11900" w:h="16838" w:orient="portrait"/>
          <w:cols w:equalWidth="0" w:num="3">
            <w:col w:w="4540" w:space="720"/>
            <w:col w:w="2900" w:space="340"/>
            <w:col w:w="2920"/>
          </w:cols>
          <w:pgMar w:left="240" w:top="796" w:right="239" w:bottom="1440" w:gutter="0" w:footer="0" w:header="0"/>
          <w:type w:val="continuous"/>
        </w:sectPr>
      </w:pPr>
    </w:p>
    <w:p>
      <w:pPr>
        <w:spacing w:after="0" w:line="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Earnings per share for the three-month and six-month periods ended June 30, 2016 and 2015 were calculated using the weighted average number of shares outstanding for the related period. The following table reconciles the number of shares used in the computations of basic and diluted earnings per share for the three-month and six-month periods ended June 30, 2016 and 2015:</w:t>
      </w:r>
    </w:p>
    <w:p>
      <w:pPr>
        <w:sectPr>
          <w:pgSz w:w="11900" w:h="16838" w:orient="portrait"/>
          <w:cols w:equalWidth="0" w:num="1">
            <w:col w:w="11420"/>
          </w:cols>
          <w:pgMar w:left="240" w:top="79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80" w:right="100" w:hanging="179"/>
        <w:spacing w:after="0" w:line="308" w:lineRule="auto"/>
        <w:rPr>
          <w:sz w:val="20"/>
          <w:szCs w:val="20"/>
          <w:color w:val="auto"/>
        </w:rPr>
      </w:pPr>
      <w:r>
        <w:rPr>
          <w:rFonts w:ascii="Arial" w:cs="Arial" w:eastAsia="Arial" w:hAnsi="Arial"/>
          <w:sz w:val="17"/>
          <w:szCs w:val="17"/>
          <w:color w:val="auto"/>
        </w:rPr>
        <w:t>Weighted average number of common shares outstanding during the period used to compute basic earnings per share</w:t>
      </w:r>
    </w:p>
    <w:p>
      <w:pPr>
        <w:spacing w:after="0" w:line="147" w:lineRule="exact"/>
        <w:rPr>
          <w:sz w:val="20"/>
          <w:szCs w:val="20"/>
          <w:color w:val="auto"/>
        </w:rPr>
      </w:pPr>
    </w:p>
    <w:p>
      <w:pPr>
        <w:ind w:left="180" w:right="220" w:hanging="179"/>
        <w:spacing w:after="0" w:line="277" w:lineRule="auto"/>
        <w:rPr>
          <w:sz w:val="20"/>
          <w:szCs w:val="20"/>
          <w:color w:val="auto"/>
        </w:rPr>
      </w:pPr>
      <w:r>
        <w:rPr>
          <w:rFonts w:ascii="Arial" w:cs="Arial" w:eastAsia="Arial" w:hAnsi="Arial"/>
          <w:sz w:val="18"/>
          <w:szCs w:val="18"/>
          <w:color w:val="auto"/>
        </w:rPr>
        <w:t>Incremental common shares attributable to exercise of outstanding options and warrants</w:t>
      </w:r>
    </w:p>
    <w:p>
      <w:pPr>
        <w:spacing w:after="0" w:line="197" w:lineRule="exact"/>
        <w:rPr>
          <w:sz w:val="20"/>
          <w:szCs w:val="20"/>
          <w:color w:val="auto"/>
        </w:rPr>
      </w:pPr>
    </w:p>
    <w:p>
      <w:pPr>
        <w:ind w:left="180" w:hanging="179"/>
        <w:spacing w:after="0" w:line="277" w:lineRule="auto"/>
        <w:rPr>
          <w:sz w:val="20"/>
          <w:szCs w:val="20"/>
          <w:color w:val="auto"/>
        </w:rPr>
      </w:pPr>
      <w:r>
        <w:rPr>
          <w:rFonts w:ascii="Arial" w:cs="Arial" w:eastAsia="Arial" w:hAnsi="Arial"/>
          <w:sz w:val="18"/>
          <w:szCs w:val="18"/>
          <w:color w:val="auto"/>
        </w:rPr>
        <w:t>Weighted average number of common shares used to compute diluted earnings per share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8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34"/>
        </w:trPr>
        <w:tc>
          <w:tcPr>
            <w:tcW w:w="2040" w:type="dxa"/>
            <w:vAlign w:val="bottom"/>
            <w:tcBorders>
              <w:bottom w:val="single" w:sz="8" w:color="auto"/>
            </w:tcBorders>
            <w:gridSpan w:val="3"/>
          </w:tcPr>
          <w:p>
            <w:pPr>
              <w:jc w:val="center"/>
              <w:ind w:left="7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9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b w:val="1"/>
                <w:bCs w:val="1"/>
                <w:color w:val="auto"/>
                <w:w w:val="88"/>
              </w:rPr>
              <w:t>June 30,</w:t>
            </w:r>
          </w:p>
        </w:tc>
        <w:tc>
          <w:tcPr>
            <w:tcW w:w="840" w:type="dxa"/>
            <w:vAlign w:val="bottom"/>
            <w:tcBorders>
              <w:bottom w:val="single" w:sz="8" w:color="auto"/>
            </w:tcBorders>
          </w:tcPr>
          <w:p>
            <w:pPr>
              <w:spacing w:after="0"/>
              <w:rPr>
                <w:sz w:val="20"/>
                <w:szCs w:val="20"/>
                <w:color w:val="auto"/>
              </w:rPr>
            </w:pPr>
          </w:p>
        </w:tc>
      </w:tr>
      <w:tr>
        <w:trPr>
          <w:trHeight w:val="223"/>
        </w:trPr>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2015</w:t>
            </w:r>
          </w:p>
        </w:tc>
        <w:tc>
          <w:tcPr>
            <w:tcW w:w="34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2015</w:t>
            </w:r>
          </w:p>
        </w:tc>
      </w:tr>
      <w:tr>
        <w:trPr>
          <w:trHeight w:val="228"/>
        </w:trPr>
        <w:tc>
          <w:tcPr>
            <w:tcW w:w="204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8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0"/>
              </w:rPr>
              <w:t>(In thousands)</w:t>
            </w:r>
          </w:p>
        </w:tc>
        <w:tc>
          <w:tcPr>
            <w:tcW w:w="840" w:type="dxa"/>
            <w:vAlign w:val="bottom"/>
          </w:tcPr>
          <w:p>
            <w:pPr>
              <w:spacing w:after="0"/>
              <w:rPr>
                <w:sz w:val="19"/>
                <w:szCs w:val="19"/>
                <w:color w:val="auto"/>
              </w:rPr>
            </w:pPr>
          </w:p>
        </w:tc>
      </w:tr>
      <w:tr>
        <w:trPr>
          <w:trHeight w:val="400"/>
        </w:trPr>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24,538</w:t>
            </w:r>
          </w:p>
        </w:tc>
        <w:tc>
          <w:tcPr>
            <w:tcW w:w="4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26,234</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24,917</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25,936</w:t>
            </w:r>
          </w:p>
        </w:tc>
      </w:tr>
      <w:tr>
        <w:trPr>
          <w:trHeight w:val="230"/>
        </w:trPr>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FFFFFF"/>
              </w:rPr>
              <w:t>$</w:t>
            </w:r>
          </w:p>
        </w:tc>
        <w:tc>
          <w:tcPr>
            <w:tcW w:w="4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6"/>
        </w:trPr>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4,573</w:t>
            </w:r>
          </w:p>
        </w:tc>
        <w:tc>
          <w:tcPr>
            <w:tcW w:w="4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5,683</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4,715</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6,019</w:t>
            </w:r>
          </w:p>
        </w:tc>
      </w:tr>
      <w:tr>
        <w:trPr>
          <w:trHeight w:val="224"/>
        </w:trPr>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FFFFFF"/>
              </w:rPr>
              <w:t>$</w:t>
            </w:r>
          </w:p>
        </w:tc>
        <w:tc>
          <w:tcPr>
            <w:tcW w:w="3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r>
      <w:tr>
        <w:trPr>
          <w:trHeight w:val="445"/>
        </w:trPr>
        <w:tc>
          <w:tcPr>
            <w:tcW w:w="1620" w:type="dxa"/>
            <w:vAlign w:val="bottom"/>
            <w:gridSpan w:val="2"/>
          </w:tcPr>
          <w:p>
            <w:pPr>
              <w:jc w:val="right"/>
              <w:ind w:right="340"/>
              <w:spacing w:after="0"/>
              <w:rPr>
                <w:sz w:val="20"/>
                <w:szCs w:val="20"/>
                <w:color w:val="auto"/>
              </w:rPr>
            </w:pPr>
            <w:r>
              <w:rPr>
                <w:rFonts w:ascii="Arial" w:cs="Arial" w:eastAsia="Arial" w:hAnsi="Arial"/>
                <w:sz w:val="18"/>
                <w:szCs w:val="18"/>
                <w:color w:val="auto"/>
              </w:rPr>
              <w:t>29,111</w:t>
            </w:r>
          </w:p>
        </w:tc>
        <w:tc>
          <w:tcPr>
            <w:tcW w:w="4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31,917</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29,632</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31,955</w:t>
            </w:r>
          </w:p>
        </w:tc>
      </w:tr>
      <w:tr>
        <w:trPr>
          <w:trHeight w:val="20"/>
        </w:trPr>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-1156970</wp:posOffset>
            </wp:positionV>
            <wp:extent cx="7246620" cy="274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-745490</wp:posOffset>
            </wp:positionV>
            <wp:extent cx="7246620" cy="2832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-3334385</wp:posOffset>
            </wp:positionH>
            <wp:positionV relativeFrom="paragraph">
              <wp:posOffset>-316865</wp:posOffset>
            </wp:positionV>
            <wp:extent cx="724662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240"/>
            <w:col w:w="6160"/>
          </w:cols>
          <w:pgMar w:left="240" w:top="796" w:right="239" w:bottom="1440" w:gutter="0" w:footer="0" w:header="0"/>
          <w:type w:val="continuous"/>
        </w:sectPr>
      </w:pPr>
    </w:p>
    <w:p>
      <w:pPr>
        <w:spacing w:after="0" w:line="21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anti-dilutive effects of common stock equivalents were considered, shares included in the diluted earnings per share calculation for the three-month and six-month periods ended June 30, 2016 would have included an additional 7.9 million and 7.4 million shares, respectively attributable to the exercise of outstanding options and warrants. For the three-month and six-month periods ended June 30, 2015, an additional 5.7 million and 5.3 million shares, respectively, would be included in the diluted earnings per share calculation.</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file numerous consolidated and separate income tax returns with the United States and with many states. With few exceptions, we are no longer subject to U.S. federal, state, or local examinations by tax authorities for years before 2012.</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As of June 30, 2016 and December 31, 2015, we had no unrecognized tax benefits for uncertain tax positions. We do not anticipate that total unrecognized tax benefits will significantly change due to any settlements of audits or expirations of statutes of limitations over the next 12 months.</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Company and its subsidiaries file a consolidated federal income tax return and combined or stand-alone state franchise tax returns for certain states. We utilize the asset and liability method of accounting for income taxes, under which deferred income taxes are recognized for the future tax consequences attributable to the differences between the financial statement values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taxes of a change in tax rates is recognized in income in the period that includes the enactment date.</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Deferred tax assets are recognized subject to management’s judgment that realization is more likely than not. A valuation allowance is recognized for a deferred tax asset if, based on the weight of the available evidence, it is more likely than not that some portion of the deferred tax asset will not be realized. In making such judgments, significant weight is given to evidence that can be objectively verified. Although realization is not assured, we believe that the realization of the recognized net deferred tax asset of $40.4 million as of June 30, 2016 is more likely than not based on forecasted future net earnings. Our net deferred tax asset of $40.4 million consists of approximately $32.4 million of net U.S. federal deferred tax assets and $8.0 million of net state deferred tax assets.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Income tax expense was $5.1 million and $10.1 million for the three months and six months ended June 30, 2016 and represents an effective income tax rate of 41%, compared to income tax expense of $6.7 million and $13.1 million for the three and six months ended June 30, 2015, and represents an effective income tax rate of and 44%.</w:t>
      </w:r>
    </w:p>
    <w:p>
      <w:pPr>
        <w:spacing w:after="0" w:line="181"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Consumer Litigation. </w:t>
      </w:r>
      <w:r>
        <w:rPr>
          <w:rFonts w:ascii="Arial" w:cs="Arial" w:eastAsia="Arial" w:hAnsi="Arial"/>
          <w:sz w:val="18"/>
          <w:szCs w:val="18"/>
          <w:color w:val="auto"/>
        </w:rPr>
        <w:t>We are routinely involved in various legal proceedings resulting from our consumer finance activities and practices, both</w:t>
      </w:r>
      <w:r>
        <w:rPr>
          <w:rFonts w:ascii="Arial" w:cs="Arial" w:eastAsia="Arial" w:hAnsi="Arial"/>
          <w:sz w:val="18"/>
          <w:szCs w:val="18"/>
          <w:i w:val="1"/>
          <w:iCs w:val="1"/>
          <w:color w:val="auto"/>
        </w:rPr>
        <w:t xml:space="preserve"> </w:t>
      </w:r>
      <w:r>
        <w:rPr>
          <w:rFonts w:ascii="Arial" w:cs="Arial" w:eastAsia="Arial" w:hAnsi="Arial"/>
          <w:sz w:val="18"/>
          <w:szCs w:val="18"/>
          <w:color w:val="auto"/>
        </w:rPr>
        <w:t>continuing and discontinued. Consumers can and do initiate lawsuits against us alleging violations of law applicable to collection of receivables, and such lawsuits sometimes allege that resolution as a class action is appropriate.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currently subject to one such class action, which has been settled by agreement with the plaintiffs. The settlement remains subject to final court approval. (The court has approved the settlement, but an objecting member of the settlement class has appealed that approval.)</w:t>
      </w:r>
    </w:p>
    <w:p>
      <w:pPr>
        <w:spacing w:after="0" w:line="14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most part, we have legal and factual defenses to consumer claims, which we routinely contest or settle (for immaterial amounts) depending on the particular circumstances of each case. We have recorded a liability as of June 30, 2016 with respect to such matters, in the aggregate.</w:t>
      </w:r>
    </w:p>
    <w:p>
      <w:pPr>
        <w:spacing w:after="0" w:line="12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 xml:space="preserve">Department of Justice Subpoena. </w:t>
      </w:r>
      <w:r>
        <w:rPr>
          <w:rFonts w:ascii="Arial" w:cs="Arial" w:eastAsia="Arial" w:hAnsi="Arial"/>
          <w:sz w:val="16"/>
          <w:szCs w:val="16"/>
          <w:color w:val="auto"/>
        </w:rPr>
        <w:t>In January 2015, we were served with a subpoena by the U.S. Department of Justice directing us to produce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documents relating to our and our subsidiaries’ and affiliates’ origination and securitization of sub-prime automobile contracts since 2005, in connection with an investigation by the U.S. Department of Justice in contemplation of a civil proceeding for potential violations of the Financial Institutions Reform, Recovery, and Enforcement Act of 1989. We are among several other securitizers of sub-prime automobile receivables who received such subpoenas in 2014 and 2015. Among other matters, the subpoena required information relating to the underwriting criteria used to originate these automobile contracts and the representations and warranties relating to those underwriting criteria that were made in connection with the securitization of the automobile contracts. We provided the required documents in March 2015, and are unaware of any subsequent material developments in the government’s investigation. The investigation could in the future result in the imposition of damages, fines or civil or criminal claims and/or penalties. No assurance can be given as to the ultimate outcome of the investigation or any resulting proceeding(s), which might materially and adversely affect us.</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In General</w:t>
      </w:r>
      <w:r>
        <w:rPr>
          <w:rFonts w:ascii="Arial" w:cs="Arial" w:eastAsia="Arial" w:hAnsi="Arial"/>
          <w:sz w:val="18"/>
          <w:szCs w:val="18"/>
          <w:color w:val="auto"/>
        </w:rPr>
        <w:t>. There can be no assurance as to the outcomes of the matters referenced above. We have recorded a liability as of June 30, 2016,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our best estimate of probable incurred losses for legal contingencies, including all of the matters described or referenced above. The amount of losses that may ultimately be incurred cannot be estimated with certainty. However, based on such information as is available to us, we believe that the range of reasonably possible losses for the legal proceedings and contingencies we face, including those described or referenced above, as of June 30, 2016, and in excess of the liability we have recorded, is from $0 to $250,000.</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Accordingly, we believe that the ultimate resolution of such legal proceedings and contingencies, after taking into account our current litigation reserves, should not have a material adverse effect on our consolidated financial condition. We note, however, that in light of the uncertainties inherent in contested proceedings, the wide discretion vested in the U.S. Department of Justice and other government agencies, and the deference that courts may give to assertions made by government litigants, there can be no assurance that the ultimate resolution of these matters will not significantly exceed the reserves we have accrued; as a result, the outcome of a particular matter may be material to our operating results for a particular period, depending on, among other factors, the size of the loss or liability imposed and the level of our income for that period.</w:t>
      </w:r>
    </w:p>
    <w:p>
      <w:pPr>
        <w:spacing w:after="0" w:line="178" w:lineRule="exact"/>
        <w:rPr>
          <w:sz w:val="20"/>
          <w:szCs w:val="20"/>
          <w:color w:val="auto"/>
        </w:rPr>
      </w:pPr>
    </w:p>
    <w:p>
      <w:pPr>
        <w:ind w:left="260" w:hanging="252"/>
        <w:spacing w:after="0"/>
        <w:tabs>
          <w:tab w:leader="none" w:pos="2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Employee Benefits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March 8, 2002 we acquired MFN Financial Corporation and its subsidiaries in a merger. We sponsor the MFN Financial Corporation Benefit Plan (the “Plan”). Plan benefits were frozen June 30, 2001. The table below sets forth the Plan’s net periodic benefit cost for the three-month and six-month periods ended June 30, 2016 and 2015.</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19"/>
                <w:szCs w:val="19"/>
                <w:color w:val="auto"/>
              </w:rPr>
            </w:pPr>
          </w:p>
        </w:tc>
        <w:tc>
          <w:tcPr>
            <w:tcW w:w="3080" w:type="dxa"/>
            <w:vAlign w:val="bottom"/>
            <w:gridSpan w:val="5"/>
          </w:tcPr>
          <w:p>
            <w:pPr>
              <w:jc w:val="center"/>
              <w:ind w:left="397"/>
              <w:spacing w:after="0"/>
              <w:rPr>
                <w:sz w:val="20"/>
                <w:szCs w:val="20"/>
                <w:color w:val="auto"/>
              </w:rPr>
            </w:pPr>
            <w:r>
              <w:rPr>
                <w:rFonts w:ascii="Arial" w:cs="Arial" w:eastAsia="Arial" w:hAnsi="Arial"/>
                <w:sz w:val="18"/>
                <w:szCs w:val="18"/>
                <w:b w:val="1"/>
                <w:bCs w:val="1"/>
                <w:color w:val="auto"/>
                <w:w w:val="92"/>
              </w:rPr>
              <w:t>Three Months Ended</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center"/>
              <w:ind w:left="590"/>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center"/>
              <w:ind w:right="545"/>
              <w:spacing w:after="0"/>
              <w:rPr>
                <w:sz w:val="20"/>
                <w:szCs w:val="20"/>
                <w:color w:val="auto"/>
              </w:rPr>
            </w:pPr>
            <w:r>
              <w:rPr>
                <w:rFonts w:ascii="Arial" w:cs="Arial" w:eastAsia="Arial" w:hAnsi="Arial"/>
                <w:sz w:val="18"/>
                <w:szCs w:val="18"/>
                <w:b w:val="1"/>
                <w:bCs w:val="1"/>
                <w:color w:val="auto"/>
                <w:w w:val="88"/>
              </w:rPr>
              <w:t>June 30,</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4"/>
          </w:tcPr>
          <w:p>
            <w:pPr>
              <w:jc w:val="center"/>
              <w:ind w:left="570"/>
              <w:spacing w:after="0"/>
              <w:rPr>
                <w:sz w:val="20"/>
                <w:szCs w:val="20"/>
                <w:color w:val="auto"/>
              </w:rPr>
            </w:pPr>
            <w:r>
              <w:rPr>
                <w:rFonts w:ascii="Arial" w:cs="Arial" w:eastAsia="Arial" w:hAnsi="Arial"/>
                <w:sz w:val="18"/>
                <w:szCs w:val="18"/>
                <w:b w:val="1"/>
                <w:bCs w:val="1"/>
                <w:color w:val="auto"/>
                <w:w w:val="88"/>
              </w:rPr>
              <w:t>June 30,</w:t>
            </w:r>
          </w:p>
        </w:tc>
        <w:tc>
          <w:tcPr>
            <w:tcW w:w="10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Pr>
          <w:p>
            <w:pPr>
              <w:spacing w:after="0"/>
              <w:rPr>
                <w:sz w:val="19"/>
                <w:szCs w:val="19"/>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65"/>
              <w:spacing w:after="0"/>
              <w:rPr>
                <w:sz w:val="20"/>
                <w:szCs w:val="20"/>
                <w:color w:val="auto"/>
              </w:rPr>
            </w:pPr>
            <w:r>
              <w:rPr>
                <w:rFonts w:ascii="Arial" w:cs="Arial" w:eastAsia="Arial" w:hAnsi="Arial"/>
                <w:sz w:val="18"/>
                <w:szCs w:val="18"/>
                <w:b w:val="1"/>
                <w:bCs w:val="1"/>
                <w:color w:val="auto"/>
              </w:rPr>
              <w:t>2015</w:t>
            </w:r>
          </w:p>
        </w:tc>
        <w:tc>
          <w:tcPr>
            <w:tcW w:w="4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w w:val="94"/>
              </w:rPr>
              <w:t>2015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3900" w:type="dxa"/>
            <w:vAlign w:val="bottom"/>
            <w:vMerge w:val="restart"/>
          </w:tcPr>
          <w:p>
            <w:pPr>
              <w:spacing w:after="0"/>
              <w:rPr>
                <w:sz w:val="20"/>
                <w:szCs w:val="20"/>
                <w:color w:val="auto"/>
              </w:rPr>
            </w:pPr>
            <w:r>
              <w:rPr>
                <w:rFonts w:ascii="Arial" w:cs="Arial" w:eastAsia="Arial" w:hAnsi="Arial"/>
                <w:sz w:val="18"/>
                <w:szCs w:val="18"/>
                <w:b w:val="1"/>
                <w:bCs w:val="1"/>
                <w:color w:val="auto"/>
              </w:rPr>
              <w:t>Components of net periodic cost (benefit)</w:t>
            </w:r>
          </w:p>
        </w:tc>
        <w:tc>
          <w:tcPr>
            <w:tcW w:w="1100" w:type="dxa"/>
            <w:vAlign w:val="bottom"/>
          </w:tcPr>
          <w:p>
            <w:pPr>
              <w:spacing w:after="0"/>
              <w:rPr>
                <w:sz w:val="19"/>
                <w:szCs w:val="19"/>
                <w:color w:val="auto"/>
              </w:rPr>
            </w:pPr>
          </w:p>
        </w:tc>
        <w:tc>
          <w:tcPr>
            <w:tcW w:w="1980" w:type="dxa"/>
            <w:vAlign w:val="bottom"/>
            <w:gridSpan w:val="4"/>
          </w:tcPr>
          <w:p>
            <w:pPr>
              <w:jc w:val="center"/>
              <w:ind w:right="545"/>
              <w:spacing w:after="0"/>
              <w:rPr>
                <w:sz w:val="20"/>
                <w:szCs w:val="20"/>
                <w:color w:val="auto"/>
              </w:rPr>
            </w:pPr>
            <w:r>
              <w:rPr>
                <w:rFonts w:ascii="Arial" w:cs="Arial" w:eastAsia="Arial" w:hAnsi="Arial"/>
                <w:sz w:val="18"/>
                <w:szCs w:val="18"/>
                <w:b w:val="1"/>
                <w:bCs w:val="1"/>
                <w:color w:val="auto"/>
                <w:w w:val="90"/>
              </w:rPr>
              <w:t>(In thousands)</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40" w:type="dxa"/>
            <w:vAlign w:val="bottom"/>
            <w:gridSpan w:val="4"/>
          </w:tcPr>
          <w:p>
            <w:pPr>
              <w:jc w:val="center"/>
              <w:ind w:left="570"/>
              <w:spacing w:after="0"/>
              <w:rPr>
                <w:sz w:val="20"/>
                <w:szCs w:val="20"/>
                <w:color w:val="auto"/>
              </w:rPr>
            </w:pPr>
            <w:r>
              <w:rPr>
                <w:rFonts w:ascii="Arial" w:cs="Arial" w:eastAsia="Arial" w:hAnsi="Arial"/>
                <w:sz w:val="18"/>
                <w:szCs w:val="18"/>
                <w:b w:val="1"/>
                <w:bCs w:val="1"/>
                <w:color w:val="auto"/>
                <w:w w:val="90"/>
              </w:rPr>
              <w:t>(In thousands)</w:t>
            </w: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390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1100" w:type="dxa"/>
            <w:vAlign w:val="bottom"/>
            <w:shd w:val="clear" w:color="auto" w:fill="EEEEEE"/>
          </w:tcPr>
          <w:p>
            <w:pPr>
              <w:jc w:val="right"/>
              <w:ind w:right="937"/>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EEEEEE"/>
          </w:tcPr>
          <w:p>
            <w:pPr>
              <w:jc w:val="right"/>
              <w:ind w:right="965"/>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EEEEEE"/>
          </w:tcPr>
          <w:p>
            <w:pPr>
              <w:jc w:val="right"/>
              <w:ind w:right="185"/>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EEEEEE"/>
          </w:tcPr>
          <w:p>
            <w:pPr>
              <w:jc w:val="right"/>
              <w:ind w:right="430"/>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Interest cost</w:t>
            </w:r>
          </w:p>
        </w:tc>
        <w:tc>
          <w:tcPr>
            <w:tcW w:w="1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442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11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(377)</w:t>
            </w: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(600)</w:t>
            </w:r>
          </w:p>
        </w:tc>
        <w:tc>
          <w:tcPr>
            <w:tcW w:w="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(754)</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Amortization of transition (asset)/obligation</w:t>
            </w:r>
          </w:p>
        </w:tc>
        <w:tc>
          <w:tcPr>
            <w:tcW w:w="1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9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net (gain) / loss</w:t>
            </w:r>
          </w:p>
        </w:tc>
        <w:tc>
          <w:tcPr>
            <w:tcW w:w="1100" w:type="dxa"/>
            <w:vAlign w:val="bottom"/>
            <w:shd w:val="clear" w:color="auto" w:fill="EEEEEE"/>
          </w:tcPr>
          <w:p>
            <w:pPr>
              <w:spacing w:after="0"/>
              <w:rPr>
                <w:sz w:val="19"/>
                <w:szCs w:val="19"/>
                <w:color w:val="auto"/>
              </w:rPr>
            </w:pPr>
          </w:p>
        </w:tc>
        <w:tc>
          <w:tcPr>
            <w:tcW w:w="7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EEEEEE"/>
          </w:tcPr>
          <w:p>
            <w:pPr>
              <w:spacing w:after="0"/>
              <w:rPr>
                <w:sz w:val="19"/>
                <w:szCs w:val="19"/>
                <w:color w:val="auto"/>
              </w:rPr>
            </w:pPr>
          </w:p>
        </w:tc>
        <w:tc>
          <w:tcPr>
            <w:tcW w:w="112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87</w:t>
            </w:r>
          </w:p>
        </w:tc>
        <w:tc>
          <w:tcPr>
            <w:tcW w:w="16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15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276</w:t>
            </w:r>
          </w:p>
        </w:tc>
        <w:tc>
          <w:tcPr>
            <w:tcW w:w="2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0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140"/>
              <w:spacing w:after="0"/>
              <w:rPr>
                <w:sz w:val="20"/>
                <w:szCs w:val="20"/>
                <w:color w:val="auto"/>
              </w:rPr>
            </w:pPr>
            <w:r>
              <w:rPr>
                <w:rFonts w:ascii="Arial" w:cs="Arial" w:eastAsia="Arial" w:hAnsi="Arial"/>
                <w:sz w:val="18"/>
                <w:szCs w:val="18"/>
                <w:color w:val="auto"/>
              </w:rPr>
              <w:t>Net periodic cost (benefit)</w:t>
            </w:r>
          </w:p>
        </w:tc>
        <w:tc>
          <w:tcPr>
            <w:tcW w:w="1100" w:type="dxa"/>
            <w:vAlign w:val="bottom"/>
            <w:tcBorders>
              <w:top w:val="single" w:sz="8" w:color="auto"/>
            </w:tcBorders>
          </w:tcPr>
          <w:p>
            <w:pPr>
              <w:jc w:val="right"/>
              <w:ind w:right="93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Borders>
              <w:top w:val="single" w:sz="8" w:color="auto"/>
            </w:tcBorders>
          </w:tcPr>
          <w:p>
            <w:pPr>
              <w:jc w:val="right"/>
              <w:ind w:right="96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340" w:type="dxa"/>
            <w:vAlign w:val="bottom"/>
            <w:tcBorders>
              <w:top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did not make any contributions to the Plan during the six-month periods ended June 30, 2016 and 2015. We do not anticipate making any contributions for the remainder of 2016.</w:t>
      </w:r>
    </w:p>
    <w:p>
      <w:pPr>
        <w:spacing w:after="0" w:line="170"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ASC 820, "Fair Value Measurements" clarifies the principle that fair value should be based on the assumptions market participants would use when pricing an asset or liability and establishes a fair value hierarchy that prioritizes the information used to develop those assumptions. Under the standard, fair value measurements would be separately disclosed by level within the fair value hierarchy.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ASC 820 defines fair value, establishes a framework for measuring fair value, establishes a three-level valuation hierarchy for disclosure of fair value measurement and enhances disclosure requirements for fair value measurements. The three levels are defined as follows: level 1 - inputs to the valuation methodology are quoted prices (unadjusted) for identical assets or liabilities in active markets; level 2 – inputs to the valuation methodology include quoted prices for similar assets and liabilities in active markets, and inputs that are observable for the asset or liability, either directly or indirectly, for substantially the full term of the financial instrument; and level 3 – inputs to the valuation methodology are unobservable and significant to the fair value measurement.</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Repossessed vehicle inventory, which is included in Other assets on our unaudited condensed consolidated balance sheet, is measured at fair value using level 2 assumptions based on our actual loss experience on sale of repossessed vehicles. At June 30, 2016 the finance receivables related to the repossessed vehicles in inventory totaled $33.3 million. We have applied a valuation adjustment, or loss allowance, of $22.8 million, which is based on a recovery rate of approximately 32%, resulting in an estimated fair value and carrying amount of $10.6 million. The fair value and carrying amount of the repossessed inventory at December 31, 2015 was $12.8 million after applying a valuation adjustment of $27.0 million.</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no transfers in or out of level 1 or level 2 assets and liabilities for the six months ended June 30, 2016 and 2015. We have no material level 3 assets that are measured at fair value on a non-recurring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fair values of financial assets and liabilities at June 30, 2016 and December 31, 2015,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8"/>
                <w:szCs w:val="18"/>
                <w:b w:val="1"/>
                <w:bCs w:val="1"/>
                <w:color w:val="auto"/>
                <w:w w:val="89"/>
              </w:rPr>
              <w:t>As of June 30, 2016</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2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auto"/>
              </w:rPr>
              <w:t>Fair Value Measurements Using:</w:t>
            </w:r>
          </w:p>
        </w:tc>
        <w:tc>
          <w:tcPr>
            <w:tcW w:w="9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660" w:type="dxa"/>
            <w:vAlign w:val="bottom"/>
            <w:gridSpan w:val="2"/>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15,752</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15,752</w:t>
            </w:r>
          </w:p>
        </w:tc>
        <w:tc>
          <w:tcPr>
            <w:tcW w:w="1400" w:type="dxa"/>
            <w:vAlign w:val="bottom"/>
            <w:gridSpan w:val="2"/>
            <w:shd w:val="clear" w:color="auto" w:fill="EEEEEE"/>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15,752</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Restricted cash and equivalents</w:t>
            </w:r>
          </w:p>
        </w:tc>
        <w:tc>
          <w:tcPr>
            <w:tcW w:w="2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115,268</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115,268</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115,268</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net</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2,128,221</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2,066,721</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2,066,721</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Finance receivables measured at fair value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33,598</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33,598</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33,598</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2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165,103</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EEEEEE"/>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165,103</w:t>
            </w:r>
          </w:p>
        </w:tc>
        <w:tc>
          <w:tcPr>
            <w:tcW w:w="4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165,103</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Accrued interest payable</w:t>
            </w:r>
          </w:p>
        </w:tc>
        <w:tc>
          <w:tcPr>
            <w:tcW w:w="2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3,913</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3,913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Residual interest financing</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7,455</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7,455</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Securitization trust debt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1,956,620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1,960,990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1,960,990</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Subordinated renewable notes</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15,257</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15,257</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15,257</w:t>
            </w:r>
          </w:p>
        </w:tc>
        <w:tc>
          <w:tcPr>
            <w:tcW w:w="0" w:type="dxa"/>
            <w:vAlign w:val="bottom"/>
          </w:tcPr>
          <w:p>
            <w:pPr>
              <w:spacing w:after="0"/>
              <w:rPr>
                <w:sz w:val="1"/>
                <w:szCs w:val="1"/>
                <w:color w:val="auto"/>
              </w:rPr>
            </w:pPr>
          </w:p>
        </w:tc>
      </w:tr>
      <w:tr>
        <w:trPr>
          <w:trHeight w:val="446"/>
        </w:trPr>
        <w:tc>
          <w:tcPr>
            <w:tcW w:w="3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Instrument</w:t>
            </w: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6"/>
          </w:tcPr>
          <w:p>
            <w:pPr>
              <w:jc w:val="center"/>
              <w:ind w:left="890"/>
              <w:spacing w:after="0"/>
              <w:rPr>
                <w:sz w:val="20"/>
                <w:szCs w:val="20"/>
                <w:color w:val="auto"/>
              </w:rPr>
            </w:pPr>
            <w:r>
              <w:rPr>
                <w:rFonts w:ascii="Arial" w:cs="Arial" w:eastAsia="Arial" w:hAnsi="Arial"/>
                <w:sz w:val="18"/>
                <w:szCs w:val="18"/>
                <w:b w:val="1"/>
                <w:bCs w:val="1"/>
                <w:color w:val="auto"/>
                <w:w w:val="89"/>
              </w:rPr>
              <w:t>As of December 31, 2015</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center"/>
              <w:spacing w:after="0" w:line="170" w:lineRule="exact"/>
              <w:rPr>
                <w:sz w:val="20"/>
                <w:szCs w:val="20"/>
                <w:color w:val="auto"/>
              </w:rPr>
            </w:pPr>
            <w:r>
              <w:rPr>
                <w:rFonts w:ascii="Arial" w:cs="Arial" w:eastAsia="Arial" w:hAnsi="Arial"/>
                <w:sz w:val="18"/>
                <w:szCs w:val="18"/>
                <w:b w:val="1"/>
                <w:bCs w:val="1"/>
                <w:color w:val="auto"/>
                <w:w w:val="88"/>
              </w:rPr>
              <w:t>(In thousands)</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640" w:type="dxa"/>
            <w:vAlign w:val="bottom"/>
            <w:tcBorders>
              <w:top w:val="single" w:sz="8" w:color="auto"/>
            </w:tcBorders>
          </w:tcPr>
          <w:p>
            <w:pPr>
              <w:spacing w:after="0"/>
              <w:rPr>
                <w:sz w:val="21"/>
                <w:szCs w:val="21"/>
                <w:color w:val="auto"/>
              </w:rPr>
            </w:pPr>
          </w:p>
        </w:tc>
        <w:tc>
          <w:tcPr>
            <w:tcW w:w="2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7"/>
              </w:rPr>
              <w:t>Carrying</w:t>
            </w:r>
          </w:p>
        </w:tc>
        <w:tc>
          <w:tcPr>
            <w:tcW w:w="24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8"/>
                <w:szCs w:val="18"/>
                <w:b w:val="1"/>
                <w:bCs w:val="1"/>
                <w:color w:val="auto"/>
              </w:rPr>
              <w:t>Fair Value Measurements Using:</w:t>
            </w:r>
          </w:p>
        </w:tc>
        <w:tc>
          <w:tcPr>
            <w:tcW w:w="92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6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Value</w:t>
            </w:r>
          </w:p>
        </w:tc>
        <w:tc>
          <w:tcPr>
            <w:tcW w:w="24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b w:val="1"/>
                <w:bCs w:val="1"/>
                <w:color w:val="auto"/>
              </w:rPr>
              <w:t>Level 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ind w:left="1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66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EEEEEE"/>
          </w:tcPr>
          <w:p>
            <w:pPr>
              <w:spacing w:after="0"/>
              <w:rPr>
                <w:sz w:val="18"/>
                <w:szCs w:val="18"/>
                <w:color w:val="auto"/>
              </w:rPr>
            </w:pPr>
          </w:p>
        </w:tc>
        <w:tc>
          <w:tcPr>
            <w:tcW w:w="1080" w:type="dxa"/>
            <w:vAlign w:val="bottom"/>
            <w:tcBorders>
              <w:top w:val="single" w:sz="8" w:color="auto"/>
            </w:tcBorders>
            <w:shd w:val="clear" w:color="auto" w:fill="EEEEEE"/>
          </w:tcPr>
          <w:p>
            <w:pPr>
              <w:spacing w:after="0"/>
              <w:rPr>
                <w:sz w:val="18"/>
                <w:szCs w:val="18"/>
                <w:color w:val="auto"/>
              </w:rPr>
            </w:pPr>
          </w:p>
        </w:tc>
        <w:tc>
          <w:tcPr>
            <w:tcW w:w="3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19,322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19,322</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19,322</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Restricted cash and equivalents</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106,054</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106,054</w:t>
            </w: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106,054</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Finance receivables, net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1,909,490</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1,879,510</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1,879,510</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Finance receivables measured at fair value</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61</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Accrued interest receivable</w:t>
            </w:r>
          </w:p>
        </w:tc>
        <w:tc>
          <w:tcPr>
            <w:tcW w:w="2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31,547</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31,547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31,547</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Warehouse lines of credit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196,461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7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196,461</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196,461</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Accrued interest payable</w:t>
            </w:r>
          </w:p>
        </w:tc>
        <w:tc>
          <w:tcPr>
            <w:tcW w:w="2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3,260</w:t>
            </w: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3,260</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3,260</w:t>
            </w:r>
          </w:p>
        </w:tc>
        <w:tc>
          <w:tcPr>
            <w:tcW w:w="0" w:type="dxa"/>
            <w:vAlign w:val="bottom"/>
          </w:tcPr>
          <w:p>
            <w:pPr>
              <w:spacing w:after="0"/>
              <w:rPr>
                <w:sz w:val="1"/>
                <w:szCs w:val="1"/>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Residual interest financing</w:t>
            </w:r>
          </w:p>
        </w:tc>
        <w:tc>
          <w:tcPr>
            <w:tcW w:w="20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9,042</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9,042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9,042</w:t>
            </w: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200" w:type="dxa"/>
            <w:vAlign w:val="bottom"/>
            <w:shd w:val="clear" w:color="auto" w:fill="EEEEEE"/>
          </w:tcPr>
          <w:p>
            <w:pPr>
              <w:spacing w:after="0"/>
              <w:rPr>
                <w:sz w:val="18"/>
                <w:szCs w:val="18"/>
                <w:color w:val="auto"/>
              </w:rPr>
            </w:pP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1,731,598</w:t>
            </w:r>
          </w:p>
        </w:tc>
        <w:tc>
          <w:tcPr>
            <w:tcW w:w="3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1,718,418</w:t>
            </w:r>
          </w:p>
        </w:tc>
        <w:tc>
          <w:tcPr>
            <w:tcW w:w="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1,718,418</w:t>
            </w:r>
          </w:p>
        </w:tc>
        <w:tc>
          <w:tcPr>
            <w:tcW w:w="0" w:type="dxa"/>
            <w:vAlign w:val="bottom"/>
          </w:tcPr>
          <w:p>
            <w:pPr>
              <w:spacing w:after="0"/>
              <w:rPr>
                <w:sz w:val="1"/>
                <w:szCs w:val="1"/>
                <w:color w:val="auto"/>
              </w:rPr>
            </w:pPr>
          </w:p>
        </w:tc>
      </w:tr>
      <w:tr>
        <w:trPr>
          <w:trHeight w:val="230"/>
        </w:trPr>
        <w:tc>
          <w:tcPr>
            <w:tcW w:w="3660" w:type="dxa"/>
            <w:vAlign w:val="bottom"/>
            <w:gridSpan w:val="2"/>
          </w:tcPr>
          <w:p>
            <w:pPr>
              <w:spacing w:after="0"/>
              <w:rPr>
                <w:sz w:val="20"/>
                <w:szCs w:val="20"/>
                <w:color w:val="auto"/>
              </w:rPr>
            </w:pPr>
            <w:r>
              <w:rPr>
                <w:rFonts w:ascii="Arial" w:cs="Arial" w:eastAsia="Arial" w:hAnsi="Arial"/>
                <w:sz w:val="18"/>
                <w:szCs w:val="18"/>
                <w:color w:val="auto"/>
              </w:rPr>
              <w:t>Subordinated renewable notes</w:t>
            </w:r>
          </w:p>
        </w:tc>
        <w:tc>
          <w:tcPr>
            <w:tcW w:w="200" w:type="dxa"/>
            <w:vAlign w:val="bottom"/>
          </w:tcPr>
          <w:p>
            <w:pPr>
              <w:spacing w:after="0"/>
              <w:rPr>
                <w:sz w:val="20"/>
                <w:szCs w:val="20"/>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15,138</w:t>
            </w:r>
          </w:p>
        </w:tc>
        <w:tc>
          <w:tcPr>
            <w:tcW w:w="240" w:type="dxa"/>
            <w:vAlign w:val="bottom"/>
          </w:tcPr>
          <w:p>
            <w:pPr>
              <w:spacing w:after="0"/>
              <w:rPr>
                <w:sz w:val="20"/>
                <w:szCs w:val="20"/>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15,138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15,138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summary presents a description of the methodologies and assumptions used to estimate the fair value of our financial instruments. Much of the information used to determine fair value is highly subjective. When applicable, readily available market information has been utilized. However, for a significant portion of our financial instruments, active markets do not exist. Therefore, significant elements of judgment were required in estimating fair value for certain items. The subjective factors include, among other things, the estimated timing and amount of cash flows, risk characteristics, credit quality and interest rates, all of which are subject to change. Since the fair value is estimated as of June 30, 2016 and December 31, 2015, the amounts that will actually be realized or paid at settlement or maturity of the instruments could be significantly different.</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CONSUMER PORTFOLIO SERVICES,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Cash Equivalents and Restricted Cash and Equivalents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Receivables, net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fair value of finance receivables is estimated by discounting future cash flows expected to be collected using current rates at which similar receivables could be originated.</w:t>
      </w:r>
    </w:p>
    <w:p>
      <w:pPr>
        <w:spacing w:after="0" w:line="170" w:lineRule="exact"/>
        <w:rPr>
          <w:sz w:val="20"/>
          <w:szCs w:val="20"/>
          <w:color w:val="auto"/>
        </w:rPr>
      </w:pPr>
    </w:p>
    <w:p>
      <w:pPr>
        <w:jc w:val="right"/>
        <w:ind w:right="8160"/>
        <w:spacing w:after="0"/>
        <w:rPr>
          <w:sz w:val="20"/>
          <w:szCs w:val="20"/>
          <w:color w:val="auto"/>
        </w:rPr>
      </w:pPr>
      <w:r>
        <w:rPr>
          <w:rFonts w:ascii="Arial" w:cs="Arial" w:eastAsia="Arial" w:hAnsi="Arial"/>
          <w:sz w:val="16"/>
          <w:szCs w:val="16"/>
          <w:i w:val="1"/>
          <w:iCs w:val="1"/>
          <w:color w:val="auto"/>
        </w:rPr>
        <w:t>Finance Receivables Measured at Fair Value</w:t>
      </w:r>
    </w:p>
    <w:p>
      <w:pPr>
        <w:spacing w:after="0" w:line="248" w:lineRule="exact"/>
        <w:rPr>
          <w:sz w:val="20"/>
          <w:szCs w:val="20"/>
          <w:color w:val="auto"/>
        </w:rPr>
      </w:pPr>
    </w:p>
    <w:p>
      <w:pPr>
        <w:jc w:val="right"/>
        <w:ind w:right="8120"/>
        <w:spacing w:after="0"/>
        <w:rPr>
          <w:sz w:val="20"/>
          <w:szCs w:val="20"/>
          <w:color w:val="auto"/>
        </w:rPr>
      </w:pPr>
      <w:r>
        <w:rPr>
          <w:rFonts w:ascii="Arial" w:cs="Arial" w:eastAsia="Arial" w:hAnsi="Arial"/>
          <w:sz w:val="18"/>
          <w:szCs w:val="18"/>
          <w:color w:val="auto"/>
        </w:rPr>
        <w:t>The carrying value equals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Interest Receivable and Payable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carrying value approximates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Warehouse Lines of Credit, Residual Interest Financing, and Subordinated Renewable Notes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carrying value approximates fair value because the related interest rates are estimated to reflect current market conditions for similar types of secured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 Trust Debt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fair value is estimated by discounting future cash flows using interest rates that we believe reflect the current market rates.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w:t>
      </w:r>
      <w:r>
        <w:rPr>
          <w:rFonts w:ascii="Arial" w:cs="Arial" w:eastAsia="Arial" w:hAnsi="Arial"/>
          <w:sz w:val="18"/>
          <w:szCs w:val="18"/>
          <w:b w:val="1"/>
          <w:bCs w:val="1"/>
          <w:i w:val="1"/>
          <w:iCs w:val="1"/>
          <w:color w:val="auto"/>
        </w:rPr>
        <w:t>.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specialty finance company focused on consumers who have limited credit histories or past credit problems, whom we refer to as sub-prime customers. Our business is to purchase and service retail automobile contracts originated primarily by franchised automobile dealers and, to a lesser extent, by select independent dealers in the United States in the sale of new and used automobiles, light trucks and passenger vans. Through our automobile contract purchases, we provide indirect financing to sub-prime customers of dealers. We serve as an alternative source of financing for dealers, facilitating sales to customers who otherwise might not be able to obtain financing from traditional sources, such as commercial banks, credit unions and the captive finance companies affiliated with major automobile manufacturers. In addition to purchasing installment purchase contracts directly from dealers, we have also (i) acquired installment purchase contracts in four merger and acquisition transactions, (ii) purchased immaterial amounts of vehicle purchase money loans from non-affiliated lenders, and (iii) lent money directly to consumers for an immaterial amount of loans secured by vehicles. In this report, we refer to all of such contracts and loans as "automobile contracts."</w:t>
      </w:r>
    </w:p>
    <w:p>
      <w:pPr>
        <w:spacing w:after="0" w:line="18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were incorporated and began our operations in March 1991. From inception through June 30, 2016, we have purchased a total of approximately $13.0 billion of automobile contracts from dealers. In addition, we obtained a total of approximately $822.3 million of automobile contracts in mergers and acquisitions in 2002, 2003, 2004 and 2011. In 2004 and 2009, we were appointed as a third-party servicer for certain portfolios of automobile receivables originated and owned by non-affiliated entities. Beginning in 2008 through the third quarter of 2011, our managed portfolio decreased each year due to our strategy of limiting contract purchases in 2008 and 2009 to conserve our liquidity, as discussed further below. However, since October 2009 we have gradually increased contract purchases, which, in turn has resulted in recent increases to our managed portfolio. Recent contract purchase volumes and managed portfolio levels are shown in the table below:</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5"/>
          </w:tcPr>
          <w:p>
            <w:pPr>
              <w:ind w:left="100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4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ind w:left="180"/>
              <w:spacing w:after="0" w:line="191" w:lineRule="exact"/>
              <w:rPr>
                <w:sz w:val="20"/>
                <w:szCs w:val="20"/>
                <w:color w:val="auto"/>
              </w:rPr>
            </w:pPr>
            <w:r>
              <w:rPr>
                <w:rFonts w:ascii="Arial" w:cs="Arial" w:eastAsia="Arial" w:hAnsi="Arial"/>
                <w:sz w:val="18"/>
                <w:szCs w:val="18"/>
                <w:b w:val="1"/>
                <w:bCs w:val="1"/>
                <w:color w:val="auto"/>
              </w:rPr>
              <w:t>Contracts</w:t>
            </w:r>
          </w:p>
        </w:tc>
        <w:tc>
          <w:tcPr>
            <w:tcW w:w="166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90"/>
              </w:rPr>
              <w:t>Managed Portfolio at</w:t>
            </w:r>
          </w:p>
        </w:tc>
        <w:tc>
          <w:tcPr>
            <w:tcW w:w="100" w:type="dxa"/>
            <w:vAlign w:val="bottom"/>
          </w:tcPr>
          <w:p>
            <w:pPr>
              <w:spacing w:after="0"/>
              <w:rPr>
                <w:sz w:val="16"/>
                <w:szCs w:val="16"/>
                <w:color w:val="auto"/>
              </w:rPr>
            </w:pPr>
          </w:p>
        </w:tc>
      </w:tr>
      <w:tr>
        <w:trPr>
          <w:trHeight w:val="234"/>
        </w:trPr>
        <w:tc>
          <w:tcPr>
            <w:tcW w:w="4320" w:type="dxa"/>
            <w:vAlign w:val="bottom"/>
            <w:gridSpan w:val="2"/>
          </w:tcPr>
          <w:p>
            <w:pPr>
              <w:ind w:left="1740"/>
              <w:spacing w:after="0"/>
              <w:rPr>
                <w:sz w:val="20"/>
                <w:szCs w:val="20"/>
                <w:color w:val="auto"/>
              </w:rPr>
            </w:pPr>
            <w:r>
              <w:rPr>
                <w:rFonts w:ascii="Arial" w:cs="Arial" w:eastAsia="Arial" w:hAnsi="Arial"/>
                <w:sz w:val="18"/>
                <w:szCs w:val="18"/>
                <w:b w:val="1"/>
                <w:bCs w:val="1"/>
                <w:color w:val="auto"/>
              </w:rPr>
              <w:t>Period</w:t>
            </w:r>
          </w:p>
        </w:tc>
        <w:tc>
          <w:tcPr>
            <w:tcW w:w="1900" w:type="dxa"/>
            <w:vAlign w:val="bottom"/>
            <w:gridSpan w:val="3"/>
          </w:tcPr>
          <w:p>
            <w:pPr>
              <w:ind w:left="20"/>
              <w:spacing w:after="0"/>
              <w:rPr>
                <w:sz w:val="20"/>
                <w:szCs w:val="20"/>
                <w:color w:val="auto"/>
              </w:rPr>
            </w:pPr>
            <w:r>
              <w:rPr>
                <w:rFonts w:ascii="Arial" w:cs="Arial" w:eastAsia="Arial" w:hAnsi="Arial"/>
                <w:sz w:val="18"/>
                <w:szCs w:val="18"/>
                <w:b w:val="1"/>
                <w:bCs w:val="1"/>
                <w:color w:val="auto"/>
              </w:rPr>
              <w:t>Purchased in Period</w:t>
            </w:r>
          </w:p>
        </w:tc>
        <w:tc>
          <w:tcPr>
            <w:tcW w:w="240" w:type="dxa"/>
            <w:vAlign w:val="bottom"/>
          </w:tcPr>
          <w:p>
            <w:pPr>
              <w:spacing w:after="0"/>
              <w:rPr>
                <w:sz w:val="20"/>
                <w:szCs w:val="20"/>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Period End</w:t>
            </w:r>
          </w:p>
        </w:tc>
      </w:tr>
      <w:tr>
        <w:trPr>
          <w:trHeight w:val="210"/>
        </w:trPr>
        <w:tc>
          <w:tcPr>
            <w:tcW w:w="40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9"/>
              </w:rPr>
              <w:t>2008</w:t>
            </w:r>
          </w:p>
        </w:tc>
        <w:tc>
          <w:tcPr>
            <w:tcW w:w="3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296,817</w:t>
            </w:r>
          </w:p>
        </w:tc>
        <w:tc>
          <w:tcPr>
            <w:tcW w:w="30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1,664,122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000" w:type="dxa"/>
            <w:vAlign w:val="bottom"/>
          </w:tcPr>
          <w:p>
            <w:pPr>
              <w:jc w:val="center"/>
              <w:spacing w:after="0"/>
              <w:rPr>
                <w:sz w:val="20"/>
                <w:szCs w:val="20"/>
                <w:color w:val="auto"/>
              </w:rPr>
            </w:pPr>
            <w:r>
              <w:rPr>
                <w:rFonts w:ascii="Arial" w:cs="Arial" w:eastAsia="Arial" w:hAnsi="Arial"/>
                <w:sz w:val="18"/>
                <w:szCs w:val="18"/>
                <w:color w:val="333333"/>
                <w:w w:val="89"/>
              </w:rPr>
              <w:t>2009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8,599</w:t>
            </w:r>
          </w:p>
        </w:tc>
        <w:tc>
          <w:tcPr>
            <w:tcW w:w="2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1,194,722</w:t>
            </w:r>
          </w:p>
        </w:tc>
      </w:tr>
      <w:tr>
        <w:trPr>
          <w:trHeight w:val="216"/>
        </w:trPr>
        <w:tc>
          <w:tcPr>
            <w:tcW w:w="400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2010</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113,023</w:t>
            </w:r>
          </w:p>
        </w:tc>
        <w:tc>
          <w:tcPr>
            <w:tcW w:w="2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756,203</w:t>
            </w:r>
          </w:p>
        </w:tc>
      </w:tr>
      <w:tr>
        <w:trPr>
          <w:trHeight w:val="216"/>
        </w:trPr>
        <w:tc>
          <w:tcPr>
            <w:tcW w:w="4000" w:type="dxa"/>
            <w:vAlign w:val="bottom"/>
          </w:tcPr>
          <w:p>
            <w:pPr>
              <w:jc w:val="center"/>
              <w:ind w:left="10"/>
              <w:spacing w:after="0"/>
              <w:rPr>
                <w:sz w:val="20"/>
                <w:szCs w:val="20"/>
                <w:color w:val="auto"/>
              </w:rPr>
            </w:pPr>
            <w:r>
              <w:rPr>
                <w:rFonts w:ascii="Arial" w:cs="Arial" w:eastAsia="Arial" w:hAnsi="Arial"/>
                <w:sz w:val="18"/>
                <w:szCs w:val="18"/>
                <w:color w:val="333333"/>
                <w:w w:val="84"/>
              </w:rPr>
              <w:t>2011</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284,236</w:t>
            </w:r>
          </w:p>
        </w:tc>
        <w:tc>
          <w:tcPr>
            <w:tcW w:w="2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794,649</w:t>
            </w:r>
          </w:p>
        </w:tc>
      </w:tr>
      <w:tr>
        <w:trPr>
          <w:trHeight w:val="216"/>
        </w:trPr>
        <w:tc>
          <w:tcPr>
            <w:tcW w:w="400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2012</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551,742</w:t>
            </w:r>
          </w:p>
        </w:tc>
        <w:tc>
          <w:tcPr>
            <w:tcW w:w="2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897,575</w:t>
            </w:r>
          </w:p>
        </w:tc>
      </w:tr>
      <w:tr>
        <w:trPr>
          <w:trHeight w:val="216"/>
        </w:trPr>
        <w:tc>
          <w:tcPr>
            <w:tcW w:w="4000" w:type="dxa"/>
            <w:vAlign w:val="bottom"/>
          </w:tcPr>
          <w:p>
            <w:pPr>
              <w:jc w:val="center"/>
              <w:spacing w:after="0"/>
              <w:rPr>
                <w:sz w:val="20"/>
                <w:szCs w:val="20"/>
                <w:color w:val="auto"/>
              </w:rPr>
            </w:pPr>
            <w:r>
              <w:rPr>
                <w:rFonts w:ascii="Arial" w:cs="Arial" w:eastAsia="Arial" w:hAnsi="Arial"/>
                <w:sz w:val="18"/>
                <w:szCs w:val="18"/>
                <w:color w:val="333333"/>
                <w:w w:val="89"/>
              </w:rPr>
              <w:t>2013</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764,087</w:t>
            </w:r>
          </w:p>
        </w:tc>
        <w:tc>
          <w:tcPr>
            <w:tcW w:w="2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1,231,422</w:t>
            </w:r>
          </w:p>
        </w:tc>
      </w:tr>
      <w:tr>
        <w:trPr>
          <w:trHeight w:val="216"/>
        </w:trPr>
        <w:tc>
          <w:tcPr>
            <w:tcW w:w="4000" w:type="dxa"/>
            <w:vAlign w:val="bottom"/>
            <w:shd w:val="clear" w:color="auto" w:fill="EEEEEE"/>
          </w:tcPr>
          <w:p>
            <w:pPr>
              <w:jc w:val="center"/>
              <w:spacing w:after="0"/>
              <w:rPr>
                <w:sz w:val="20"/>
                <w:szCs w:val="20"/>
                <w:color w:val="auto"/>
              </w:rPr>
            </w:pPr>
            <w:r>
              <w:rPr>
                <w:rFonts w:ascii="Arial" w:cs="Arial" w:eastAsia="Arial" w:hAnsi="Arial"/>
                <w:sz w:val="18"/>
                <w:szCs w:val="18"/>
                <w:color w:val="333333"/>
                <w:w w:val="89"/>
              </w:rPr>
              <w:t>2014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944,944</w:t>
            </w:r>
          </w:p>
        </w:tc>
        <w:tc>
          <w:tcPr>
            <w:tcW w:w="2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1,643,920</w:t>
            </w:r>
          </w:p>
        </w:tc>
      </w:tr>
      <w:tr>
        <w:trPr>
          <w:trHeight w:val="216"/>
        </w:trPr>
        <w:tc>
          <w:tcPr>
            <w:tcW w:w="400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1,060,538</w:t>
            </w:r>
          </w:p>
        </w:tc>
        <w:tc>
          <w:tcPr>
            <w:tcW w:w="24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2,031,136</w:t>
            </w:r>
          </w:p>
        </w:tc>
      </w:tr>
      <w:tr>
        <w:trPr>
          <w:trHeight w:val="216"/>
        </w:trPr>
        <w:tc>
          <w:tcPr>
            <w:tcW w:w="4320" w:type="dxa"/>
            <w:vAlign w:val="bottom"/>
            <w:gridSpan w:val="2"/>
            <w:shd w:val="clear" w:color="auto" w:fill="EEEEEE"/>
          </w:tcPr>
          <w:p>
            <w:pPr>
              <w:jc w:val="center"/>
              <w:ind w:right="220"/>
              <w:spacing w:after="0"/>
              <w:rPr>
                <w:sz w:val="20"/>
                <w:szCs w:val="20"/>
                <w:color w:val="auto"/>
              </w:rPr>
            </w:pPr>
            <w:r>
              <w:rPr>
                <w:rFonts w:ascii="Arial" w:cs="Arial" w:eastAsia="Arial" w:hAnsi="Arial"/>
                <w:sz w:val="18"/>
                <w:szCs w:val="18"/>
                <w:color w:val="auto"/>
                <w:w w:val="88"/>
              </w:rPr>
              <w:t>Six months ended June 30, 2016</w:t>
            </w:r>
          </w:p>
        </w:tc>
        <w:tc>
          <w:tcPr>
            <w:tcW w:w="24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631,412</w:t>
            </w:r>
          </w:p>
        </w:tc>
        <w:tc>
          <w:tcPr>
            <w:tcW w:w="24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2,253,702</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principal executive offices are in Las Vegas, Nevada. Most of our operational and administrative functions take place in Irvine, California. Credit and underwriting functions are performed primarily in our California branch with certain of these functions also performed in our Florida and Nevada branches. We service our automobile contracts from our California, Nevada, Virginia, Florida and Illinois branches.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programs we offer to dealers are intended to serve a wide range of sub-prime customers, primarily through franchised new car dealers. We purchase automobile contracts with the intention of financing them on a long-term basis through securitizations. Securitizations are transactions in which we sell a specified pool of contracts to a special purpose subsidiary of ours, which in turn issues asset-backed securities to fund the purchase of the pool of contracts from us.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Securitization and Warehouse Credit Facilities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Throughout the period for which information is presented in this report, we have purchased automobile contracts with the intention of financing them on a long-term basis through securitizations, and on an interim basis through warehouse credit facilities. All such financings have involved identification of specific automobile contracts, sale of those automobile contracts (and associated rights) to one of our special-purpose subsidiaries, and issuance of asset-backed securities to fund the transactions. Depending on the structure, these transactions may be accounted for under generally accepted accounting principles as sales of the automobile contracts or as secured financings.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structured to be treated as a secured financing for accounting purposes, the subsidiary is consolidated with us. Accordingly, the sold automobile contracts and the related debt appear as assets and liabilities, respectively, on our unaudited condensed consolidated balance sheet. We then periodically (i) recognize interest and fee income on the contracts, (ii) recognize interest expense on the securities issued in the transaction and (iii) record as expense a provision for credit losses on the contracts.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Since 1994 we have conducted 70 term securitizations (generally quarterly) of automobile contracts that we purchased from dealers under our regular programs. As of June 30, 2016, 16 of those securitizations are active and all but one are structured as secured financings. Our September 2010 transaction is our only active securitization that is structured as a sale of the related contracts. From 1994 through April 2008 we generally utilized financial guarantees for the senior asset-backed notes issued in the securitization. Since September 2010 we have utilized senior subordinated structures without any financial guarantees. We have generally conducted our securitizations on a quarterly basis, near the end of each calendar quarter, resulting in four securitizations per calendar year. However, in 2015, we elected to defer what would have been our December securitization in favor of a securitization in January 2016. We also completed a securitization in July 2016.</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recent history of term securitizations is summarized in the table below:</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350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Recent Asset-Backed Term Securitizations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22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700" w:type="dxa"/>
            <w:vAlign w:val="bottom"/>
            <w:gridSpan w:val="6"/>
          </w:tcPr>
          <w:p>
            <w:pPr>
              <w:ind w:left="1280"/>
              <w:spacing w:after="0"/>
              <w:rPr>
                <w:sz w:val="20"/>
                <w:szCs w:val="20"/>
                <w:color w:val="auto"/>
              </w:rPr>
            </w:pPr>
            <w:r>
              <w:rPr>
                <w:rFonts w:ascii="Arial" w:cs="Arial" w:eastAsia="Arial" w:hAnsi="Arial"/>
                <w:sz w:val="18"/>
                <w:szCs w:val="18"/>
                <w:i w:val="1"/>
                <w:iCs w:val="1"/>
                <w:color w:val="auto"/>
              </w:rPr>
              <w:t>$ in thousands</w:t>
            </w:r>
          </w:p>
        </w:tc>
      </w:tr>
      <w:tr>
        <w:trPr>
          <w:trHeight w:val="191"/>
        </w:trPr>
        <w:tc>
          <w:tcPr>
            <w:tcW w:w="2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7"/>
              </w:rPr>
              <w:t>Receivables Pledged</w:t>
            </w:r>
          </w:p>
        </w:tc>
        <w:tc>
          <w:tcPr>
            <w:tcW w:w="100" w:type="dxa"/>
            <w:vAlign w:val="bottom"/>
          </w:tcPr>
          <w:p>
            <w:pPr>
              <w:spacing w:after="0"/>
              <w:rPr>
                <w:sz w:val="16"/>
                <w:szCs w:val="16"/>
                <w:color w:val="auto"/>
              </w:rPr>
            </w:pPr>
          </w:p>
        </w:tc>
      </w:tr>
      <w:tr>
        <w:trPr>
          <w:trHeight w:val="216"/>
        </w:trPr>
        <w:tc>
          <w:tcPr>
            <w:tcW w:w="2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Number of Term</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in Term</w:t>
            </w:r>
          </w:p>
        </w:tc>
      </w:tr>
      <w:tr>
        <w:trPr>
          <w:trHeight w:val="234"/>
        </w:trPr>
        <w:tc>
          <w:tcPr>
            <w:tcW w:w="2280" w:type="dxa"/>
            <w:vAlign w:val="bottom"/>
          </w:tcPr>
          <w:p>
            <w:pPr>
              <w:ind w:left="1740"/>
              <w:spacing w:after="0"/>
              <w:rPr>
                <w:sz w:val="20"/>
                <w:szCs w:val="20"/>
                <w:color w:val="auto"/>
              </w:rPr>
            </w:pPr>
            <w:r>
              <w:rPr>
                <w:rFonts w:ascii="Arial" w:cs="Arial" w:eastAsia="Arial" w:hAnsi="Arial"/>
                <w:sz w:val="18"/>
                <w:szCs w:val="18"/>
                <w:b w:val="1"/>
                <w:bCs w:val="1"/>
                <w:color w:val="auto"/>
                <w:w w:val="92"/>
              </w:rPr>
              <w:t>Period</w:t>
            </w:r>
          </w:p>
        </w:tc>
        <w:tc>
          <w:tcPr>
            <w:tcW w:w="1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Securitizations</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Securitizations</w:t>
            </w:r>
          </w:p>
        </w:tc>
      </w:tr>
      <w:tr>
        <w:trPr>
          <w:trHeight w:val="210"/>
        </w:trPr>
        <w:tc>
          <w:tcPr>
            <w:tcW w:w="2280" w:type="dxa"/>
            <w:vAlign w:val="bottom"/>
            <w:tcBorders>
              <w:top w:val="single" w:sz="8" w:color="auto"/>
            </w:tcBorders>
            <w:shd w:val="clear" w:color="auto" w:fill="EEEEEE"/>
          </w:tcPr>
          <w:p>
            <w:pPr>
              <w:jc w:val="center"/>
              <w:ind w:left="1710"/>
              <w:spacing w:after="0"/>
              <w:rPr>
                <w:sz w:val="20"/>
                <w:szCs w:val="20"/>
                <w:color w:val="auto"/>
              </w:rPr>
            </w:pPr>
            <w:r>
              <w:rPr>
                <w:rFonts w:ascii="Arial" w:cs="Arial" w:eastAsia="Arial" w:hAnsi="Arial"/>
                <w:sz w:val="18"/>
                <w:szCs w:val="18"/>
                <w:color w:val="auto"/>
                <w:w w:val="89"/>
              </w:rPr>
              <w:t>2006</w:t>
            </w:r>
          </w:p>
        </w:tc>
        <w:tc>
          <w:tcPr>
            <w:tcW w:w="1700" w:type="dxa"/>
            <w:vAlign w:val="bottom"/>
            <w:tcBorders>
              <w:top w:val="single" w:sz="8" w:color="auto"/>
            </w:tcBorders>
            <w:shd w:val="clear" w:color="auto" w:fill="EEEEEE"/>
          </w:tcPr>
          <w:p>
            <w:pPr>
              <w:spacing w:after="0"/>
              <w:rPr>
                <w:sz w:val="18"/>
                <w:szCs w:val="18"/>
                <w:color w:val="auto"/>
              </w:rPr>
            </w:pPr>
          </w:p>
        </w:tc>
        <w:tc>
          <w:tcPr>
            <w:tcW w:w="300" w:type="dxa"/>
            <w:vAlign w:val="bottom"/>
            <w:tcBorders>
              <w:top w:val="single" w:sz="8" w:color="EEEEEE"/>
            </w:tcBorders>
            <w:shd w:val="clear" w:color="auto" w:fill="EEEEEE"/>
          </w:tcPr>
          <w:p>
            <w:pPr>
              <w:spacing w:after="0"/>
              <w:rPr>
                <w:sz w:val="18"/>
                <w:szCs w:val="18"/>
                <w:color w:val="auto"/>
              </w:rPr>
            </w:pPr>
          </w:p>
        </w:tc>
        <w:tc>
          <w:tcPr>
            <w:tcW w:w="150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99"/>
              </w:rPr>
              <w:t>4</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ind w:right="17"/>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957,681</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2280" w:type="dxa"/>
            <w:vAlign w:val="bottom"/>
          </w:tcPr>
          <w:p>
            <w:pPr>
              <w:jc w:val="center"/>
              <w:ind w:left="1710"/>
              <w:spacing w:after="0"/>
              <w:rPr>
                <w:sz w:val="20"/>
                <w:szCs w:val="20"/>
                <w:color w:val="auto"/>
              </w:rPr>
            </w:pPr>
            <w:r>
              <w:rPr>
                <w:rFonts w:ascii="Arial" w:cs="Arial" w:eastAsia="Arial" w:hAnsi="Arial"/>
                <w:sz w:val="18"/>
                <w:szCs w:val="18"/>
                <w:color w:val="auto"/>
                <w:w w:val="89"/>
              </w:rPr>
              <w:t>2007</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w:t>
            </w: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1,118,097</w:t>
            </w:r>
          </w:p>
        </w:tc>
      </w:tr>
      <w:tr>
        <w:trPr>
          <w:trHeight w:val="216"/>
        </w:trPr>
        <w:tc>
          <w:tcPr>
            <w:tcW w:w="2280" w:type="dxa"/>
            <w:vAlign w:val="bottom"/>
            <w:shd w:val="clear" w:color="auto" w:fill="EEEEEE"/>
          </w:tcPr>
          <w:p>
            <w:pPr>
              <w:jc w:val="center"/>
              <w:ind w:left="1710"/>
              <w:spacing w:after="0"/>
              <w:rPr>
                <w:sz w:val="20"/>
                <w:szCs w:val="20"/>
                <w:color w:val="auto"/>
              </w:rPr>
            </w:pPr>
            <w:r>
              <w:rPr>
                <w:rFonts w:ascii="Arial" w:cs="Arial" w:eastAsia="Arial" w:hAnsi="Arial"/>
                <w:sz w:val="18"/>
                <w:szCs w:val="18"/>
                <w:color w:val="333333"/>
                <w:w w:val="89"/>
              </w:rPr>
              <w:t>2008</w:t>
            </w:r>
          </w:p>
        </w:tc>
        <w:tc>
          <w:tcPr>
            <w:tcW w:w="1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9"/>
              </w:rPr>
              <w:t>2</w:t>
            </w: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509,022</w:t>
            </w:r>
          </w:p>
        </w:tc>
      </w:tr>
      <w:tr>
        <w:trPr>
          <w:trHeight w:val="216"/>
        </w:trPr>
        <w:tc>
          <w:tcPr>
            <w:tcW w:w="2280" w:type="dxa"/>
            <w:vAlign w:val="bottom"/>
          </w:tcPr>
          <w:p>
            <w:pPr>
              <w:jc w:val="center"/>
              <w:ind w:left="1710"/>
              <w:spacing w:after="0"/>
              <w:rPr>
                <w:sz w:val="20"/>
                <w:szCs w:val="20"/>
                <w:color w:val="auto"/>
              </w:rPr>
            </w:pPr>
            <w:r>
              <w:rPr>
                <w:rFonts w:ascii="Arial" w:cs="Arial" w:eastAsia="Arial" w:hAnsi="Arial"/>
                <w:sz w:val="18"/>
                <w:szCs w:val="18"/>
                <w:color w:val="333333"/>
                <w:w w:val="89"/>
              </w:rPr>
              <w:t>2009</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0</w:t>
            </w: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280" w:type="dxa"/>
            <w:vAlign w:val="bottom"/>
            <w:shd w:val="clear" w:color="auto" w:fill="EEEEEE"/>
          </w:tcPr>
          <w:p>
            <w:pPr>
              <w:jc w:val="center"/>
              <w:ind w:left="1710"/>
              <w:spacing w:after="0"/>
              <w:rPr>
                <w:sz w:val="20"/>
                <w:szCs w:val="20"/>
                <w:color w:val="auto"/>
              </w:rPr>
            </w:pPr>
            <w:r>
              <w:rPr>
                <w:rFonts w:ascii="Arial" w:cs="Arial" w:eastAsia="Arial" w:hAnsi="Arial"/>
                <w:sz w:val="18"/>
                <w:szCs w:val="18"/>
                <w:color w:val="333333"/>
                <w:w w:val="89"/>
              </w:rPr>
              <w:t>2010</w:t>
            </w:r>
          </w:p>
        </w:tc>
        <w:tc>
          <w:tcPr>
            <w:tcW w:w="1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9"/>
              </w:rPr>
              <w:t>1</w:t>
            </w: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103,772</w:t>
            </w:r>
          </w:p>
        </w:tc>
      </w:tr>
      <w:tr>
        <w:trPr>
          <w:trHeight w:val="216"/>
        </w:trPr>
        <w:tc>
          <w:tcPr>
            <w:tcW w:w="2280" w:type="dxa"/>
            <w:vAlign w:val="bottom"/>
          </w:tcPr>
          <w:p>
            <w:pPr>
              <w:jc w:val="center"/>
              <w:ind w:left="1710"/>
              <w:spacing w:after="0"/>
              <w:rPr>
                <w:sz w:val="20"/>
                <w:szCs w:val="20"/>
                <w:color w:val="auto"/>
              </w:rPr>
            </w:pPr>
            <w:r>
              <w:rPr>
                <w:rFonts w:ascii="Arial" w:cs="Arial" w:eastAsia="Arial" w:hAnsi="Arial"/>
                <w:sz w:val="18"/>
                <w:szCs w:val="18"/>
                <w:color w:val="333333"/>
                <w:w w:val="89"/>
              </w:rPr>
              <w:t>2011</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w:t>
            </w: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335,593</w:t>
            </w:r>
          </w:p>
        </w:tc>
      </w:tr>
      <w:tr>
        <w:trPr>
          <w:trHeight w:val="216"/>
        </w:trPr>
        <w:tc>
          <w:tcPr>
            <w:tcW w:w="2280" w:type="dxa"/>
            <w:vAlign w:val="bottom"/>
            <w:shd w:val="clear" w:color="auto" w:fill="EEEEEE"/>
          </w:tcPr>
          <w:p>
            <w:pPr>
              <w:jc w:val="center"/>
              <w:ind w:left="1710"/>
              <w:spacing w:after="0"/>
              <w:rPr>
                <w:sz w:val="20"/>
                <w:szCs w:val="20"/>
                <w:color w:val="auto"/>
              </w:rPr>
            </w:pPr>
            <w:r>
              <w:rPr>
                <w:rFonts w:ascii="Arial" w:cs="Arial" w:eastAsia="Arial" w:hAnsi="Arial"/>
                <w:sz w:val="18"/>
                <w:szCs w:val="18"/>
                <w:color w:val="333333"/>
                <w:w w:val="89"/>
              </w:rPr>
              <w:t>2012</w:t>
            </w:r>
          </w:p>
        </w:tc>
        <w:tc>
          <w:tcPr>
            <w:tcW w:w="1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9"/>
              </w:rPr>
              <w:t>4</w:t>
            </w: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603,500</w:t>
            </w:r>
          </w:p>
        </w:tc>
      </w:tr>
      <w:tr>
        <w:trPr>
          <w:trHeight w:val="216"/>
        </w:trPr>
        <w:tc>
          <w:tcPr>
            <w:tcW w:w="2280" w:type="dxa"/>
            <w:vAlign w:val="bottom"/>
          </w:tcPr>
          <w:p>
            <w:pPr>
              <w:jc w:val="center"/>
              <w:ind w:left="1710"/>
              <w:spacing w:after="0"/>
              <w:rPr>
                <w:sz w:val="20"/>
                <w:szCs w:val="20"/>
                <w:color w:val="auto"/>
              </w:rPr>
            </w:pPr>
            <w:r>
              <w:rPr>
                <w:rFonts w:ascii="Arial" w:cs="Arial" w:eastAsia="Arial" w:hAnsi="Arial"/>
                <w:sz w:val="18"/>
                <w:szCs w:val="18"/>
                <w:color w:val="333333"/>
                <w:w w:val="89"/>
              </w:rPr>
              <w:t>2013</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4</w:t>
            </w: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778,000</w:t>
            </w:r>
          </w:p>
        </w:tc>
      </w:tr>
      <w:tr>
        <w:trPr>
          <w:trHeight w:val="216"/>
        </w:trPr>
        <w:tc>
          <w:tcPr>
            <w:tcW w:w="2280" w:type="dxa"/>
            <w:vAlign w:val="bottom"/>
            <w:shd w:val="clear" w:color="auto" w:fill="EEEEEE"/>
          </w:tcPr>
          <w:p>
            <w:pPr>
              <w:jc w:val="center"/>
              <w:ind w:left="1710"/>
              <w:spacing w:after="0"/>
              <w:rPr>
                <w:sz w:val="20"/>
                <w:szCs w:val="20"/>
                <w:color w:val="auto"/>
              </w:rPr>
            </w:pPr>
            <w:r>
              <w:rPr>
                <w:rFonts w:ascii="Arial" w:cs="Arial" w:eastAsia="Arial" w:hAnsi="Arial"/>
                <w:sz w:val="18"/>
                <w:szCs w:val="18"/>
                <w:color w:val="333333"/>
                <w:w w:val="89"/>
              </w:rPr>
              <w:t>2014</w:t>
            </w:r>
          </w:p>
        </w:tc>
        <w:tc>
          <w:tcPr>
            <w:tcW w:w="17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9"/>
              </w:rPr>
              <w:t>4</w:t>
            </w: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923,000</w:t>
            </w:r>
          </w:p>
        </w:tc>
      </w:tr>
      <w:tr>
        <w:trPr>
          <w:trHeight w:val="216"/>
        </w:trPr>
        <w:tc>
          <w:tcPr>
            <w:tcW w:w="2280" w:type="dxa"/>
            <w:vAlign w:val="bottom"/>
          </w:tcPr>
          <w:p>
            <w:pPr>
              <w:jc w:val="center"/>
              <w:ind w:left="1710"/>
              <w:spacing w:after="0"/>
              <w:rPr>
                <w:sz w:val="20"/>
                <w:szCs w:val="20"/>
                <w:color w:val="auto"/>
              </w:rPr>
            </w:pPr>
            <w:r>
              <w:rPr>
                <w:rFonts w:ascii="Arial" w:cs="Arial" w:eastAsia="Arial" w:hAnsi="Arial"/>
                <w:sz w:val="18"/>
                <w:szCs w:val="18"/>
                <w:color w:val="333333"/>
                <w:w w:val="89"/>
              </w:rPr>
              <w:t>2015</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3</w:t>
            </w: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795,000</w:t>
            </w:r>
          </w:p>
        </w:tc>
      </w:tr>
      <w:tr>
        <w:trPr>
          <w:trHeight w:val="216"/>
        </w:trPr>
        <w:tc>
          <w:tcPr>
            <w:tcW w:w="5780" w:type="dxa"/>
            <w:vAlign w:val="bottom"/>
            <w:gridSpan w:val="4"/>
            <w:shd w:val="clear" w:color="auto" w:fill="EEEEEE"/>
          </w:tcPr>
          <w:p>
            <w:pPr>
              <w:jc w:val="center"/>
              <w:ind w:right="1630"/>
              <w:spacing w:after="0"/>
              <w:rPr>
                <w:sz w:val="20"/>
                <w:szCs w:val="20"/>
                <w:color w:val="auto"/>
              </w:rPr>
            </w:pPr>
            <w:r>
              <w:rPr>
                <w:rFonts w:ascii="Arial" w:cs="Arial" w:eastAsia="Arial" w:hAnsi="Arial"/>
                <w:sz w:val="18"/>
                <w:szCs w:val="18"/>
                <w:color w:val="auto"/>
                <w:w w:val="88"/>
              </w:rPr>
              <w:t>Six months ended June 30, 2016</w:t>
            </w:r>
          </w:p>
        </w:tc>
        <w:tc>
          <w:tcPr>
            <w:tcW w:w="4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w w:val="99"/>
              </w:rPr>
              <w:t>2</w:t>
            </w:r>
          </w:p>
        </w:tc>
        <w:tc>
          <w:tcPr>
            <w:tcW w:w="180" w:type="dxa"/>
            <w:vAlign w:val="bottom"/>
            <w:shd w:val="clear" w:color="auto" w:fill="EEEEEE"/>
          </w:tcPr>
          <w:p>
            <w:pPr>
              <w:spacing w:after="0"/>
              <w:rPr>
                <w:sz w:val="18"/>
                <w:szCs w:val="18"/>
                <w:color w:val="auto"/>
              </w:rPr>
            </w:pPr>
          </w:p>
        </w:tc>
        <w:tc>
          <w:tcPr>
            <w:tcW w:w="1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679,997</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From time to time we have also completed financings of our residual interests in other securitizations that we and our affiliates previously sponsored.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we have one such residual interest financing outstanding.</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Since December 2011, our securitizations have included a pre-funding feature in which a portion of the receivables to be sold to the trust were not delivered until after the initial closing. As a result, our restricted cash balance at June 30, 2015 included $94.9 million from the proceeds of the sale of the asset-backed notes that were held by the trustee pending delivery of the remaining receivables. In July 2015, the requisite additional receivables were delivered to the trust and we received the related restricted cash, most of which was used to repay amounts owed under our warehouse credit facilities. Since we have changed the timing of our securitizations to generally occur at the beginning rather than the end of the calendar quarter, there was no related amount of restricted cash representing the pre-funding proceeds at June 30, 2016.</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 w:name="page21"/>
    <w:bookmarkEnd w:id="20"/>
    <w:p>
      <w:pPr>
        <w:jc w:val="both"/>
        <w:ind w:firstLine="648"/>
        <w:spacing w:after="0" w:line="255" w:lineRule="auto"/>
        <w:rPr>
          <w:sz w:val="20"/>
          <w:szCs w:val="20"/>
          <w:color w:val="auto"/>
        </w:rPr>
      </w:pPr>
      <w:r>
        <w:rPr>
          <w:rFonts w:ascii="Arial" w:cs="Arial" w:eastAsia="Arial" w:hAnsi="Arial"/>
          <w:sz w:val="18"/>
          <w:szCs w:val="18"/>
          <w:color w:val="auto"/>
        </w:rPr>
        <w:t>Generally, prior to a securitization transaction we fund our automobile contract purchases primarily with proceeds from warehouse credit facilities. Our current short-term funding capacity is $300 million, comprising three credit facilities. The first $100 million credit facility was established in May 2012. This facility was renewed in August 2014, extending the revolving period to August 2016, and adding an amortization period through August 2017. In April 2015, we entered into a new $100 million facility, with a revolving period extending to April 2017, followed by an amortization period to April 2019. In November 2015, we entered into a third $100 million facility, with a revolving period extending to November 2017, followed by an amortization period to November 2019.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Certain of our securitization transactions and our warehouse credit facilities contain various financial covenants requiring certain minimum financial ratios and results. Such covenants include maintaining minimum levels of liquidity and net worth and not exceeding maximum leverage levels. In addition, certain of our debt agreements other than our team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2016 we were in compliance with all such covenants.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Comparison of Operating Results for the three months ended June 30, 2016 with the three months ended June 30, 2015</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three months ended June 30, 2016, our revenues were $104.9 million, an increase of $16.6 million, or 18.8%, from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revenue of $88.4 million. The primary reason for the increase in revenues is an increase in interest income. Interest income for the three months ended June 30, 2016 increased $16.8 million, or 19.8%, to $101.7 million from $84.9 million in the prior year. The primary reason for the increase in interest income is the increase in finance receivables held by consolidated subsidiaries. The table below shows the outstanding and average balances of our portfolio held by consolidated subsidiaries for the three months ended June 30, 2016 and 2015: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June 30, 2016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6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60" w:type="dxa"/>
            <w:vAlign w:val="bottom"/>
            <w:vMerge w:val="restart"/>
          </w:tcPr>
          <w:p>
            <w:pPr>
              <w:ind w:left="1540"/>
              <w:spacing w:after="0"/>
              <w:rPr>
                <w:sz w:val="20"/>
                <w:szCs w:val="20"/>
                <w:color w:val="auto"/>
              </w:rPr>
            </w:pPr>
            <w:r>
              <w:rPr>
                <w:rFonts w:ascii="Arial" w:cs="Arial" w:eastAsia="Arial" w:hAnsi="Arial"/>
                <w:sz w:val="18"/>
                <w:szCs w:val="18"/>
                <w:b w:val="1"/>
                <w:bCs w:val="1"/>
                <w:color w:val="auto"/>
              </w:rPr>
              <w:t>Finance Receivables Owned by Consolidated Subsidiaries</w:t>
            </w:r>
          </w:p>
        </w:tc>
        <w:tc>
          <w:tcPr>
            <w:tcW w:w="180" w:type="dxa"/>
            <w:vAlign w:val="bottom"/>
          </w:tcPr>
          <w:p>
            <w:pPr>
              <w:spacing w:after="0"/>
              <w:rPr>
                <w:sz w:val="19"/>
                <w:szCs w:val="19"/>
                <w:color w:val="auto"/>
              </w:rPr>
            </w:pPr>
          </w:p>
        </w:tc>
        <w:tc>
          <w:tcPr>
            <w:tcW w:w="336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Average balance for the three-month period</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2,216.6</w:t>
            </w:r>
          </w:p>
        </w:tc>
        <w:tc>
          <w:tcPr>
            <w:tcW w:w="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1,773.3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Ending balance for the period</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2,253.7</w:t>
            </w:r>
          </w:p>
        </w:tc>
        <w:tc>
          <w:tcPr>
            <w:tcW w:w="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1,821.3</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Servicing fees totaling $24,000 for the three months ended June 30, 2016 decreased $38,000, or 61.3%, from $62,000 in the prior year. We earn base servicing fees on three portfolios and incentive servicing fees on one of those three portfolios. All three of these portfolios are decreasing in size as we receive customer payments and, consequently, base servicing and incentive servicing fees are decreasing also. The aggregate balance of portfolios generating servicing fees decreased to $223,000 at June 30, 2016 from $911,000 at June 30, 2015.</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three months ended June 30, 2016, other income of $3.2 million decreased by $200,000, or 5.9% compared to the prior year. The three-month period ended June 30, 2016 includes a net decrease of $187,000 on payments to us for our interest in certain sold charge off portfolios and acquired third-party portfolios, a decrease of $70,000 in payments from third-party providers of convenience fees paid by our customers for web based and other electronic payments. The decreases were somewhat offset by an increase of $58,000 in sales tax refunds.</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 w:name="page22"/>
    <w:bookmarkEnd w:id="21"/>
    <w:p>
      <w:pPr>
        <w:jc w:val="both"/>
        <w:ind w:firstLine="648"/>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Total operating expenses were $92.6 million for the three months ended June 30, 2016, compared to $73.2 million for the prior year, an increase of $19.4 million, or 26.6%. The increase is primarily due to costs associated with the increase in the amount of new contracts we purchased, the resulting increase in our consolidated portfolio and associated servicing costs, and the related increases in interest expense and in our provision for credit losses.</w:t>
      </w:r>
    </w:p>
    <w:p>
      <w:pPr>
        <w:spacing w:after="0" w:line="14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Employee costs increased by $2.5 million or 19.3%, to $15.7 million during the three months ended June 30, 2016, representing 16.9% of total operating expenses, from $13.1 million for the prior year, or 18.0% of total operating expenses. Since 2010, we have added employees in our Originations and Marketing departments in conjunction with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three-month periods ended, June 30, 2016 and 2015: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June 30, 2016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319.1</w:t>
            </w: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269.9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19,316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16,339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2,253.7</w:t>
            </w:r>
          </w:p>
        </w:tc>
        <w:tc>
          <w:tcPr>
            <w:tcW w:w="18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1,822.2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164,403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135,954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80" w:type="dxa"/>
            <w:vAlign w:val="bottom"/>
            <w:shd w:val="clear" w:color="auto" w:fill="EEEEEE"/>
          </w:tcPr>
          <w:p>
            <w:pPr>
              <w:spacing w:after="0"/>
              <w:rPr>
                <w:sz w:val="19"/>
                <w:szCs w:val="19"/>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$6.6 million, an increase of $1.5 million, or 28.6% compared to the previous year and represented 7.1% of total operating expenses.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expense for the three months ended June 30, 2016 increased by $6.0 million to $19.7 million, or 21.3% of total operating expenses, compared to $13.7 million in the previous year.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 w:name="page23"/>
    <w:bookmarkEnd w:id="22"/>
    <w:p>
      <w:pPr>
        <w:jc w:val="both"/>
        <w:ind w:firstLine="648"/>
        <w:spacing w:after="0" w:line="271" w:lineRule="auto"/>
        <w:rPr>
          <w:sz w:val="20"/>
          <w:szCs w:val="20"/>
          <w:color w:val="auto"/>
        </w:rPr>
      </w:pPr>
      <w:r>
        <w:rPr>
          <w:rFonts w:ascii="Arial" w:cs="Arial" w:eastAsia="Arial" w:hAnsi="Arial"/>
          <w:sz w:val="17"/>
          <w:szCs w:val="17"/>
          <w:color w:val="auto"/>
        </w:rPr>
        <w:t>Interest on securitization trust debt increased by $5.2 million, or 44.6%, for the three months ended June 30, 2016 compared to the prior year. The average balance of securitization trust debt increased 22.9% to $2,047.6 million at June 30, 2016 compared to $1,665.4 million at June 30, 2015. In addition, the blended interest rates on new term securitizations have generally increased since December 2014. As a result, the cost of securitization debt during the three month period ended June 30, 2016 was 3.3%, compared to 2.8% in the prior year period. For any particular quarterly securitization transaction, the blended cost of funds is ultimately the result of many factors including the market interest rates for benchmark swaps of various maturities against which our bonds are priced and the margin over those benchmarks that investors are willing accept, which in turn, is influenced by investor demand for our bonds at the time of the securitization. These and other factors have resulted in a general trend toward higher securitization trust debt interest costs since June 30, 2015 as indicated by the table below:</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30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Period</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10"/>
        </w:trPr>
        <w:tc>
          <w:tcPr>
            <w:tcW w:w="26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7"/>
              </w:rPr>
              <w:t>June 2015</w:t>
            </w:r>
          </w:p>
        </w:tc>
        <w:tc>
          <w:tcPr>
            <w:tcW w:w="440" w:type="dxa"/>
            <w:vAlign w:val="bottom"/>
            <w:tcBorders>
              <w:top w:val="single" w:sz="8" w:color="EEEEEE"/>
            </w:tcBorders>
            <w:shd w:val="clear" w:color="auto" w:fill="EEEEEE"/>
          </w:tcPr>
          <w:p>
            <w:pPr>
              <w:spacing w:after="0"/>
              <w:rPr>
                <w:sz w:val="18"/>
                <w:szCs w:val="18"/>
                <w:color w:val="auto"/>
              </w:rPr>
            </w:pPr>
          </w:p>
        </w:tc>
        <w:tc>
          <w:tcPr>
            <w:tcW w:w="26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3.18%</w:t>
            </w:r>
          </w:p>
        </w:tc>
      </w:tr>
      <w:tr>
        <w:trPr>
          <w:trHeight w:val="216"/>
        </w:trPr>
        <w:tc>
          <w:tcPr>
            <w:tcW w:w="3060" w:type="dxa"/>
            <w:vAlign w:val="bottom"/>
            <w:gridSpan w:val="2"/>
          </w:tcPr>
          <w:p>
            <w:pPr>
              <w:jc w:val="center"/>
              <w:ind w:right="480"/>
              <w:spacing w:after="0"/>
              <w:rPr>
                <w:sz w:val="20"/>
                <w:szCs w:val="20"/>
                <w:color w:val="auto"/>
              </w:rPr>
            </w:pPr>
            <w:r>
              <w:rPr>
                <w:rFonts w:ascii="Arial" w:cs="Arial" w:eastAsia="Arial" w:hAnsi="Arial"/>
                <w:sz w:val="18"/>
                <w:szCs w:val="18"/>
                <w:color w:val="333333"/>
                <w:w w:val="88"/>
              </w:rPr>
              <w:t>September 2015</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3.78%</w:t>
            </w:r>
          </w:p>
        </w:tc>
      </w:tr>
      <w:tr>
        <w:trPr>
          <w:trHeight w:val="216"/>
        </w:trPr>
        <w:tc>
          <w:tcPr>
            <w:tcW w:w="3060" w:type="dxa"/>
            <w:vAlign w:val="bottom"/>
            <w:gridSpan w:val="2"/>
            <w:shd w:val="clear" w:color="auto" w:fill="EEEEEE"/>
          </w:tcPr>
          <w:p>
            <w:pPr>
              <w:jc w:val="center"/>
              <w:ind w:right="460"/>
              <w:spacing w:after="0"/>
              <w:rPr>
                <w:sz w:val="20"/>
                <w:szCs w:val="20"/>
                <w:color w:val="auto"/>
              </w:rPr>
            </w:pPr>
            <w:r>
              <w:rPr>
                <w:rFonts w:ascii="Arial" w:cs="Arial" w:eastAsia="Arial" w:hAnsi="Arial"/>
                <w:sz w:val="18"/>
                <w:szCs w:val="18"/>
                <w:color w:val="333333"/>
                <w:w w:val="87"/>
              </w:rPr>
              <w:t>January 2016</w:t>
            </w:r>
          </w:p>
        </w:tc>
        <w:tc>
          <w:tcPr>
            <w:tcW w:w="2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4.34%</w:t>
            </w:r>
          </w:p>
        </w:tc>
      </w:tr>
      <w:tr>
        <w:trPr>
          <w:trHeight w:val="216"/>
        </w:trPr>
        <w:tc>
          <w:tcPr>
            <w:tcW w:w="3060" w:type="dxa"/>
            <w:vAlign w:val="bottom"/>
            <w:gridSpan w:val="2"/>
          </w:tcPr>
          <w:p>
            <w:pPr>
              <w:jc w:val="center"/>
              <w:ind w:right="480"/>
              <w:spacing w:after="0"/>
              <w:rPr>
                <w:sz w:val="20"/>
                <w:szCs w:val="20"/>
                <w:color w:val="auto"/>
              </w:rPr>
            </w:pPr>
            <w:r>
              <w:rPr>
                <w:rFonts w:ascii="Arial" w:cs="Arial" w:eastAsia="Arial" w:hAnsi="Arial"/>
                <w:sz w:val="18"/>
                <w:szCs w:val="18"/>
                <w:color w:val="333333"/>
                <w:w w:val="96"/>
              </w:rPr>
              <w:t>April 2016</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4.65%</w:t>
            </w:r>
          </w:p>
        </w:tc>
      </w:tr>
      <w:tr>
        <w:trPr>
          <w:trHeight w:val="216"/>
        </w:trPr>
        <w:tc>
          <w:tcPr>
            <w:tcW w:w="3060" w:type="dxa"/>
            <w:vAlign w:val="bottom"/>
            <w:gridSpan w:val="2"/>
            <w:shd w:val="clear" w:color="auto" w:fill="EEEEEE"/>
          </w:tcPr>
          <w:p>
            <w:pPr>
              <w:jc w:val="center"/>
              <w:ind w:right="480"/>
              <w:spacing w:after="0"/>
              <w:rPr>
                <w:sz w:val="20"/>
                <w:szCs w:val="20"/>
                <w:color w:val="auto"/>
              </w:rPr>
            </w:pPr>
            <w:r>
              <w:rPr>
                <w:rFonts w:ascii="Arial" w:cs="Arial" w:eastAsia="Arial" w:hAnsi="Arial"/>
                <w:sz w:val="18"/>
                <w:szCs w:val="18"/>
                <w:color w:val="auto"/>
                <w:w w:val="90"/>
              </w:rPr>
              <w:t>July 2016</w:t>
            </w:r>
          </w:p>
        </w:tc>
        <w:tc>
          <w:tcPr>
            <w:tcW w:w="2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4.48%</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on subordinated renewable notes decreased by $45,000, or 11.0%. The decrease is due to a decrease in the average yield on our subordinated renewable notes to 9.5% for the three-month period ended June 30, 2016 compared to the prior year when the average yield on our subordinated renewable notes was 10.8%. The decrease in the yield offset an increase in the average balance to $15.3 million for the three-month period ended June 30, 2016 compared to $15.1 million in the prior year period.</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 on warehouse debt increased by $985,000 for the three months ended June 30, 2016 compared to the prior year. We increased our contract purchases to $319.1 million for the three months ended June 30, 2016 compared to $269.9 million in the prior period. However, when possible, we hold contracts with our own cash rather than pledging them to one of our warehouse facilities to minimize interest expense.</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components of interest income and interest expense and a net interest yield analysis for the three-month periods ended June 30, 2016 and 2015: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8"/>
                <w:szCs w:val="18"/>
                <w:b w:val="1"/>
                <w:bCs w:val="1"/>
                <w:color w:val="auto"/>
                <w:w w:val="91"/>
              </w:rPr>
              <w:t>Three Months Ended 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6"/>
          </w:tcPr>
          <w:p>
            <w:pPr>
              <w:ind w:left="36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Annualized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3"/>
            <w:vMerge w:val="restart"/>
          </w:tcPr>
          <w:p>
            <w:pPr>
              <w:jc w:val="right"/>
              <w:ind w:right="840"/>
              <w:spacing w:after="0"/>
              <w:rPr>
                <w:sz w:val="20"/>
                <w:szCs w:val="20"/>
                <w:color w:val="auto"/>
              </w:rPr>
            </w:pPr>
            <w:r>
              <w:rPr>
                <w:rFonts w:ascii="Arial" w:cs="Arial" w:eastAsia="Arial" w:hAnsi="Arial"/>
                <w:sz w:val="18"/>
                <w:szCs w:val="18"/>
                <w:b w:val="1"/>
                <w:bCs w:val="1"/>
                <w:color w:val="auto"/>
                <w:w w:val="87"/>
              </w:rPr>
              <w:t>Interest Earning Assets</w:t>
            </w: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Balance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Balance (1)</w:t>
            </w: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3"/>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2,182,203</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101,709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18.7%</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1,742,861</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84,900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5"/>
            <w:vMerge w:val="restart"/>
          </w:tcPr>
          <w:p>
            <w:pPr>
              <w:jc w:val="right"/>
              <w:ind w:right="700"/>
              <w:spacing w:after="0"/>
              <w:rPr>
                <w:sz w:val="20"/>
                <w:szCs w:val="20"/>
                <w:color w:val="auto"/>
              </w:rPr>
            </w:pPr>
            <w:r>
              <w:rPr>
                <w:rFonts w:ascii="Arial" w:cs="Arial" w:eastAsia="Arial" w:hAnsi="Arial"/>
                <w:sz w:val="18"/>
                <w:szCs w:val="18"/>
                <w:b w:val="1"/>
                <w:bCs w:val="1"/>
                <w:color w:val="auto"/>
              </w:rPr>
              <w:t>Interest Bearing Liabilities</w:t>
            </w:r>
          </w:p>
        </w:tc>
        <w:tc>
          <w:tcPr>
            <w:tcW w:w="100" w:type="dxa"/>
            <w:vAlign w:val="bottom"/>
          </w:tcPr>
          <w:p>
            <w:pPr>
              <w:spacing w:after="0"/>
              <w:rPr>
                <w:sz w:val="20"/>
                <w:szCs w:val="20"/>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FFFFFF"/>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 (3)</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84,564</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2,244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44,810</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1,259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7,770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11,441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2,047,621</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16,874</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1,665,435</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11,670</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15,321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15,075</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408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EEEEEE"/>
              <w:bottom w:val="single" w:sz="8" w:color="EEEEEE"/>
            </w:tcBorders>
            <w:shd w:val="clear" w:color="auto" w:fill="EEEEEE"/>
          </w:tcPr>
          <w:p>
            <w:pPr>
              <w:spacing w:after="0"/>
              <w:rPr>
                <w:sz w:val="18"/>
                <w:szCs w:val="18"/>
                <w:color w:val="auto"/>
              </w:rPr>
            </w:pPr>
          </w:p>
        </w:tc>
        <w:tc>
          <w:tcPr>
            <w:tcW w:w="140" w:type="dxa"/>
            <w:vAlign w:val="bottom"/>
            <w:tcBorders>
              <w:top w:val="single" w:sz="8" w:color="EEEEEE"/>
              <w:bottom w:val="single" w:sz="8" w:color="EEEEEE"/>
            </w:tcBorders>
            <w:shd w:val="clear" w:color="auto" w:fill="EEEEEE"/>
          </w:tcPr>
          <w:p>
            <w:pPr>
              <w:spacing w:after="0"/>
              <w:rPr>
                <w:sz w:val="18"/>
                <w:szCs w:val="18"/>
                <w:color w:val="auto"/>
              </w:rPr>
            </w:pPr>
          </w:p>
        </w:tc>
        <w:tc>
          <w:tcPr>
            <w:tcW w:w="1780" w:type="dxa"/>
            <w:vAlign w:val="bottom"/>
            <w:tcBorders>
              <w:top w:val="single" w:sz="8" w:color="EEEEEE"/>
              <w:bottom w:val="single" w:sz="8" w:color="EEEEEE"/>
            </w:tcBorders>
            <w:shd w:val="clear" w:color="auto" w:fill="EEEEEE"/>
          </w:tcPr>
          <w:p>
            <w:pPr>
              <w:spacing w:after="0"/>
              <w:rPr>
                <w:sz w:val="18"/>
                <w:szCs w:val="18"/>
                <w:color w:val="auto"/>
              </w:rPr>
            </w:pPr>
          </w:p>
        </w:tc>
        <w:tc>
          <w:tcPr>
            <w:tcW w:w="140" w:type="dxa"/>
            <w:vAlign w:val="bottom"/>
            <w:tcBorders>
              <w:top w:val="single" w:sz="8" w:color="EEEEEE"/>
              <w:bottom w:val="single" w:sz="8" w:color="EEEEEE"/>
            </w:tcBorders>
            <w:shd w:val="clear" w:color="auto" w:fill="EEEEEE"/>
          </w:tcPr>
          <w:p>
            <w:pPr>
              <w:spacing w:after="0"/>
              <w:rPr>
                <w:sz w:val="18"/>
                <w:szCs w:val="18"/>
                <w:color w:val="auto"/>
              </w:rPr>
            </w:pPr>
          </w:p>
        </w:tc>
        <w:tc>
          <w:tcPr>
            <w:tcW w:w="70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2,155,276</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19,727</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24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1,736,761</w:t>
            </w: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EEEEEE"/>
            </w:tcBorders>
            <w:shd w:val="clear" w:color="auto" w:fill="EEEEEE"/>
          </w:tcPr>
          <w:p>
            <w:pPr>
              <w:spacing w:after="0"/>
              <w:rPr>
                <w:sz w:val="18"/>
                <w:szCs w:val="18"/>
                <w:color w:val="auto"/>
              </w:rPr>
            </w:pPr>
          </w:p>
        </w:tc>
        <w:tc>
          <w:tcPr>
            <w:tcW w:w="96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13,688</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24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FFFFFF"/>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7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7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240" w:type="dxa"/>
            <w:vAlign w:val="bottom"/>
            <w:tcBorders>
              <w:bottom w:val="single" w:sz="8" w:color="EEEEEE"/>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Borders>
              <w:bottom w:val="single" w:sz="8" w:color="EEEEEE"/>
            </w:tcBorders>
            <w:shd w:val="clear" w:color="auto" w:fill="EEEEEE"/>
          </w:tcPr>
          <w:p>
            <w:pPr>
              <w:spacing w:after="0"/>
              <w:rPr>
                <w:sz w:val="19"/>
                <w:szCs w:val="19"/>
                <w:color w:val="auto"/>
              </w:rPr>
            </w:pPr>
          </w:p>
        </w:tc>
        <w:tc>
          <w:tcPr>
            <w:tcW w:w="106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81,982</w:t>
            </w:r>
          </w:p>
        </w:tc>
        <w:tc>
          <w:tcPr>
            <w:tcW w:w="2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04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71,212</w:t>
            </w:r>
          </w:p>
        </w:tc>
        <w:tc>
          <w:tcPr>
            <w:tcW w:w="2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gridSpan w:val="6"/>
            <w:vMerge w:val="restart"/>
          </w:tcPr>
          <w:p>
            <w:pPr>
              <w:spacing w:after="0"/>
              <w:rPr>
                <w:sz w:val="20"/>
                <w:szCs w:val="20"/>
                <w:color w:val="auto"/>
              </w:rPr>
            </w:pPr>
            <w:r>
              <w:rPr>
                <w:rFonts w:ascii="Arial" w:cs="Arial" w:eastAsia="Arial" w:hAnsi="Arial"/>
                <w:sz w:val="18"/>
                <w:szCs w:val="18"/>
                <w:color w:val="auto"/>
              </w:rPr>
              <w:t>Net interest yield (4)</w:t>
            </w:r>
          </w:p>
        </w:tc>
        <w:tc>
          <w:tcPr>
            <w:tcW w:w="100" w:type="dxa"/>
            <w:vAlign w:val="bottom"/>
          </w:tcPr>
          <w:p>
            <w:pPr>
              <w:spacing w:after="0" w:line="20" w:lineRule="exact"/>
              <w:rPr>
                <w:sz w:val="1"/>
                <w:szCs w:val="1"/>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FFFFFF"/>
              </w:rPr>
              <w:t>$</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line="20" w:lineRule="exact"/>
              <w:rPr>
                <w:sz w:val="1"/>
                <w:szCs w:val="1"/>
                <w:color w:val="auto"/>
              </w:rPr>
            </w:pPr>
          </w:p>
        </w:tc>
      </w:tr>
      <w:tr>
        <w:trPr>
          <w:trHeight w:val="197"/>
        </w:trPr>
        <w:tc>
          <w:tcPr>
            <w:tcW w:w="334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7"/>
              </w:rPr>
              <w:t>Ratio of average interest earning assets to</w:t>
            </w:r>
          </w:p>
        </w:tc>
        <w:tc>
          <w:tcPr>
            <w:tcW w:w="1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5"/>
            <w:shd w:val="clear" w:color="auto" w:fill="EEEEEE"/>
          </w:tcPr>
          <w:p>
            <w:pPr>
              <w:jc w:val="right"/>
              <w:ind w:right="700"/>
              <w:spacing w:after="0"/>
              <w:rPr>
                <w:sz w:val="20"/>
                <w:szCs w:val="20"/>
                <w:color w:val="auto"/>
              </w:rPr>
            </w:pPr>
            <w:r>
              <w:rPr>
                <w:rFonts w:ascii="Arial" w:cs="Arial" w:eastAsia="Arial" w:hAnsi="Arial"/>
                <w:sz w:val="18"/>
                <w:szCs w:val="18"/>
                <w:color w:val="auto"/>
                <w:w w:val="97"/>
              </w:rPr>
              <w:t>average interest bearing liabilities</w:t>
            </w:r>
          </w:p>
        </w:tc>
        <w:tc>
          <w:tcPr>
            <w:tcW w:w="10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660" w:hanging="25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660" w:hanging="25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660" w:hanging="25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Interest expense includes deferred financing costs and non-utilization fees.</w:t>
      </w:r>
    </w:p>
    <w:p>
      <w:pPr>
        <w:spacing w:after="0" w:line="9" w:lineRule="exact"/>
        <w:rPr>
          <w:rFonts w:ascii="Arial" w:cs="Arial" w:eastAsia="Arial" w:hAnsi="Arial"/>
          <w:sz w:val="18"/>
          <w:szCs w:val="18"/>
          <w:color w:val="auto"/>
        </w:rPr>
      </w:pPr>
    </w:p>
    <w:p>
      <w:pPr>
        <w:ind w:left="660" w:hanging="25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60" w:type="dxa"/>
            <w:vAlign w:val="bottom"/>
            <w:gridSpan w:val="7"/>
          </w:tcPr>
          <w:p>
            <w:pPr>
              <w:jc w:val="center"/>
              <w:ind w:left="930"/>
              <w:spacing w:after="0"/>
              <w:rPr>
                <w:sz w:val="20"/>
                <w:szCs w:val="20"/>
                <w:color w:val="auto"/>
              </w:rPr>
            </w:pPr>
            <w:r>
              <w:rPr>
                <w:rFonts w:ascii="Arial" w:cs="Arial" w:eastAsia="Arial" w:hAnsi="Arial"/>
                <w:sz w:val="18"/>
                <w:szCs w:val="18"/>
                <w:b w:val="1"/>
                <w:bCs w:val="1"/>
                <w:color w:val="auto"/>
                <w:w w:val="90"/>
              </w:rPr>
              <w:t>Three Months Ended June 30, 2016</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00" w:type="dxa"/>
            <w:vAlign w:val="bottom"/>
            <w:gridSpan w:val="4"/>
            <w:vMerge w:val="restart"/>
          </w:tcPr>
          <w:p>
            <w:pPr>
              <w:jc w:val="center"/>
              <w:ind w:left="1830"/>
              <w:spacing w:after="0"/>
              <w:rPr>
                <w:sz w:val="20"/>
                <w:szCs w:val="20"/>
                <w:color w:val="auto"/>
              </w:rPr>
            </w:pPr>
            <w:r>
              <w:rPr>
                <w:rFonts w:ascii="Arial" w:cs="Arial" w:eastAsia="Arial" w:hAnsi="Arial"/>
                <w:sz w:val="18"/>
                <w:szCs w:val="18"/>
                <w:b w:val="1"/>
                <w:bCs w:val="1"/>
                <w:color w:val="FFFFFF"/>
                <w:w w:val="99"/>
              </w:rPr>
              <w: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 Compared to June 30, 2015</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0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jc w:val="right"/>
              <w:ind w:right="870"/>
              <w:spacing w:after="0" w:line="191"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6"/>
                <w:szCs w:val="16"/>
                <w:color w:val="auto"/>
              </w:rPr>
            </w:pPr>
          </w:p>
        </w:tc>
        <w:tc>
          <w:tcPr>
            <w:tcW w:w="1780" w:type="dxa"/>
            <w:vAlign w:val="bottom"/>
            <w:gridSpan w:val="2"/>
          </w:tcPr>
          <w:p>
            <w:pPr>
              <w:jc w:val="right"/>
              <w:ind w:right="660"/>
              <w:spacing w:after="0" w:line="191" w:lineRule="exact"/>
              <w:rPr>
                <w:sz w:val="20"/>
                <w:szCs w:val="20"/>
                <w:color w:val="auto"/>
              </w:rPr>
            </w:pPr>
            <w:r>
              <w:rPr>
                <w:rFonts w:ascii="Arial" w:cs="Arial" w:eastAsia="Arial" w:hAnsi="Arial"/>
                <w:sz w:val="18"/>
                <w:szCs w:val="18"/>
                <w:b w:val="1"/>
                <w:bCs w:val="1"/>
                <w:color w:val="auto"/>
              </w:rPr>
              <w:t>Change Due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3"/>
              </w:rPr>
              <w:t>Change Due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700" w:type="dxa"/>
            <w:vAlign w:val="bottom"/>
            <w:gridSpan w:val="4"/>
          </w:tcPr>
          <w:p>
            <w:pPr>
              <w:jc w:val="center"/>
              <w:ind w:left="1830"/>
              <w:spacing w:after="0"/>
              <w:rPr>
                <w:sz w:val="20"/>
                <w:szCs w:val="20"/>
                <w:color w:val="auto"/>
              </w:rPr>
            </w:pPr>
            <w:r>
              <w:rPr>
                <w:rFonts w:ascii="Arial" w:cs="Arial" w:eastAsia="Arial" w:hAnsi="Arial"/>
                <w:sz w:val="18"/>
                <w:szCs w:val="18"/>
                <w:b w:val="1"/>
                <w:bCs w:val="1"/>
                <w:color w:val="FFFFFF"/>
                <w:w w:val="99"/>
              </w:rPr>
              <w:t>$</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1"/>
                <w:szCs w:val="21"/>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to Volume</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60" w:type="dxa"/>
            <w:vAlign w:val="bottom"/>
            <w:gridSpan w:val="4"/>
            <w:vMerge w:val="restart"/>
          </w:tcPr>
          <w:p>
            <w:pPr>
              <w:jc w:val="center"/>
              <w:ind w:right="1000"/>
              <w:spacing w:after="0"/>
              <w:rPr>
                <w:sz w:val="20"/>
                <w:szCs w:val="20"/>
                <w:color w:val="auto"/>
              </w:rPr>
            </w:pPr>
            <w:r>
              <w:rPr>
                <w:rFonts w:ascii="Arial" w:cs="Arial" w:eastAsia="Arial" w:hAnsi="Arial"/>
                <w:sz w:val="18"/>
                <w:szCs w:val="18"/>
                <w:b w:val="1"/>
                <w:bCs w:val="1"/>
                <w:color w:val="auto"/>
                <w:w w:val="88"/>
              </w:rPr>
              <w:t>Interest Earning Assets</w:t>
            </w:r>
          </w:p>
        </w:tc>
        <w:tc>
          <w:tcPr>
            <w:tcW w:w="10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vMerge w:val="restart"/>
          </w:tcPr>
          <w:p>
            <w:pPr>
              <w:jc w:val="right"/>
              <w:ind w:right="270"/>
              <w:spacing w:after="0"/>
              <w:rPr>
                <w:sz w:val="20"/>
                <w:szCs w:val="20"/>
                <w:color w:val="auto"/>
              </w:rPr>
            </w:pPr>
            <w:r>
              <w:rPr>
                <w:rFonts w:ascii="Arial" w:cs="Arial" w:eastAsia="Arial" w:hAnsi="Arial"/>
                <w:sz w:val="18"/>
                <w:szCs w:val="18"/>
                <w:color w:val="FFFFFF"/>
              </w:rPr>
              <w:t>$</w:t>
            </w:r>
          </w:p>
        </w:tc>
        <w:tc>
          <w:tcPr>
            <w:tcW w:w="16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60" w:type="dxa"/>
            <w:vAlign w:val="bottom"/>
            <w:gridSpan w:val="4"/>
            <w:vMerge w:val="continue"/>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3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16,809</w:t>
            </w: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21,093</w:t>
            </w:r>
          </w:p>
        </w:tc>
        <w:tc>
          <w:tcPr>
            <w:tcW w:w="260" w:type="dxa"/>
            <w:vAlign w:val="bottom"/>
            <w:gridSpan w:val="2"/>
            <w:shd w:val="clear" w:color="auto" w:fill="EEEEEE"/>
          </w:tcPr>
          <w:p>
            <w:pPr>
              <w:jc w:val="right"/>
              <w:ind w:right="130"/>
              <w:spacing w:after="0"/>
              <w:rPr>
                <w:sz w:val="20"/>
                <w:szCs w:val="20"/>
                <w:color w:val="auto"/>
              </w:rPr>
            </w:pPr>
            <w:r>
              <w:rPr>
                <w:rFonts w:ascii="Arial" w:cs="Arial" w:eastAsia="Arial" w:hAnsi="Arial"/>
                <w:sz w:val="15"/>
                <w:szCs w:val="15"/>
                <w:color w:val="auto"/>
                <w:w w:val="71"/>
              </w:rPr>
              <w:t>$</w:t>
            </w:r>
          </w:p>
        </w:tc>
        <w:tc>
          <w:tcPr>
            <w:tcW w:w="14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(4,284)</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820" w:type="dxa"/>
            <w:vAlign w:val="bottom"/>
            <w:gridSpan w:val="5"/>
          </w:tcPr>
          <w:p>
            <w:pPr>
              <w:jc w:val="center"/>
              <w:ind w:left="670"/>
              <w:spacing w:after="0"/>
              <w:rPr>
                <w:sz w:val="20"/>
                <w:szCs w:val="20"/>
                <w:color w:val="auto"/>
              </w:rPr>
            </w:pPr>
            <w:r>
              <w:rPr>
                <w:rFonts w:ascii="Arial" w:cs="Arial" w:eastAsia="Arial" w:hAnsi="Arial"/>
                <w:sz w:val="18"/>
                <w:szCs w:val="18"/>
                <w:b w:val="1"/>
                <w:bCs w:val="1"/>
                <w:color w:val="auto"/>
                <w:w w:val="91"/>
              </w:rPr>
              <w:t>Interest Bearing Liabilities</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2"/>
          </w:tcPr>
          <w:p>
            <w:pPr>
              <w:jc w:val="right"/>
              <w:ind w:right="270"/>
              <w:spacing w:after="0"/>
              <w:rPr>
                <w:sz w:val="20"/>
                <w:szCs w:val="20"/>
                <w:color w:val="auto"/>
              </w:rPr>
            </w:pPr>
            <w:r>
              <w:rPr>
                <w:rFonts w:ascii="Arial" w:cs="Arial" w:eastAsia="Arial" w:hAnsi="Arial"/>
                <w:sz w:val="18"/>
                <w:szCs w:val="18"/>
                <w:color w:val="FFFFFF"/>
              </w:rPr>
              <w:t>$</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985</w:t>
            </w:r>
          </w:p>
        </w:tc>
        <w:tc>
          <w:tcPr>
            <w:tcW w:w="16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1,117</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42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210"/>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5,204</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2,678</w:t>
            </w: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2,526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21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6,039</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3,689</w:t>
            </w:r>
          </w:p>
        </w:tc>
        <w:tc>
          <w:tcPr>
            <w:tcW w:w="34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2,350</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10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10,770</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17,404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(6,634</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reduction in the annualized yield on our finance receivables for the three months ended June 30, 2016 compared to the prior year period is the result of our decision to offer dealers slightly lower acquisition fees and also to require slightly lower contract interest rates on a portion of the contracts we purchase.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Provision for credit losses was $44.4 million for the three months ended June 30, 2016, an increase of $8.7 million, or 24.5% compared to the prior year and represented 48.0%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Consequently, the increase in provision expense is the result of the increase in contract purchases, the larger portfolio owned by our consolidated subsidiaries, and somewhat higher delinquency and charge off rates compared to the prior year.</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$295,000, or 6.7%, to $4.7 million during the three months ended June 30, 2016, compared to $4.4 million in the prior year period, and represented 5.1% of total operating expenses. For the three months ended June 30, 2016, we purchased 19,316 contracts representing $319.1 million in receivables compared to 16,339 contracts representing $269.9 million in receivables in the prior year.</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Occupancy expenses increased by $339,000 or 35.7%, to $1.3 million compared to $949,000 in the previous year and represented 1.4% of total operating expenses. In July 2015, we entered into a lease for additional office space in Irvine, California. We then occupied that space, and incurred incremental occupancy expense, in phases. The first phase was in July 2015 and the second and final phase was in April 2016.</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expenses increased by $39,000 or 25.5%, to $192,000 compared to $153,000 in the previous year and represented 0.2% of total operating expenses.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June 30, 2016, we recorded income tax expense of $5.1 million, representing a 41.0% effective income tax rate. In the prior year period, we recorded $6.7 million in income tax expense, representing a 43.8% effective income tax rate.</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4" w:name="page25"/>
    <w:bookmarkEnd w:id="24"/>
    <w:p>
      <w:pPr>
        <w:ind w:left="660"/>
        <w:spacing w:after="0"/>
        <w:rPr>
          <w:sz w:val="20"/>
          <w:szCs w:val="20"/>
          <w:color w:val="auto"/>
        </w:rPr>
      </w:pPr>
      <w:r>
        <w:rPr>
          <w:rFonts w:ascii="Arial" w:cs="Arial" w:eastAsia="Arial" w:hAnsi="Arial"/>
          <w:sz w:val="18"/>
          <w:szCs w:val="18"/>
          <w:i w:val="1"/>
          <w:iCs w:val="1"/>
          <w:color w:val="auto"/>
        </w:rPr>
        <w:t>Comparison of Operating Results for the six months ended June 30, 2016 with the six months ended June 30, 2015</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Revenues</w:t>
      </w:r>
      <w:r>
        <w:rPr>
          <w:rFonts w:ascii="Arial" w:cs="Arial" w:eastAsia="Arial" w:hAnsi="Arial"/>
          <w:sz w:val="18"/>
          <w:szCs w:val="18"/>
          <w:color w:val="auto"/>
        </w:rPr>
        <w:t>. During the six months ended June 30, 2016, our revenues were $205.6 million, an increase of $31.2 million, or 17.9%, from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revenue of $174.4 million. The primary reason for the increase in revenues is an increase in interest income. Interest income for the six months ended June 30, 2016 increased $31.1 million, or 18.6%, to $198.4 million from $167.3 million in the prior year. The primary reason for the increase in interest income is the increase in finance receivables held by consolidated subsidiaries. The table below shows the outstanding and average balances of our portfolio held by consolidated subsidiaries for the six months ended June 30, 2016 and 2015: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June 30, 2016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36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760" w:type="dxa"/>
            <w:vAlign w:val="bottom"/>
            <w:vMerge w:val="restart"/>
          </w:tcPr>
          <w:p>
            <w:pPr>
              <w:ind w:left="1540"/>
              <w:spacing w:after="0"/>
              <w:rPr>
                <w:sz w:val="20"/>
                <w:szCs w:val="20"/>
                <w:color w:val="auto"/>
              </w:rPr>
            </w:pPr>
            <w:r>
              <w:rPr>
                <w:rFonts w:ascii="Arial" w:cs="Arial" w:eastAsia="Arial" w:hAnsi="Arial"/>
                <w:sz w:val="18"/>
                <w:szCs w:val="18"/>
                <w:b w:val="1"/>
                <w:bCs w:val="1"/>
                <w:color w:val="auto"/>
              </w:rPr>
              <w:t>Finance Receivables Owned by Consolidated Subsidiaries</w:t>
            </w:r>
          </w:p>
        </w:tc>
        <w:tc>
          <w:tcPr>
            <w:tcW w:w="180" w:type="dxa"/>
            <w:vAlign w:val="bottom"/>
          </w:tcPr>
          <w:p>
            <w:pPr>
              <w:spacing w:after="0"/>
              <w:rPr>
                <w:sz w:val="19"/>
                <w:szCs w:val="19"/>
                <w:color w:val="auto"/>
              </w:rPr>
            </w:pPr>
          </w:p>
        </w:tc>
        <w:tc>
          <w:tcPr>
            <w:tcW w:w="3360" w:type="dxa"/>
            <w:vAlign w:val="bottom"/>
            <w:gridSpan w:val="4"/>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7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Average balance for the six-month period</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2,157.3</w:t>
            </w:r>
          </w:p>
        </w:tc>
        <w:tc>
          <w:tcPr>
            <w:tcW w:w="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1,738.8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Ending balance for the period</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2,253.7</w:t>
            </w:r>
          </w:p>
        </w:tc>
        <w:tc>
          <w:tcPr>
            <w:tcW w:w="5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1,821.3</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Servicing fees totaling $47,000 for the six months ended June 30, 2016 decreased $164,000, or 77.6%, from $210,000 in the prior year. We earn base servicing fees on three portfolios and incentive servicing fees on one of those three portfolios. All three of these portfolios are decreasing in size as we receive customer payments and, consequently, base servicing and incentive servicing fees are decreasing also. The aggregate balance of portfolios generating servicing fees decreased to $223,000 at June 30, 2016 from $911,000 at June 30, 2015.</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six months ended June 30, 2016, other income of $7.2 million increased by $282,000, or 4.1% compared to the prior year. The six-month period ended June 30, 2016 includes increases of $703,000 in revenue associated with direct mail and other related products and services that we offer to our dealers and an increase of $107,000 in sales tax refunds. The increases were somewhat offset by a net decrease of $153,000 on payments to us for our interest in certain sold charge off portfolios and acquired third-party portfolios and a decrease of $375,000 in payments from third-party providers of convenience fees paid by our customers for web based and other electronic payments.</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Our operating expenses consist largely of provision for credit losses, interest expense, employee costs, marketing and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expenses. Provision for credit losses and interest expense are significantly affected by the volume of automobile contracts we purchased during the trailing 12-month period and by the outstanding balance of finance receivables held by consolidated subsidiaries. Employee costs and general and administrative expenses are incurred as applications and automobile contracts are received, processed and serviced. Factors that affect margins and net income include changes in the automobile and automobile finance market environments, and macroeconomic factors such as interest rates and changes in the unemployment level.</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Employee costs include base salaries, commissions and bonuses paid to employees, and certain expenses related to the accounting treatment of outstanding stock options, and are one of our most significant operating expenses. These costs (other than those relating to stock options) generally fluctuate with the level of applications and automobile contracts processed and serviced.</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Other operating expenses consist largely of facilities expenses, telephone and other communication services, credit services, computer services, marketing and advertising expenses, and depreciation and amortization.</w:t>
      </w:r>
    </w:p>
    <w:p>
      <w:pPr>
        <w:spacing w:after="0" w:line="170"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Total operating expenses were $181.0 million for the six months ended June 30, 2016, compared to $144.4 million for the prior year, an increase of $36.6 million, or 25.4%. The increase is primarily due to costs associated with the increase in the amount of new contracts we purchased, the resulting increase in our consolidated portfolio and associated servicing costs, and the related increases in interest expense and in our provision for credit losses.</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 w:name="page26"/>
    <w:bookmarkEnd w:id="25"/>
    <w:p>
      <w:pPr>
        <w:jc w:val="both"/>
        <w:ind w:firstLine="648"/>
        <w:spacing w:after="0" w:line="276" w:lineRule="auto"/>
        <w:rPr>
          <w:sz w:val="20"/>
          <w:szCs w:val="20"/>
          <w:color w:val="auto"/>
        </w:rPr>
      </w:pPr>
      <w:r>
        <w:rPr>
          <w:rFonts w:ascii="Arial" w:cs="Arial" w:eastAsia="Arial" w:hAnsi="Arial"/>
          <w:sz w:val="17"/>
          <w:szCs w:val="17"/>
          <w:color w:val="auto"/>
        </w:rPr>
        <w:t>Employee costs increased by $3.2 million or 11.6%, to $30.8 million during the six months ended June 30, 2016, representing 17.0% of total operating expenses, from $27.6 million for the prior year, or 19.1% of total operating expenses. Since 2010, we have added employees in our Originations and Marketing departments in conjunction with the increase in contract purchases. More recently, we have also added Servicing staff to accommodate the increase in the number of accounts in our managed portfolio. The table below summarizes our employees by category as well as contract purchases and units in our managed portfolio as of, and for the six-month periods ended, June 30, 2016 and 2015:</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June 30, 2016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30, 2015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Amount</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360" w:type="dxa"/>
            <w:vAlign w:val="bottom"/>
            <w:gridSpan w:val="5"/>
          </w:tcPr>
          <w:p>
            <w:pPr>
              <w:jc w:val="right"/>
              <w:ind w:right="1150"/>
              <w:spacing w:after="0"/>
              <w:rPr>
                <w:sz w:val="20"/>
                <w:szCs w:val="20"/>
                <w:color w:val="auto"/>
              </w:rPr>
            </w:pPr>
            <w:r>
              <w:rPr>
                <w:rFonts w:ascii="Arial" w:cs="Arial" w:eastAsia="Arial" w:hAnsi="Arial"/>
                <w:sz w:val="18"/>
                <w:szCs w:val="18"/>
                <w:b w:val="1"/>
                <w:bCs w:val="1"/>
                <w:color w:val="auto"/>
              </w:rPr>
              <w:t>($ in millions)</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Contracts purchased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631.4</w:t>
            </w: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503.8</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Contracts purchased (units)</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38,538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31,027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Managed portfolio outstanding (dollars)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2,253.7</w:t>
            </w:r>
          </w:p>
        </w:tc>
        <w:tc>
          <w:tcPr>
            <w:tcW w:w="180" w:type="dxa"/>
            <w:vAlign w:val="bottom"/>
            <w:shd w:val="clear" w:color="auto" w:fill="EEEEEE"/>
          </w:tcPr>
          <w:p>
            <w:pPr>
              <w:spacing w:after="0"/>
              <w:rPr>
                <w:sz w:val="18"/>
                <w:szCs w:val="18"/>
                <w:color w:val="auto"/>
              </w:rPr>
            </w:pPr>
          </w:p>
        </w:tc>
        <w:tc>
          <w:tcPr>
            <w:tcW w:w="3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1,822.2</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Managed portfolio outstanding (units)</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164,403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135,954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Originations staff</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231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Marketing staff</w:t>
            </w:r>
          </w:p>
        </w:tc>
        <w:tc>
          <w:tcPr>
            <w:tcW w:w="1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135</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Number of Servicing staff</w:t>
            </w:r>
          </w:p>
        </w:tc>
        <w:tc>
          <w:tcPr>
            <w:tcW w:w="18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Number of other staff</w:t>
            </w:r>
          </w:p>
        </w:tc>
        <w:tc>
          <w:tcPr>
            <w:tcW w:w="180" w:type="dxa"/>
            <w:vAlign w:val="bottom"/>
            <w:shd w:val="clear" w:color="auto" w:fill="EEEEEE"/>
          </w:tcPr>
          <w:p>
            <w:pPr>
              <w:spacing w:after="0"/>
              <w:rPr>
                <w:sz w:val="19"/>
                <w:szCs w:val="19"/>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w:t>
            </w: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78</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number of employees</w:t>
            </w:r>
          </w:p>
        </w:tc>
        <w:tc>
          <w:tcPr>
            <w:tcW w:w="18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include costs associated with purchasing and servicing our portfolio of finance receivables, including expenses for facilities, credit services, and telecommunications. General and administrative expenses were $11.9 million, an increase of $2.0 million, or 19.7% compared to the previous year and represented 6.6% of total operating expenses.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Interest expense for the six months ended June 30, 2016 increased by $10.7 million to $37.5 million, or 20.7% of total operating expenses, compared to $26.9 million in the previous year.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on securitization trust debt increased by $9.1 million, or 40.3%, for the six months ended June 30, 2016 compared to the prior year. The average balance of securitization trust debt increased 22.7% to $1,993.0 million at June 30, 2016 compared to $1,624.2 million at June 30, 2015. In addition, the blended interest rates on new term securitizations have generally increased since December 2014. As a result, the cost of securitization debt during the six month period ended June 30, 2016 was 3.2%, compared to 2.8% in the prior year period. Moreover, the trend toward higher securitization trust debt interest costs has continued since June 30, 2015 as indicated by the table below:</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Blended Cost of Funds on Recent Asset-Backed Term Securitizations</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30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Period</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8"/>
              </w:rPr>
              <w:t>Blended Cost of Funds</w:t>
            </w:r>
          </w:p>
        </w:tc>
      </w:tr>
      <w:tr>
        <w:trPr>
          <w:trHeight w:val="210"/>
        </w:trPr>
        <w:tc>
          <w:tcPr>
            <w:tcW w:w="262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333333"/>
                <w:w w:val="87"/>
              </w:rPr>
              <w:t>June 2015</w:t>
            </w:r>
          </w:p>
        </w:tc>
        <w:tc>
          <w:tcPr>
            <w:tcW w:w="440" w:type="dxa"/>
            <w:vAlign w:val="bottom"/>
            <w:tcBorders>
              <w:top w:val="single" w:sz="8" w:color="EEEEEE"/>
            </w:tcBorders>
            <w:shd w:val="clear" w:color="auto" w:fill="EEEEEE"/>
          </w:tcPr>
          <w:p>
            <w:pPr>
              <w:spacing w:after="0"/>
              <w:rPr>
                <w:sz w:val="18"/>
                <w:szCs w:val="18"/>
                <w:color w:val="auto"/>
              </w:rPr>
            </w:pPr>
          </w:p>
        </w:tc>
        <w:tc>
          <w:tcPr>
            <w:tcW w:w="264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90"/>
              </w:rPr>
              <w:t>3.18%</w:t>
            </w:r>
          </w:p>
        </w:tc>
      </w:tr>
      <w:tr>
        <w:trPr>
          <w:trHeight w:val="216"/>
        </w:trPr>
        <w:tc>
          <w:tcPr>
            <w:tcW w:w="3060" w:type="dxa"/>
            <w:vAlign w:val="bottom"/>
            <w:gridSpan w:val="2"/>
          </w:tcPr>
          <w:p>
            <w:pPr>
              <w:jc w:val="center"/>
              <w:ind w:right="480"/>
              <w:spacing w:after="0"/>
              <w:rPr>
                <w:sz w:val="20"/>
                <w:szCs w:val="20"/>
                <w:color w:val="auto"/>
              </w:rPr>
            </w:pPr>
            <w:r>
              <w:rPr>
                <w:rFonts w:ascii="Arial" w:cs="Arial" w:eastAsia="Arial" w:hAnsi="Arial"/>
                <w:sz w:val="18"/>
                <w:szCs w:val="18"/>
                <w:color w:val="333333"/>
                <w:w w:val="88"/>
              </w:rPr>
              <w:t>September 2015</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3.78%</w:t>
            </w:r>
          </w:p>
        </w:tc>
      </w:tr>
      <w:tr>
        <w:trPr>
          <w:trHeight w:val="216"/>
        </w:trPr>
        <w:tc>
          <w:tcPr>
            <w:tcW w:w="3060" w:type="dxa"/>
            <w:vAlign w:val="bottom"/>
            <w:gridSpan w:val="2"/>
            <w:shd w:val="clear" w:color="auto" w:fill="EEEEEE"/>
          </w:tcPr>
          <w:p>
            <w:pPr>
              <w:jc w:val="center"/>
              <w:ind w:right="460"/>
              <w:spacing w:after="0"/>
              <w:rPr>
                <w:sz w:val="20"/>
                <w:szCs w:val="20"/>
                <w:color w:val="auto"/>
              </w:rPr>
            </w:pPr>
            <w:r>
              <w:rPr>
                <w:rFonts w:ascii="Arial" w:cs="Arial" w:eastAsia="Arial" w:hAnsi="Arial"/>
                <w:sz w:val="18"/>
                <w:szCs w:val="18"/>
                <w:color w:val="333333"/>
                <w:w w:val="87"/>
              </w:rPr>
              <w:t>January 2016</w:t>
            </w:r>
          </w:p>
        </w:tc>
        <w:tc>
          <w:tcPr>
            <w:tcW w:w="2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4.34%</w:t>
            </w:r>
          </w:p>
        </w:tc>
      </w:tr>
      <w:tr>
        <w:trPr>
          <w:trHeight w:val="216"/>
        </w:trPr>
        <w:tc>
          <w:tcPr>
            <w:tcW w:w="3060" w:type="dxa"/>
            <w:vAlign w:val="bottom"/>
            <w:gridSpan w:val="2"/>
          </w:tcPr>
          <w:p>
            <w:pPr>
              <w:jc w:val="center"/>
              <w:ind w:right="480"/>
              <w:spacing w:after="0"/>
              <w:rPr>
                <w:sz w:val="20"/>
                <w:szCs w:val="20"/>
                <w:color w:val="auto"/>
              </w:rPr>
            </w:pPr>
            <w:r>
              <w:rPr>
                <w:rFonts w:ascii="Arial" w:cs="Arial" w:eastAsia="Arial" w:hAnsi="Arial"/>
                <w:sz w:val="18"/>
                <w:szCs w:val="18"/>
                <w:color w:val="333333"/>
                <w:w w:val="96"/>
              </w:rPr>
              <w:t>April 2016</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4.65%</w:t>
            </w:r>
          </w:p>
        </w:tc>
      </w:tr>
      <w:tr>
        <w:trPr>
          <w:trHeight w:val="216"/>
        </w:trPr>
        <w:tc>
          <w:tcPr>
            <w:tcW w:w="3060" w:type="dxa"/>
            <w:vAlign w:val="bottom"/>
            <w:gridSpan w:val="2"/>
            <w:shd w:val="clear" w:color="auto" w:fill="EEEEEE"/>
          </w:tcPr>
          <w:p>
            <w:pPr>
              <w:jc w:val="center"/>
              <w:ind w:right="480"/>
              <w:spacing w:after="0"/>
              <w:rPr>
                <w:sz w:val="20"/>
                <w:szCs w:val="20"/>
                <w:color w:val="auto"/>
              </w:rPr>
            </w:pPr>
            <w:r>
              <w:rPr>
                <w:rFonts w:ascii="Arial" w:cs="Arial" w:eastAsia="Arial" w:hAnsi="Arial"/>
                <w:sz w:val="18"/>
                <w:szCs w:val="18"/>
                <w:color w:val="auto"/>
                <w:w w:val="90"/>
              </w:rPr>
              <w:t>July 2016</w:t>
            </w:r>
          </w:p>
        </w:tc>
        <w:tc>
          <w:tcPr>
            <w:tcW w:w="264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4.48%</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expense on subordinated renewable notes decreased by $82,000, or 10.1%. The decrease is due to a decrease in the average yield on our subordinated renewable notes to 9.5% for the six-month period ended June 30, 2016 compared to the prior year when the average yield on our subordinated renewable notes was 10.7%. The decrease in the yield offset an increase in the average balance to $15.4 million for the six-month period ended June 30, 2016 compared to $15.1 million in the prior year period.</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 on warehouse debt increased by $1.9 million for the six months ended June 30, 2016 compared to the prior year. We increased our contract purchases to $631.4 million for the six months ended June 30, 2016 compared to $503.8 million in the prior period. However, when possible, we hold contracts with our own cash rather than pledging them to one of our warehouse facilities to minimize interest expense.</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 w:name="page27"/>
    <w:bookmarkEnd w:id="26"/>
    <w:p>
      <w:pPr>
        <w:ind w:left="660"/>
        <w:spacing w:after="0"/>
        <w:rPr>
          <w:sz w:val="20"/>
          <w:szCs w:val="20"/>
          <w:color w:val="auto"/>
        </w:rPr>
      </w:pPr>
      <w:r>
        <w:rPr>
          <w:rFonts w:ascii="Arial" w:cs="Arial" w:eastAsia="Arial" w:hAnsi="Arial"/>
          <w:sz w:val="16"/>
          <w:szCs w:val="16"/>
          <w:color w:val="auto"/>
        </w:rPr>
        <w:t>The following table presents the components of interest income and interest expense and a net interest yield analysis for the six-month periods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2016 and 2015:</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6"/>
          </w:tcPr>
          <w:p>
            <w:pPr>
              <w:ind w:left="140"/>
              <w:spacing w:after="0"/>
              <w:rPr>
                <w:sz w:val="20"/>
                <w:szCs w:val="20"/>
                <w:color w:val="auto"/>
              </w:rPr>
            </w:pPr>
            <w:r>
              <w:rPr>
                <w:rFonts w:ascii="Arial" w:cs="Arial" w:eastAsia="Arial" w:hAnsi="Arial"/>
                <w:sz w:val="18"/>
                <w:szCs w:val="18"/>
                <w:b w:val="1"/>
                <w:bCs w:val="1"/>
                <w:color w:val="auto"/>
              </w:rPr>
              <w:t>Six Months Ended June 30,</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00" w:type="dxa"/>
            <w:vAlign w:val="bottom"/>
            <w:gridSpan w:val="6"/>
          </w:tcPr>
          <w:p>
            <w:pPr>
              <w:ind w:left="360"/>
              <w:spacing w:after="0" w:line="191" w:lineRule="exact"/>
              <w:rPr>
                <w:sz w:val="20"/>
                <w:szCs w:val="20"/>
                <w:color w:val="auto"/>
              </w:rPr>
            </w:pPr>
            <w:r>
              <w:rPr>
                <w:rFonts w:ascii="Arial" w:cs="Arial" w:eastAsia="Arial" w:hAnsi="Arial"/>
                <w:sz w:val="18"/>
                <w:szCs w:val="18"/>
                <w:b w:val="1"/>
                <w:bCs w:val="1"/>
                <w:color w:val="auto"/>
              </w:rPr>
              <w:t>(Dollars in thousands)</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ind w:left="140"/>
              <w:spacing w:after="0"/>
              <w:rPr>
                <w:sz w:val="20"/>
                <w:szCs w:val="20"/>
                <w:color w:val="auto"/>
              </w:rPr>
            </w:pPr>
            <w:r>
              <w:rPr>
                <w:rFonts w:ascii="Arial" w:cs="Arial" w:eastAsia="Arial" w:hAnsi="Arial"/>
                <w:sz w:val="18"/>
                <w:szCs w:val="18"/>
                <w:b w:val="1"/>
                <w:bCs w:val="1"/>
                <w:color w:val="auto"/>
              </w:rPr>
              <w:t>Annualized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Annualized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Average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3"/>
            <w:vMerge w:val="restart"/>
          </w:tcPr>
          <w:p>
            <w:pPr>
              <w:jc w:val="right"/>
              <w:ind w:right="840"/>
              <w:spacing w:after="0"/>
              <w:rPr>
                <w:sz w:val="20"/>
                <w:szCs w:val="20"/>
                <w:color w:val="auto"/>
              </w:rPr>
            </w:pPr>
            <w:r>
              <w:rPr>
                <w:rFonts w:ascii="Arial" w:cs="Arial" w:eastAsia="Arial" w:hAnsi="Arial"/>
                <w:sz w:val="18"/>
                <w:szCs w:val="18"/>
                <w:b w:val="1"/>
                <w:bCs w:val="1"/>
                <w:color w:val="auto"/>
                <w:w w:val="87"/>
              </w:rPr>
              <w:t>Interest Earning Assets</w:t>
            </w:r>
          </w:p>
        </w:tc>
        <w:tc>
          <w:tcPr>
            <w:tcW w:w="10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Balance (1)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Yield/Rate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Balance (1)</w:t>
            </w:r>
          </w:p>
        </w:tc>
        <w:tc>
          <w:tcPr>
            <w:tcW w:w="18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Interest</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Yield/Rate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20" w:type="dxa"/>
            <w:vAlign w:val="bottom"/>
            <w:gridSpan w:val="3"/>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 (2)</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2,119,581</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198,372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18.7%</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1,710,240</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167,259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5"/>
            <w:vMerge w:val="restart"/>
          </w:tcPr>
          <w:p>
            <w:pPr>
              <w:jc w:val="right"/>
              <w:ind w:right="700"/>
              <w:spacing w:after="0"/>
              <w:rPr>
                <w:sz w:val="20"/>
                <w:szCs w:val="20"/>
                <w:color w:val="auto"/>
              </w:rPr>
            </w:pPr>
            <w:r>
              <w:rPr>
                <w:rFonts w:ascii="Arial" w:cs="Arial" w:eastAsia="Arial" w:hAnsi="Arial"/>
                <w:sz w:val="18"/>
                <w:szCs w:val="18"/>
                <w:b w:val="1"/>
                <w:bCs w:val="1"/>
                <w:color w:val="auto"/>
              </w:rPr>
              <w:t>Interest Bearing Liabilities</w:t>
            </w:r>
          </w:p>
        </w:tc>
        <w:tc>
          <w:tcPr>
            <w:tcW w:w="100" w:type="dxa"/>
            <w:vAlign w:val="bottom"/>
          </w:tcPr>
          <w:p>
            <w:pPr>
              <w:spacing w:after="0"/>
              <w:rPr>
                <w:sz w:val="20"/>
                <w:szCs w:val="20"/>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FFFFFF"/>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FFFFFF"/>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 (3)</w:t>
            </w:r>
          </w:p>
        </w:tc>
        <w:tc>
          <w:tcPr>
            <w:tcW w:w="100" w:type="dxa"/>
            <w:vAlign w:val="bottom"/>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91,415</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4,666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10.6%</w:t>
            </w:r>
          </w:p>
        </w:tc>
        <w:tc>
          <w:tcPr>
            <w:tcW w:w="2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54,540</w:t>
            </w: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2,732</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8,188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11,816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1,993,009</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31,639</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1,624,184</w:t>
            </w:r>
          </w:p>
        </w:tc>
        <w:tc>
          <w:tcPr>
            <w:tcW w:w="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22,546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15,364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15,101</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Borders>
              <w:top w:val="single" w:sz="8" w:color="EEEEEE"/>
              <w:bottom w:val="single" w:sz="8" w:color="EEEEEE"/>
            </w:tcBorders>
            <w:shd w:val="clear" w:color="auto" w:fill="EEEEEE"/>
          </w:tcPr>
          <w:p>
            <w:pPr>
              <w:spacing w:after="0"/>
              <w:rPr>
                <w:sz w:val="18"/>
                <w:szCs w:val="18"/>
                <w:color w:val="auto"/>
              </w:rPr>
            </w:pPr>
          </w:p>
        </w:tc>
        <w:tc>
          <w:tcPr>
            <w:tcW w:w="140" w:type="dxa"/>
            <w:vAlign w:val="bottom"/>
            <w:tcBorders>
              <w:top w:val="single" w:sz="8" w:color="EEEEEE"/>
              <w:bottom w:val="single" w:sz="8" w:color="EEEEEE"/>
            </w:tcBorders>
            <w:shd w:val="clear" w:color="auto" w:fill="EEEEEE"/>
          </w:tcPr>
          <w:p>
            <w:pPr>
              <w:spacing w:after="0"/>
              <w:rPr>
                <w:sz w:val="18"/>
                <w:szCs w:val="18"/>
                <w:color w:val="auto"/>
              </w:rPr>
            </w:pPr>
          </w:p>
        </w:tc>
        <w:tc>
          <w:tcPr>
            <w:tcW w:w="1780" w:type="dxa"/>
            <w:vAlign w:val="bottom"/>
            <w:tcBorders>
              <w:top w:val="single" w:sz="8" w:color="EEEEEE"/>
              <w:bottom w:val="single" w:sz="8" w:color="EEEEEE"/>
            </w:tcBorders>
            <w:shd w:val="clear" w:color="auto" w:fill="EEEEEE"/>
          </w:tcPr>
          <w:p>
            <w:pPr>
              <w:spacing w:after="0"/>
              <w:rPr>
                <w:sz w:val="18"/>
                <w:szCs w:val="18"/>
                <w:color w:val="auto"/>
              </w:rPr>
            </w:pPr>
          </w:p>
        </w:tc>
        <w:tc>
          <w:tcPr>
            <w:tcW w:w="140" w:type="dxa"/>
            <w:vAlign w:val="bottom"/>
            <w:tcBorders>
              <w:top w:val="single" w:sz="8" w:color="EEEEEE"/>
              <w:bottom w:val="single" w:sz="8" w:color="EEEEEE"/>
            </w:tcBorders>
            <w:shd w:val="clear" w:color="auto" w:fill="EEEEEE"/>
          </w:tcPr>
          <w:p>
            <w:pPr>
              <w:spacing w:after="0"/>
              <w:rPr>
                <w:sz w:val="18"/>
                <w:szCs w:val="18"/>
                <w:color w:val="auto"/>
              </w:rPr>
            </w:pPr>
          </w:p>
        </w:tc>
        <w:tc>
          <w:tcPr>
            <w:tcW w:w="70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2,107,976</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37,548</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24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EEEEEE"/>
              <w:bottom w:val="single" w:sz="8" w:color="EEEEEE"/>
            </w:tcBorders>
            <w:shd w:val="clear" w:color="auto" w:fill="EEEEEE"/>
          </w:tcPr>
          <w:p>
            <w:pPr>
              <w:spacing w:after="0"/>
              <w:rPr>
                <w:sz w:val="18"/>
                <w:szCs w:val="18"/>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1,705,641</w:t>
            </w:r>
          </w:p>
        </w:tc>
        <w:tc>
          <w:tcPr>
            <w:tcW w:w="200" w:type="dxa"/>
            <w:vAlign w:val="bottom"/>
            <w:tcBorders>
              <w:top w:val="single" w:sz="8" w:color="EEEEEE"/>
              <w:bottom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EEEEEE"/>
            </w:tcBorders>
            <w:shd w:val="clear" w:color="auto" w:fill="EEEEEE"/>
          </w:tcPr>
          <w:p>
            <w:pPr>
              <w:spacing w:after="0"/>
              <w:rPr>
                <w:sz w:val="18"/>
                <w:szCs w:val="18"/>
                <w:color w:val="auto"/>
              </w:rPr>
            </w:pPr>
          </w:p>
        </w:tc>
        <w:tc>
          <w:tcPr>
            <w:tcW w:w="960" w:type="dxa"/>
            <w:vAlign w:val="bottom"/>
            <w:tcBorders>
              <w:top w:val="single" w:sz="8" w:color="auto"/>
              <w:bottom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26,860</w:t>
            </w:r>
          </w:p>
        </w:tc>
        <w:tc>
          <w:tcPr>
            <w:tcW w:w="220" w:type="dxa"/>
            <w:vAlign w:val="bottom"/>
            <w:tcBorders>
              <w:top w:val="single" w:sz="8" w:color="EEEEEE"/>
              <w:bottom w:val="single" w:sz="8" w:color="EEEEEE"/>
            </w:tcBorders>
            <w:shd w:val="clear" w:color="auto" w:fill="EEEEEE"/>
          </w:tcPr>
          <w:p>
            <w:pPr>
              <w:spacing w:after="0"/>
              <w:rPr>
                <w:sz w:val="18"/>
                <w:szCs w:val="18"/>
                <w:color w:val="auto"/>
              </w:rPr>
            </w:pPr>
          </w:p>
        </w:tc>
        <w:tc>
          <w:tcPr>
            <w:tcW w:w="1240" w:type="dxa"/>
            <w:vAlign w:val="bottom"/>
            <w:tcBorders>
              <w:top w:val="single" w:sz="8" w:color="EEEEEE"/>
              <w:bottom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FFFFFF"/>
              </w:rPr>
              <w:t>$</w:t>
            </w: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78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7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1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1240" w:type="dxa"/>
            <w:vAlign w:val="bottom"/>
            <w:tcBorders>
              <w:bottom w:val="single" w:sz="8" w:color="EEEEEE"/>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bottom w:val="single" w:sz="8" w:color="EEEEEE"/>
            </w:tcBorders>
            <w:gridSpan w:val="5"/>
            <w:shd w:val="clear" w:color="auto" w:fill="EEEEEE"/>
          </w:tcPr>
          <w:p>
            <w:pPr>
              <w:spacing w:after="0"/>
              <w:rPr>
                <w:sz w:val="20"/>
                <w:szCs w:val="20"/>
                <w:color w:val="auto"/>
              </w:rPr>
            </w:pPr>
            <w:r>
              <w:rPr>
                <w:rFonts w:ascii="Arial" w:cs="Arial" w:eastAsia="Arial" w:hAnsi="Arial"/>
                <w:sz w:val="18"/>
                <w:szCs w:val="18"/>
                <w:color w:val="auto"/>
              </w:rPr>
              <w:t>Net interest income/spread</w:t>
            </w:r>
          </w:p>
        </w:tc>
        <w:tc>
          <w:tcPr>
            <w:tcW w:w="100" w:type="dxa"/>
            <w:vAlign w:val="bottom"/>
            <w:tcBorders>
              <w:bottom w:val="single" w:sz="8" w:color="EEEEEE"/>
            </w:tcBorders>
            <w:shd w:val="clear" w:color="auto" w:fill="EEEEEE"/>
          </w:tcPr>
          <w:p>
            <w:pPr>
              <w:spacing w:after="0"/>
              <w:rPr>
                <w:sz w:val="19"/>
                <w:szCs w:val="19"/>
                <w:color w:val="auto"/>
              </w:rPr>
            </w:pPr>
          </w:p>
        </w:tc>
        <w:tc>
          <w:tcPr>
            <w:tcW w:w="106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160,824</w:t>
            </w:r>
          </w:p>
        </w:tc>
        <w:tc>
          <w:tcPr>
            <w:tcW w:w="2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2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1040" w:type="dxa"/>
            <w:vAlign w:val="bottom"/>
            <w:tcBorders>
              <w:bottom w:val="single" w:sz="8" w:color="EEEEEE"/>
            </w:tcBorders>
            <w:shd w:val="clear" w:color="auto" w:fill="EEEEEE"/>
          </w:tcPr>
          <w:p>
            <w:pPr>
              <w:spacing w:after="0"/>
              <w:rPr>
                <w:sz w:val="19"/>
                <w:szCs w:val="19"/>
                <w:color w:val="auto"/>
              </w:rPr>
            </w:pPr>
          </w:p>
        </w:tc>
        <w:tc>
          <w:tcPr>
            <w:tcW w:w="200" w:type="dxa"/>
            <w:vAlign w:val="bottom"/>
            <w:tcBorders>
              <w:bottom w:val="single" w:sz="8" w:color="EEEEEE"/>
            </w:tcBorders>
            <w:shd w:val="clear" w:color="auto" w:fill="EEEEEE"/>
          </w:tcPr>
          <w:p>
            <w:pPr>
              <w:spacing w:after="0"/>
              <w:rPr>
                <w:sz w:val="19"/>
                <w:szCs w:val="19"/>
                <w:color w:val="auto"/>
              </w:rPr>
            </w:pPr>
          </w:p>
        </w:tc>
        <w:tc>
          <w:tcPr>
            <w:tcW w:w="1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140,399</w:t>
            </w:r>
          </w:p>
        </w:tc>
        <w:tc>
          <w:tcPr>
            <w:tcW w:w="220" w:type="dxa"/>
            <w:vAlign w:val="bottom"/>
            <w:tcBorders>
              <w:bottom w:val="single" w:sz="8" w:color="EEEEEE"/>
            </w:tcBorders>
            <w:shd w:val="clear" w:color="auto" w:fill="EEEEEE"/>
          </w:tcPr>
          <w:p>
            <w:pPr>
              <w:spacing w:after="0"/>
              <w:rPr>
                <w:sz w:val="19"/>
                <w:szCs w:val="19"/>
                <w:color w:val="auto"/>
              </w:rPr>
            </w:pPr>
          </w:p>
        </w:tc>
        <w:tc>
          <w:tcPr>
            <w:tcW w:w="1140" w:type="dxa"/>
            <w:vAlign w:val="bottom"/>
            <w:tcBorders>
              <w:bottom w:val="single" w:sz="8" w:color="EEEEEE"/>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gridSpan w:val="6"/>
            <w:vMerge w:val="restart"/>
          </w:tcPr>
          <w:p>
            <w:pPr>
              <w:spacing w:after="0"/>
              <w:rPr>
                <w:sz w:val="20"/>
                <w:szCs w:val="20"/>
                <w:color w:val="auto"/>
              </w:rPr>
            </w:pPr>
            <w:r>
              <w:rPr>
                <w:rFonts w:ascii="Arial" w:cs="Arial" w:eastAsia="Arial" w:hAnsi="Arial"/>
                <w:sz w:val="18"/>
                <w:szCs w:val="18"/>
                <w:color w:val="auto"/>
              </w:rPr>
              <w:t>Net interest yield (4)</w:t>
            </w:r>
          </w:p>
        </w:tc>
        <w:tc>
          <w:tcPr>
            <w:tcW w:w="100" w:type="dxa"/>
            <w:vAlign w:val="bottom"/>
          </w:tcPr>
          <w:p>
            <w:pPr>
              <w:spacing w:after="0" w:line="20" w:lineRule="exact"/>
              <w:rPr>
                <w:sz w:val="1"/>
                <w:szCs w:val="1"/>
                <w:color w:val="auto"/>
              </w:rPr>
            </w:pPr>
          </w:p>
        </w:tc>
        <w:tc>
          <w:tcPr>
            <w:tcW w:w="11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FFFFFF"/>
              </w:rPr>
              <w:t>$</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line="20" w:lineRule="exact"/>
              <w:rPr>
                <w:sz w:val="1"/>
                <w:szCs w:val="1"/>
                <w:color w:val="auto"/>
              </w:rPr>
            </w:pPr>
          </w:p>
        </w:tc>
      </w:tr>
      <w:tr>
        <w:trPr>
          <w:trHeight w:val="197"/>
        </w:trPr>
        <w:tc>
          <w:tcPr>
            <w:tcW w:w="3340" w:type="dxa"/>
            <w:vAlign w:val="bottom"/>
            <w:gridSpan w:val="6"/>
            <w:vMerge w:val="continue"/>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5"/>
            <w:shd w:val="clear" w:color="auto" w:fill="EEEEEE"/>
          </w:tcPr>
          <w:p>
            <w:pPr>
              <w:spacing w:after="0" w:line="201" w:lineRule="exact"/>
              <w:rPr>
                <w:sz w:val="20"/>
                <w:szCs w:val="20"/>
                <w:color w:val="auto"/>
              </w:rPr>
            </w:pPr>
            <w:r>
              <w:rPr>
                <w:rFonts w:ascii="Arial" w:cs="Arial" w:eastAsia="Arial" w:hAnsi="Arial"/>
                <w:sz w:val="18"/>
                <w:szCs w:val="18"/>
                <w:color w:val="auto"/>
                <w:w w:val="97"/>
              </w:rPr>
              <w:t>Ratio of average interest earning assets to</w:t>
            </w:r>
          </w:p>
        </w:tc>
        <w:tc>
          <w:tcPr>
            <w:tcW w:w="10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5"/>
            <w:shd w:val="clear" w:color="auto" w:fill="EEEEEE"/>
          </w:tcPr>
          <w:p>
            <w:pPr>
              <w:jc w:val="right"/>
              <w:ind w:right="700"/>
              <w:spacing w:after="0"/>
              <w:rPr>
                <w:sz w:val="20"/>
                <w:szCs w:val="20"/>
                <w:color w:val="auto"/>
              </w:rPr>
            </w:pPr>
            <w:r>
              <w:rPr>
                <w:rFonts w:ascii="Arial" w:cs="Arial" w:eastAsia="Arial" w:hAnsi="Arial"/>
                <w:sz w:val="18"/>
                <w:szCs w:val="18"/>
                <w:color w:val="auto"/>
                <w:w w:val="97"/>
              </w:rPr>
              <w:t>average interest bearing liabilities</w:t>
            </w:r>
          </w:p>
        </w:tc>
        <w:tc>
          <w:tcPr>
            <w:tcW w:w="100" w:type="dxa"/>
            <w:vAlign w:val="bottom"/>
            <w:shd w:val="clear" w:color="auto" w:fill="EEEEEE"/>
          </w:tcPr>
          <w:p>
            <w:pPr>
              <w:spacing w:after="0"/>
              <w:rPr>
                <w:sz w:val="20"/>
                <w:szCs w:val="20"/>
                <w:color w:val="auto"/>
              </w:rPr>
            </w:pPr>
          </w:p>
        </w:tc>
        <w:tc>
          <w:tcPr>
            <w:tcW w:w="11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1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660" w:hanging="25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balances are based on month end balances except for warehouse lines of credit, which are based on daily balances.</w:t>
      </w:r>
    </w:p>
    <w:p>
      <w:pPr>
        <w:spacing w:after="0" w:line="23" w:lineRule="exact"/>
        <w:rPr>
          <w:rFonts w:ascii="Arial" w:cs="Arial" w:eastAsia="Arial" w:hAnsi="Arial"/>
          <w:sz w:val="18"/>
          <w:szCs w:val="18"/>
          <w:color w:val="auto"/>
        </w:rPr>
      </w:pPr>
    </w:p>
    <w:p>
      <w:pPr>
        <w:ind w:left="660" w:hanging="25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of deferred fees and direct costs.</w:t>
      </w:r>
    </w:p>
    <w:p>
      <w:pPr>
        <w:spacing w:after="0" w:line="9" w:lineRule="exact"/>
        <w:rPr>
          <w:rFonts w:ascii="Arial" w:cs="Arial" w:eastAsia="Arial" w:hAnsi="Arial"/>
          <w:sz w:val="18"/>
          <w:szCs w:val="18"/>
          <w:color w:val="auto"/>
        </w:rPr>
      </w:pPr>
    </w:p>
    <w:p>
      <w:pPr>
        <w:ind w:left="660" w:hanging="25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Interest expense includes deferred financing costs and non-utilization fees.</w:t>
      </w:r>
    </w:p>
    <w:p>
      <w:pPr>
        <w:spacing w:after="0" w:line="9" w:lineRule="exact"/>
        <w:rPr>
          <w:rFonts w:ascii="Arial" w:cs="Arial" w:eastAsia="Arial" w:hAnsi="Arial"/>
          <w:sz w:val="18"/>
          <w:szCs w:val="18"/>
          <w:color w:val="auto"/>
        </w:rPr>
      </w:pPr>
    </w:p>
    <w:p>
      <w:pPr>
        <w:ind w:left="660" w:hanging="25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Annualized net interest income divided by average interest earning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0" w:type="dxa"/>
            <w:vAlign w:val="bottom"/>
            <w:gridSpan w:val="7"/>
          </w:tcPr>
          <w:p>
            <w:pPr>
              <w:jc w:val="center"/>
              <w:ind w:left="990"/>
              <w:spacing w:after="0"/>
              <w:rPr>
                <w:sz w:val="20"/>
                <w:szCs w:val="20"/>
                <w:color w:val="auto"/>
              </w:rPr>
            </w:pPr>
            <w:r>
              <w:rPr>
                <w:rFonts w:ascii="Arial" w:cs="Arial" w:eastAsia="Arial" w:hAnsi="Arial"/>
                <w:sz w:val="18"/>
                <w:szCs w:val="18"/>
                <w:b w:val="1"/>
                <w:bCs w:val="1"/>
                <w:color w:val="auto"/>
                <w:w w:val="90"/>
              </w:rPr>
              <w:t>Six Months Ended June 30, 2016</w:t>
            </w:r>
          </w:p>
        </w:tc>
        <w:tc>
          <w:tcPr>
            <w:tcW w:w="1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700" w:type="dxa"/>
            <w:vAlign w:val="bottom"/>
            <w:gridSpan w:val="4"/>
            <w:vMerge w:val="restart"/>
          </w:tcPr>
          <w:p>
            <w:pPr>
              <w:jc w:val="center"/>
              <w:ind w:left="1830"/>
              <w:spacing w:after="0"/>
              <w:rPr>
                <w:sz w:val="20"/>
                <w:szCs w:val="20"/>
                <w:color w:val="auto"/>
              </w:rPr>
            </w:pPr>
            <w:r>
              <w:rPr>
                <w:rFonts w:ascii="Arial" w:cs="Arial" w:eastAsia="Arial" w:hAnsi="Arial"/>
                <w:sz w:val="18"/>
                <w:szCs w:val="18"/>
                <w:b w:val="1"/>
                <w:bCs w:val="1"/>
                <w:color w:val="FFFFFF"/>
                <w:w w:val="99"/>
              </w:rPr>
              <w: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 Compared to June 30, 2015</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700" w:type="dxa"/>
            <w:vAlign w:val="bottom"/>
            <w:gridSpan w:val="4"/>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2"/>
          </w:tcPr>
          <w:p>
            <w:pPr>
              <w:jc w:val="right"/>
              <w:ind w:right="870"/>
              <w:spacing w:after="0" w:line="191" w:lineRule="exact"/>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6"/>
                <w:szCs w:val="16"/>
                <w:color w:val="auto"/>
              </w:rPr>
            </w:pPr>
          </w:p>
        </w:tc>
        <w:tc>
          <w:tcPr>
            <w:tcW w:w="1780" w:type="dxa"/>
            <w:vAlign w:val="bottom"/>
            <w:gridSpan w:val="2"/>
          </w:tcPr>
          <w:p>
            <w:pPr>
              <w:jc w:val="right"/>
              <w:ind w:right="660"/>
              <w:spacing w:after="0" w:line="191" w:lineRule="exact"/>
              <w:rPr>
                <w:sz w:val="20"/>
                <w:szCs w:val="20"/>
                <w:color w:val="auto"/>
              </w:rPr>
            </w:pPr>
            <w:r>
              <w:rPr>
                <w:rFonts w:ascii="Arial" w:cs="Arial" w:eastAsia="Arial" w:hAnsi="Arial"/>
                <w:sz w:val="18"/>
                <w:szCs w:val="18"/>
                <w:b w:val="1"/>
                <w:bCs w:val="1"/>
                <w:color w:val="auto"/>
              </w:rPr>
              <w:t>Change Due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jc w:val="right"/>
              <w:ind w:right="230"/>
              <w:spacing w:after="0" w:line="191" w:lineRule="exact"/>
              <w:rPr>
                <w:sz w:val="20"/>
                <w:szCs w:val="20"/>
                <w:color w:val="auto"/>
              </w:rPr>
            </w:pPr>
            <w:r>
              <w:rPr>
                <w:rFonts w:ascii="Arial" w:cs="Arial" w:eastAsia="Arial" w:hAnsi="Arial"/>
                <w:sz w:val="18"/>
                <w:szCs w:val="18"/>
                <w:b w:val="1"/>
                <w:bCs w:val="1"/>
                <w:color w:val="auto"/>
                <w:w w:val="98"/>
              </w:rPr>
              <w:t>Change Due</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700" w:type="dxa"/>
            <w:vAlign w:val="bottom"/>
            <w:gridSpan w:val="4"/>
          </w:tcPr>
          <w:p>
            <w:pPr>
              <w:jc w:val="center"/>
              <w:ind w:left="1830"/>
              <w:spacing w:after="0"/>
              <w:rPr>
                <w:sz w:val="20"/>
                <w:szCs w:val="20"/>
                <w:color w:val="auto"/>
              </w:rPr>
            </w:pPr>
            <w:r>
              <w:rPr>
                <w:rFonts w:ascii="Arial" w:cs="Arial" w:eastAsia="Arial" w:hAnsi="Arial"/>
                <w:sz w:val="18"/>
                <w:szCs w:val="18"/>
                <w:b w:val="1"/>
                <w:bCs w:val="1"/>
                <w:color w:val="FFFFFF"/>
                <w:w w:val="99"/>
              </w:rPr>
              <w:t>$</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gridSpan w:val="2"/>
          </w:tcPr>
          <w:p>
            <w:pPr>
              <w:jc w:val="right"/>
              <w:ind w:right="770"/>
              <w:spacing w:after="0"/>
              <w:rPr>
                <w:sz w:val="20"/>
                <w:szCs w:val="20"/>
                <w:color w:val="auto"/>
              </w:rPr>
            </w:pPr>
            <w:r>
              <w:rPr>
                <w:rFonts w:ascii="Arial" w:cs="Arial" w:eastAsia="Arial" w:hAnsi="Arial"/>
                <w:sz w:val="18"/>
                <w:szCs w:val="18"/>
                <w:b w:val="1"/>
                <w:bCs w:val="1"/>
                <w:color w:val="auto"/>
              </w:rPr>
              <w:t>Change</w:t>
            </w:r>
          </w:p>
        </w:tc>
        <w:tc>
          <w:tcPr>
            <w:tcW w:w="160" w:type="dxa"/>
            <w:vAlign w:val="bottom"/>
          </w:tcPr>
          <w:p>
            <w:pPr>
              <w:spacing w:after="0"/>
              <w:rPr>
                <w:sz w:val="21"/>
                <w:szCs w:val="21"/>
                <w:color w:val="auto"/>
              </w:rPr>
            </w:pPr>
          </w:p>
        </w:tc>
        <w:tc>
          <w:tcPr>
            <w:tcW w:w="17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to Volume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to Rate</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60" w:type="dxa"/>
            <w:vAlign w:val="bottom"/>
            <w:gridSpan w:val="4"/>
            <w:vMerge w:val="restart"/>
          </w:tcPr>
          <w:p>
            <w:pPr>
              <w:jc w:val="center"/>
              <w:ind w:right="1000"/>
              <w:spacing w:after="0"/>
              <w:rPr>
                <w:sz w:val="20"/>
                <w:szCs w:val="20"/>
                <w:color w:val="auto"/>
              </w:rPr>
            </w:pPr>
            <w:r>
              <w:rPr>
                <w:rFonts w:ascii="Arial" w:cs="Arial" w:eastAsia="Arial" w:hAnsi="Arial"/>
                <w:sz w:val="18"/>
                <w:szCs w:val="18"/>
                <w:b w:val="1"/>
                <w:bCs w:val="1"/>
                <w:color w:val="auto"/>
                <w:w w:val="88"/>
              </w:rPr>
              <w:t>Interest Earning Assets</w:t>
            </w:r>
          </w:p>
        </w:tc>
        <w:tc>
          <w:tcPr>
            <w:tcW w:w="10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2"/>
            <w:vMerge w:val="restart"/>
          </w:tcPr>
          <w:p>
            <w:pPr>
              <w:jc w:val="right"/>
              <w:ind w:right="270"/>
              <w:spacing w:after="0"/>
              <w:rPr>
                <w:sz w:val="20"/>
                <w:szCs w:val="20"/>
                <w:color w:val="auto"/>
              </w:rPr>
            </w:pPr>
            <w:r>
              <w:rPr>
                <w:rFonts w:ascii="Arial" w:cs="Arial" w:eastAsia="Arial" w:hAnsi="Arial"/>
                <w:sz w:val="18"/>
                <w:szCs w:val="18"/>
                <w:color w:val="FFFFFF"/>
              </w:rPr>
              <w:t>$</w:t>
            </w:r>
          </w:p>
        </w:tc>
        <w:tc>
          <w:tcPr>
            <w:tcW w:w="16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8"/>
                <w:szCs w:val="18"/>
                <w:b w:val="1"/>
                <w:bCs w:val="1"/>
                <w:color w:val="auto"/>
                <w:w w:val="90"/>
              </w:rPr>
              <w:t>(In thousands)</w:t>
            </w:r>
          </w:p>
        </w:tc>
        <w:tc>
          <w:tcPr>
            <w:tcW w:w="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60" w:type="dxa"/>
            <w:vAlign w:val="bottom"/>
            <w:gridSpan w:val="4"/>
            <w:vMerge w:val="continue"/>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Finance receivables gross</w:t>
            </w:r>
          </w:p>
        </w:tc>
        <w:tc>
          <w:tcPr>
            <w:tcW w:w="1300" w:type="dxa"/>
            <w:vAlign w:val="bottom"/>
            <w:gridSpan w:val="2"/>
            <w:shd w:val="clear" w:color="auto" w:fill="EEEEEE"/>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31,113</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47,687</w:t>
            </w:r>
          </w:p>
        </w:tc>
        <w:tc>
          <w:tcPr>
            <w:tcW w:w="200" w:type="dxa"/>
            <w:vAlign w:val="bottom"/>
            <w:gridSpan w:val="2"/>
            <w:shd w:val="clear" w:color="auto" w:fill="EEEEEE"/>
          </w:tcPr>
          <w:p>
            <w:pPr>
              <w:jc w:val="right"/>
              <w:ind w:right="70"/>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(16,574)</w:t>
            </w: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820" w:type="dxa"/>
            <w:vAlign w:val="bottom"/>
            <w:gridSpan w:val="5"/>
          </w:tcPr>
          <w:p>
            <w:pPr>
              <w:jc w:val="center"/>
              <w:ind w:left="670"/>
              <w:spacing w:after="0"/>
              <w:rPr>
                <w:sz w:val="20"/>
                <w:szCs w:val="20"/>
                <w:color w:val="auto"/>
              </w:rPr>
            </w:pPr>
            <w:r>
              <w:rPr>
                <w:rFonts w:ascii="Arial" w:cs="Arial" w:eastAsia="Arial" w:hAnsi="Arial"/>
                <w:sz w:val="18"/>
                <w:szCs w:val="18"/>
                <w:b w:val="1"/>
                <w:bCs w:val="1"/>
                <w:color w:val="auto"/>
                <w:w w:val="91"/>
              </w:rPr>
              <w:t>Interest Bearing Liabilities</w:t>
            </w: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2"/>
          </w:tcPr>
          <w:p>
            <w:pPr>
              <w:jc w:val="right"/>
              <w:ind w:right="270"/>
              <w:spacing w:after="0"/>
              <w:rPr>
                <w:sz w:val="20"/>
                <w:szCs w:val="20"/>
                <w:color w:val="auto"/>
              </w:rPr>
            </w:pPr>
            <w:r>
              <w:rPr>
                <w:rFonts w:ascii="Arial" w:cs="Arial" w:eastAsia="Arial" w:hAnsi="Arial"/>
                <w:sz w:val="18"/>
                <w:szCs w:val="18"/>
                <w:color w:val="FFFFFF"/>
              </w:rPr>
              <w:t>$</w:t>
            </w: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Warehouse lines of credit</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1,934</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1,760</w:t>
            </w: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174</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Residual interest financing</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gridSpan w:val="2"/>
          </w:tcPr>
          <w:p>
            <w:pPr>
              <w:jc w:val="right"/>
              <w:ind w:right="21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1780" w:type="dxa"/>
            <w:vAlign w:val="bottom"/>
            <w:gridSpan w:val="2"/>
          </w:tcPr>
          <w:p>
            <w:pPr>
              <w:jc w:val="right"/>
              <w:ind w:right="28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5"/>
            <w:shd w:val="clear" w:color="auto" w:fill="EEEEEE"/>
          </w:tcPr>
          <w:p>
            <w:pPr>
              <w:spacing w:after="0"/>
              <w:rPr>
                <w:sz w:val="20"/>
                <w:szCs w:val="20"/>
                <w:color w:val="auto"/>
              </w:rPr>
            </w:pPr>
            <w:r>
              <w:rPr>
                <w:rFonts w:ascii="Arial" w:cs="Arial" w:eastAsia="Arial" w:hAnsi="Arial"/>
                <w:sz w:val="18"/>
                <w:szCs w:val="18"/>
                <w:color w:val="auto"/>
              </w:rPr>
              <w:t>Securitization trust debt</w:t>
            </w:r>
          </w:p>
        </w:tc>
        <w:tc>
          <w:tcPr>
            <w:tcW w:w="10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9,093</w:t>
            </w:r>
          </w:p>
        </w:tc>
        <w:tc>
          <w:tcPr>
            <w:tcW w:w="3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1,147</w:t>
            </w:r>
          </w:p>
        </w:tc>
        <w:tc>
          <w:tcPr>
            <w:tcW w:w="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7,946</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Subordinated renewable notes</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gridSpan w:val="2"/>
          </w:tcPr>
          <w:p>
            <w:pPr>
              <w:jc w:val="right"/>
              <w:ind w:right="210"/>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9"/>
                <w:szCs w:val="19"/>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7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100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10,688</w:t>
            </w:r>
          </w:p>
        </w:tc>
        <w:tc>
          <w:tcPr>
            <w:tcW w:w="3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2,799</w:t>
            </w:r>
          </w:p>
        </w:tc>
        <w:tc>
          <w:tcPr>
            <w:tcW w:w="34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7,889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gridSpan w:val="5"/>
          </w:tcPr>
          <w:p>
            <w:pPr>
              <w:spacing w:after="0"/>
              <w:rPr>
                <w:sz w:val="20"/>
                <w:szCs w:val="20"/>
                <w:color w:val="auto"/>
              </w:rPr>
            </w:pPr>
            <w:r>
              <w:rPr>
                <w:rFonts w:ascii="Arial" w:cs="Arial" w:eastAsia="Arial" w:hAnsi="Arial"/>
                <w:sz w:val="18"/>
                <w:szCs w:val="18"/>
                <w:color w:val="auto"/>
              </w:rPr>
              <w:t>Net interest income/spread</w:t>
            </w:r>
          </w:p>
        </w:tc>
        <w:tc>
          <w:tcPr>
            <w:tcW w:w="10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20,425</w:t>
            </w:r>
          </w:p>
        </w:tc>
        <w:tc>
          <w:tcPr>
            <w:tcW w:w="3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44,888</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(24,463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reduction in the annualized yield on our finance receivables for the six months ended June 30, 2016 compared to the prior year period is the result of our decision to offer dealers slightly lower acquisition fees and also to require slightly lower contract interest rates on a portion of the contracts we purchase.</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Provision for credit losses was $88.6 million for the six months ended June 30, 2016, an increase of $19.5 million, or 28.2% compared to the prior year and represented 49.0% of total operating expenses. The provision for credit losses maintains the allowance for finance credit losses at levels that we feel are adequate for probable incurred credit losses that can be reasonably estimated. Our approach for establishing the allowance requires greater amounts of provision for credit losses early in the terms of our finance receivables. In addition, we monitor the delinquency and net charge off rates in our portfolio to consider how such rates may affect the allowance for finance credit losses. Consequently, the increase in provision expense is the result of the increase in contract purchases, the larger portfolio owned by our consolidated subsidiaries, and somewhat higher delinquency and charge off rates compared to the prior year.</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7" w:name="page28"/>
    <w:bookmarkEnd w:id="27"/>
    <w:p>
      <w:pPr>
        <w:jc w:val="both"/>
        <w:ind w:firstLine="648"/>
        <w:spacing w:after="0" w:line="255" w:lineRule="auto"/>
        <w:rPr>
          <w:sz w:val="20"/>
          <w:szCs w:val="20"/>
          <w:color w:val="auto"/>
        </w:rPr>
      </w:pPr>
      <w:r>
        <w:rPr>
          <w:rFonts w:ascii="Arial" w:cs="Arial" w:eastAsia="Arial" w:hAnsi="Arial"/>
          <w:sz w:val="18"/>
          <w:szCs w:val="18"/>
          <w:color w:val="auto"/>
        </w:rPr>
        <w:t>Marketing expenses consist primarily of commission-based compensation paid to our employee marketing representatives. Our marketing representatives earn a salary plus commissions based on volume of contract purchases and sales of ancillary products and services that we offer our dealers, such as training programs, internet lead sales, and direct mail products. Marketing expenses increased by $762,000, or 8.8%, to $9.4 million during the six months ended June 30, 2016, compared to $8.6 million in the prior year period, and represented 5.2% of total operating expenses. For the six months ended June 30, 2016, we purchased 38,538 contracts representing $631.4 million in receivables compared to 31,027 contracts representing $503.8 million in receivables in the prior year.</w:t>
      </w:r>
    </w:p>
    <w:p>
      <w:pPr>
        <w:spacing w:after="0" w:line="19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Occupancy expenses increased by $486,000 or 24.6%, to $2.4 million compared to $1.9 million in the previous year and represented 1.3% of total operating expenses. In July 2015, we entered into a lease for additional office space in Irvine, California. We then occupied that space, and incurred incremental occupancy expense, in phases. The first phase was in July 2015 and the second and final phase was in April 2016.</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expenses increased by $66,000 or 21.9%, to $367,000 compared to $301,000 in the previous year and represented 0.2% of total operating expenses.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six months ended June 30, 2016, we recorded income tax expense of $10.1 million, representing a 41.0% effective income tax rate. In the prior year period, we recorded $13.1 million in income tax expense, representing a 43.7% effective income tax rate.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Credit Experience</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financial results are dependent on the performance of the automobile contracts in which we retain an ownership interest. Broad economic factors such as recession and significant changes in unemployment levels influence the credit performance of our portfolio, as does the weighted average age of the receivables at any given time. In addition, in June 2014 we entered into a consent decree with the FTC that required us to make certain procedural changes in our servicing practices, which we believe have contributed to somewhat higher delinquencies and extensions compared to prior periods. The tables below document the delinquency, repossession and net credit loss experience of all such automobile contracts that we originated or own an interest in as of the respective dates shown. The tables do not include the experience of third party originated and owned portfolios.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Delinquency, Repossession and Extension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 2016</w:t>
            </w:r>
          </w:p>
        </w:tc>
        <w:tc>
          <w:tcPr>
            <w:tcW w:w="9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 2015</w:t>
            </w:r>
          </w:p>
        </w:tc>
        <w:tc>
          <w:tcPr>
            <w:tcW w:w="8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0" w:type="dxa"/>
            <w:vAlign w:val="bottom"/>
            <w:tcBorders>
              <w:bottom w:val="single" w:sz="8" w:color="auto"/>
            </w:tcBorders>
            <w:gridSpan w:val="5"/>
          </w:tcPr>
          <w:p>
            <w:pPr>
              <w:jc w:val="right"/>
              <w:ind w:right="648"/>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128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14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280" w:type="dxa"/>
            <w:vAlign w:val="bottom"/>
          </w:tcPr>
          <w:p>
            <w:pPr>
              <w:spacing w:after="0"/>
              <w:rPr>
                <w:sz w:val="10"/>
                <w:szCs w:val="10"/>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Number of</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Contracts</w:t>
            </w:r>
          </w:p>
        </w:tc>
        <w:tc>
          <w:tcPr>
            <w:tcW w:w="24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Contracts</w:t>
            </w:r>
          </w:p>
        </w:tc>
        <w:tc>
          <w:tcPr>
            <w:tcW w:w="2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Contracts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i w:val="1"/>
                <w:iCs w:val="1"/>
                <w:color w:val="auto"/>
              </w:rPr>
              <w:t>Delinquency Experience</w:t>
            </w:r>
          </w:p>
        </w:tc>
        <w:tc>
          <w:tcPr>
            <w:tcW w:w="118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(Dollars in thousands)</w:t>
            </w:r>
          </w:p>
        </w:tc>
        <w:tc>
          <w:tcPr>
            <w:tcW w:w="1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274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Gross servicing portfolio (1)</w:t>
            </w:r>
          </w:p>
        </w:tc>
        <w:tc>
          <w:tcPr>
            <w:tcW w:w="15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164,392</w:t>
            </w:r>
          </w:p>
        </w:tc>
        <w:tc>
          <w:tcPr>
            <w:tcW w:w="240" w:type="dxa"/>
            <w:vAlign w:val="bottom"/>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2,253,686</w:t>
            </w:r>
          </w:p>
        </w:tc>
        <w:tc>
          <w:tcPr>
            <w:tcW w:w="360" w:type="dxa"/>
            <w:vAlign w:val="bottom"/>
            <w:shd w:val="clear" w:color="auto" w:fill="EEEEEE"/>
          </w:tcPr>
          <w:p>
            <w:pPr>
              <w:spacing w:after="0"/>
              <w:rPr>
                <w:sz w:val="12"/>
                <w:szCs w:val="12"/>
                <w:color w:val="auto"/>
              </w:rPr>
            </w:pP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135,892</w:t>
            </w:r>
          </w:p>
        </w:tc>
        <w:tc>
          <w:tcPr>
            <w:tcW w:w="280" w:type="dxa"/>
            <w:vAlign w:val="bottom"/>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1,821,992</w:t>
            </w:r>
          </w:p>
        </w:tc>
        <w:tc>
          <w:tcPr>
            <w:tcW w:w="14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149,138</w:t>
            </w:r>
          </w:p>
        </w:tc>
        <w:tc>
          <w:tcPr>
            <w:tcW w:w="200" w:type="dxa"/>
            <w:vAlign w:val="bottom"/>
            <w:gridSpan w:val="2"/>
            <w:shd w:val="clear" w:color="auto" w:fill="EEEEEE"/>
          </w:tcPr>
          <w:p>
            <w:pPr>
              <w:jc w:val="right"/>
              <w:ind w:right="114"/>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2,031,099</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Period of delinquency (2)</w:t>
            </w: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EEEEEE"/>
          </w:tcPr>
          <w:p>
            <w:pPr>
              <w:ind w:left="100"/>
              <w:spacing w:after="0" w:line="149" w:lineRule="exact"/>
              <w:rPr>
                <w:sz w:val="20"/>
                <w:szCs w:val="20"/>
                <w:color w:val="auto"/>
              </w:rPr>
            </w:pPr>
            <w:r>
              <w:rPr>
                <w:rFonts w:ascii="Arial" w:cs="Arial" w:eastAsia="Arial" w:hAnsi="Arial"/>
                <w:sz w:val="14"/>
                <w:szCs w:val="14"/>
                <w:color w:val="auto"/>
              </w:rPr>
              <w:t>31-60 days</w:t>
            </w:r>
          </w:p>
        </w:tc>
        <w:tc>
          <w:tcPr>
            <w:tcW w:w="15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6,710</w:t>
            </w:r>
          </w:p>
        </w:tc>
        <w:tc>
          <w:tcPr>
            <w:tcW w:w="240" w:type="dxa"/>
            <w:vAlign w:val="bottom"/>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87,824</w:t>
            </w: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4,299</w:t>
            </w:r>
          </w:p>
        </w:tc>
        <w:tc>
          <w:tcPr>
            <w:tcW w:w="280" w:type="dxa"/>
            <w:vAlign w:val="bottom"/>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52,768</w:t>
            </w:r>
          </w:p>
        </w:tc>
        <w:tc>
          <w:tcPr>
            <w:tcW w:w="14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5,375</w:t>
            </w:r>
          </w:p>
        </w:tc>
        <w:tc>
          <w:tcPr>
            <w:tcW w:w="200" w:type="dxa"/>
            <w:vAlign w:val="bottom"/>
            <w:gridSpan w:val="2"/>
            <w:shd w:val="clear" w:color="auto" w:fill="EEEEEE"/>
          </w:tcPr>
          <w:p>
            <w:pPr>
              <w:jc w:val="right"/>
              <w:ind w:right="114"/>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70,041</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61-90 days</w:t>
            </w:r>
          </w:p>
        </w:tc>
        <w:tc>
          <w:tcPr>
            <w:tcW w:w="15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2,961</w:t>
            </w:r>
          </w:p>
        </w:tc>
        <w:tc>
          <w:tcPr>
            <w:tcW w:w="240" w:type="dxa"/>
            <w:vAlign w:val="bottom"/>
          </w:tcPr>
          <w:p>
            <w:pPr>
              <w:spacing w:after="0"/>
              <w:rPr>
                <w:sz w:val="12"/>
                <w:szCs w:val="12"/>
                <w:color w:val="auto"/>
              </w:rPr>
            </w:pPr>
          </w:p>
        </w:tc>
        <w:tc>
          <w:tcPr>
            <w:tcW w:w="12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38,403</w:t>
            </w:r>
          </w:p>
        </w:tc>
        <w:tc>
          <w:tcPr>
            <w:tcW w:w="14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2,150</w:t>
            </w:r>
          </w:p>
        </w:tc>
        <w:tc>
          <w:tcPr>
            <w:tcW w:w="280" w:type="dxa"/>
            <w:vAlign w:val="bottom"/>
          </w:tcPr>
          <w:p>
            <w:pPr>
              <w:spacing w:after="0"/>
              <w:rPr>
                <w:sz w:val="12"/>
                <w:szCs w:val="12"/>
                <w:color w:val="auto"/>
              </w:rPr>
            </w:pP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27,100</w:t>
            </w:r>
          </w:p>
        </w:tc>
        <w:tc>
          <w:tcPr>
            <w:tcW w:w="14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3,140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41,142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shd w:val="clear" w:color="auto" w:fill="EEEEEE"/>
          </w:tcPr>
          <w:p>
            <w:pPr>
              <w:ind w:left="100"/>
              <w:spacing w:after="0"/>
              <w:rPr>
                <w:sz w:val="20"/>
                <w:szCs w:val="20"/>
                <w:color w:val="auto"/>
              </w:rPr>
            </w:pPr>
            <w:r>
              <w:rPr>
                <w:rFonts w:ascii="Arial" w:cs="Arial" w:eastAsia="Arial" w:hAnsi="Arial"/>
                <w:sz w:val="14"/>
                <w:szCs w:val="14"/>
                <w:color w:val="auto"/>
              </w:rPr>
              <w:t>91+ days</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4"/>
                <w:szCs w:val="14"/>
                <w:color w:val="auto"/>
              </w:rPr>
              <w:t>2,577</w:t>
            </w:r>
          </w:p>
        </w:tc>
        <w:tc>
          <w:tcPr>
            <w:tcW w:w="240" w:type="dxa"/>
            <w:vAlign w:val="bottom"/>
            <w:shd w:val="clear" w:color="auto" w:fill="EEEEEE"/>
          </w:tcPr>
          <w:p>
            <w:pPr>
              <w:spacing w:after="0"/>
              <w:rPr>
                <w:sz w:val="14"/>
                <w:szCs w:val="14"/>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33,742</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2,552</w:t>
            </w:r>
          </w:p>
        </w:tc>
        <w:tc>
          <w:tcPr>
            <w:tcW w:w="28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31,728</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3,364</w:t>
            </w:r>
          </w:p>
        </w:tc>
        <w:tc>
          <w:tcPr>
            <w:tcW w:w="2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43,484</w:t>
            </w: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720" w:type="dxa"/>
            <w:vAlign w:val="bottom"/>
            <w:gridSpan w:val="2"/>
          </w:tcPr>
          <w:p>
            <w:pPr>
              <w:spacing w:after="0" w:line="142" w:lineRule="exact"/>
              <w:rPr>
                <w:sz w:val="20"/>
                <w:szCs w:val="20"/>
                <w:color w:val="auto"/>
              </w:rPr>
            </w:pPr>
            <w:r>
              <w:rPr>
                <w:rFonts w:ascii="Arial" w:cs="Arial" w:eastAsia="Arial" w:hAnsi="Arial"/>
                <w:sz w:val="14"/>
                <w:szCs w:val="14"/>
                <w:color w:val="auto"/>
              </w:rPr>
              <w:t>Total delinquencies (2)</w:t>
            </w:r>
          </w:p>
        </w:tc>
        <w:tc>
          <w:tcPr>
            <w:tcW w:w="11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12,248</w:t>
            </w: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159,969</w:t>
            </w:r>
          </w:p>
        </w:tc>
        <w:tc>
          <w:tcPr>
            <w:tcW w:w="360" w:type="dxa"/>
            <w:vAlign w:val="bottom"/>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9,001</w:t>
            </w: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111,596</w:t>
            </w:r>
          </w:p>
        </w:tc>
        <w:tc>
          <w:tcPr>
            <w:tcW w:w="320" w:type="dxa"/>
            <w:vAlign w:val="bottom"/>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11,879</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154,667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shd w:val="clear" w:color="auto" w:fill="EEEEEE"/>
          </w:tcPr>
          <w:p>
            <w:pPr>
              <w:spacing w:after="0"/>
              <w:rPr>
                <w:sz w:val="20"/>
                <w:szCs w:val="20"/>
                <w:color w:val="auto"/>
              </w:rPr>
            </w:pPr>
            <w:r>
              <w:rPr>
                <w:rFonts w:ascii="Arial" w:cs="Arial" w:eastAsia="Arial" w:hAnsi="Arial"/>
                <w:sz w:val="14"/>
                <w:szCs w:val="14"/>
                <w:color w:val="auto"/>
              </w:rPr>
              <w:t>Amount in repossession (3)</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4"/>
                <w:szCs w:val="14"/>
                <w:color w:val="auto"/>
              </w:rPr>
              <w:t>2,690</w:t>
            </w:r>
          </w:p>
        </w:tc>
        <w:tc>
          <w:tcPr>
            <w:tcW w:w="240" w:type="dxa"/>
            <w:vAlign w:val="bottom"/>
            <w:shd w:val="clear" w:color="auto" w:fill="EEEEEE"/>
          </w:tcPr>
          <w:p>
            <w:pPr>
              <w:spacing w:after="0"/>
              <w:rPr>
                <w:sz w:val="14"/>
                <w:szCs w:val="14"/>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33,414</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2,077</w:t>
            </w:r>
          </w:p>
        </w:tc>
        <w:tc>
          <w:tcPr>
            <w:tcW w:w="28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24,927</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3,138</w:t>
            </w:r>
          </w:p>
        </w:tc>
        <w:tc>
          <w:tcPr>
            <w:tcW w:w="2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38,939</w:t>
            </w: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20" w:type="dxa"/>
            <w:vAlign w:val="bottom"/>
            <w:gridSpan w:val="2"/>
          </w:tcPr>
          <w:p>
            <w:pPr>
              <w:spacing w:after="0" w:line="110" w:lineRule="exact"/>
              <w:rPr>
                <w:sz w:val="20"/>
                <w:szCs w:val="20"/>
                <w:color w:val="auto"/>
              </w:rPr>
            </w:pPr>
            <w:r>
              <w:rPr>
                <w:rFonts w:ascii="Arial" w:cs="Arial" w:eastAsia="Arial" w:hAnsi="Arial"/>
                <w:sz w:val="12"/>
                <w:szCs w:val="12"/>
                <w:color w:val="auto"/>
              </w:rPr>
              <w:t>Total delinquencies and amount in</w:t>
            </w:r>
          </w:p>
        </w:tc>
        <w:tc>
          <w:tcPr>
            <w:tcW w:w="118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Borders>
              <w:top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20" w:type="dxa"/>
            <w:vAlign w:val="bottom"/>
            <w:gridSpan w:val="2"/>
          </w:tcPr>
          <w:p>
            <w:pPr>
              <w:ind w:left="180"/>
              <w:spacing w:after="0"/>
              <w:rPr>
                <w:sz w:val="20"/>
                <w:szCs w:val="20"/>
                <w:color w:val="auto"/>
              </w:rPr>
            </w:pPr>
            <w:r>
              <w:rPr>
                <w:rFonts w:ascii="Arial" w:cs="Arial" w:eastAsia="Arial" w:hAnsi="Arial"/>
                <w:sz w:val="14"/>
                <w:szCs w:val="14"/>
                <w:color w:val="auto"/>
              </w:rPr>
              <w:t>repossession (2)</w:t>
            </w: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14,938</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193,383</w:t>
            </w:r>
          </w:p>
        </w:tc>
        <w:tc>
          <w:tcPr>
            <w:tcW w:w="1160" w:type="dxa"/>
            <w:vAlign w:val="bottom"/>
          </w:tcPr>
          <w:p>
            <w:pPr>
              <w:jc w:val="right"/>
              <w:spacing w:after="0"/>
              <w:rPr>
                <w:sz w:val="20"/>
                <w:szCs w:val="20"/>
                <w:color w:val="auto"/>
              </w:rPr>
            </w:pPr>
            <w:r>
              <w:rPr>
                <w:rFonts w:ascii="Arial" w:cs="Arial" w:eastAsia="Arial" w:hAnsi="Arial"/>
                <w:sz w:val="14"/>
                <w:szCs w:val="14"/>
                <w:color w:val="auto"/>
              </w:rPr>
              <w:t>11,078</w:t>
            </w:r>
          </w:p>
        </w:tc>
        <w:tc>
          <w:tcPr>
            <w:tcW w:w="320" w:type="dxa"/>
            <w:vAlign w:val="bottom"/>
          </w:tcPr>
          <w:p>
            <w:pPr>
              <w:spacing w:after="0"/>
              <w:rPr>
                <w:sz w:val="20"/>
                <w:szCs w:val="20"/>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136,523</w:t>
            </w:r>
          </w:p>
        </w:tc>
        <w:tc>
          <w:tcPr>
            <w:tcW w:w="1460" w:type="dxa"/>
            <w:vAlign w:val="bottom"/>
            <w:gridSpan w:val="2"/>
          </w:tcPr>
          <w:p>
            <w:pPr>
              <w:jc w:val="right"/>
              <w:ind w:right="320"/>
              <w:spacing w:after="0"/>
              <w:rPr>
                <w:sz w:val="20"/>
                <w:szCs w:val="20"/>
                <w:color w:val="auto"/>
              </w:rPr>
            </w:pPr>
            <w:r>
              <w:rPr>
                <w:rFonts w:ascii="Arial" w:cs="Arial" w:eastAsia="Arial" w:hAnsi="Arial"/>
                <w:sz w:val="14"/>
                <w:szCs w:val="14"/>
                <w:color w:val="auto"/>
              </w:rPr>
              <w:t>15,017</w:t>
            </w:r>
          </w:p>
        </w:tc>
        <w:tc>
          <w:tcPr>
            <w:tcW w:w="200" w:type="dxa"/>
            <w:vAlign w:val="bottom"/>
            <w:gridSpan w:val="2"/>
          </w:tcPr>
          <w:p>
            <w:pPr>
              <w:jc w:val="right"/>
              <w:ind w:right="114"/>
              <w:spacing w:after="0"/>
              <w:rPr>
                <w:sz w:val="20"/>
                <w:szCs w:val="20"/>
                <w:color w:val="auto"/>
              </w:rPr>
            </w:pPr>
            <w:r>
              <w:rPr>
                <w:rFonts w:ascii="Arial" w:cs="Arial" w:eastAsia="Arial" w:hAnsi="Arial"/>
                <w:sz w:val="10"/>
                <w:szCs w:val="10"/>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193,606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500" w:type="dxa"/>
            <w:vAlign w:val="bottom"/>
            <w:tcBorders>
              <w:top w:val="single" w:sz="8" w:color="EEEEEE"/>
            </w:tcBorders>
            <w:shd w:val="clear" w:color="auto" w:fill="EEEEEE"/>
          </w:tcPr>
          <w:p>
            <w:pPr>
              <w:spacing w:after="0"/>
              <w:rPr>
                <w:sz w:val="11"/>
                <w:szCs w:val="11"/>
                <w:color w:val="auto"/>
              </w:rPr>
            </w:pPr>
          </w:p>
        </w:tc>
        <w:tc>
          <w:tcPr>
            <w:tcW w:w="220" w:type="dxa"/>
            <w:vAlign w:val="bottom"/>
            <w:tcBorders>
              <w:top w:val="single" w:sz="8" w:color="EEEEEE"/>
            </w:tcBorders>
            <w:shd w:val="clear" w:color="auto" w:fill="EEEEEE"/>
          </w:tcPr>
          <w:p>
            <w:pPr>
              <w:spacing w:after="0"/>
              <w:rPr>
                <w:sz w:val="11"/>
                <w:szCs w:val="11"/>
                <w:color w:val="auto"/>
              </w:rPr>
            </w:pPr>
          </w:p>
        </w:tc>
        <w:tc>
          <w:tcPr>
            <w:tcW w:w="1180" w:type="dxa"/>
            <w:vAlign w:val="bottom"/>
            <w:tcBorders>
              <w:top w:val="single" w:sz="8" w:color="auto"/>
            </w:tcBorders>
            <w:shd w:val="clear" w:color="auto" w:fill="EEEEEE"/>
          </w:tcPr>
          <w:p>
            <w:pPr>
              <w:spacing w:after="0"/>
              <w:rPr>
                <w:sz w:val="11"/>
                <w:szCs w:val="11"/>
                <w:color w:val="auto"/>
              </w:rPr>
            </w:pPr>
          </w:p>
        </w:tc>
        <w:tc>
          <w:tcPr>
            <w:tcW w:w="340" w:type="dxa"/>
            <w:vAlign w:val="bottom"/>
            <w:tcBorders>
              <w:top w:val="single" w:sz="8" w:color="EEEEEE"/>
            </w:tcBorders>
            <w:shd w:val="clear" w:color="auto" w:fill="EEEEEE"/>
          </w:tcPr>
          <w:p>
            <w:pPr>
              <w:spacing w:after="0"/>
              <w:rPr>
                <w:sz w:val="11"/>
                <w:szCs w:val="11"/>
                <w:color w:val="auto"/>
              </w:rPr>
            </w:pPr>
          </w:p>
        </w:tc>
        <w:tc>
          <w:tcPr>
            <w:tcW w:w="240" w:type="dxa"/>
            <w:vAlign w:val="bottom"/>
            <w:tcBorders>
              <w:top w:val="single" w:sz="8" w:color="auto"/>
            </w:tcBorders>
            <w:shd w:val="clear" w:color="auto" w:fill="EEEEEE"/>
          </w:tcPr>
          <w:p>
            <w:pPr>
              <w:spacing w:after="0"/>
              <w:rPr>
                <w:sz w:val="11"/>
                <w:szCs w:val="11"/>
                <w:color w:val="auto"/>
              </w:rPr>
            </w:pPr>
          </w:p>
        </w:tc>
        <w:tc>
          <w:tcPr>
            <w:tcW w:w="920" w:type="dxa"/>
            <w:vAlign w:val="bottom"/>
            <w:tcBorders>
              <w:top w:val="single" w:sz="8" w:color="auto"/>
            </w:tcBorders>
            <w:shd w:val="clear" w:color="auto" w:fill="EEEEEE"/>
          </w:tcPr>
          <w:p>
            <w:pPr>
              <w:spacing w:after="0"/>
              <w:rPr>
                <w:sz w:val="11"/>
                <w:szCs w:val="11"/>
                <w:color w:val="auto"/>
              </w:rPr>
            </w:pPr>
          </w:p>
        </w:tc>
        <w:tc>
          <w:tcPr>
            <w:tcW w:w="360" w:type="dxa"/>
            <w:vAlign w:val="bottom"/>
            <w:tcBorders>
              <w:top w:val="single" w:sz="8" w:color="EEEEEE"/>
            </w:tcBorders>
            <w:shd w:val="clear" w:color="auto" w:fill="EEEEEE"/>
          </w:tcPr>
          <w:p>
            <w:pPr>
              <w:spacing w:after="0"/>
              <w:rPr>
                <w:sz w:val="11"/>
                <w:szCs w:val="11"/>
                <w:color w:val="auto"/>
              </w:rPr>
            </w:pPr>
          </w:p>
        </w:tc>
        <w:tc>
          <w:tcPr>
            <w:tcW w:w="1160" w:type="dxa"/>
            <w:vAlign w:val="bottom"/>
            <w:tcBorders>
              <w:top w:val="single" w:sz="8" w:color="auto"/>
            </w:tcBorders>
            <w:shd w:val="clear" w:color="auto" w:fill="EEEEEE"/>
          </w:tcPr>
          <w:p>
            <w:pPr>
              <w:spacing w:after="0"/>
              <w:rPr>
                <w:sz w:val="11"/>
                <w:szCs w:val="11"/>
                <w:color w:val="auto"/>
              </w:rPr>
            </w:pPr>
          </w:p>
        </w:tc>
        <w:tc>
          <w:tcPr>
            <w:tcW w:w="320" w:type="dxa"/>
            <w:vAlign w:val="bottom"/>
            <w:tcBorders>
              <w:top w:val="single" w:sz="8" w:color="EEEEEE"/>
            </w:tcBorders>
            <w:shd w:val="clear" w:color="auto" w:fill="EEEEEE"/>
          </w:tcPr>
          <w:p>
            <w:pPr>
              <w:spacing w:after="0"/>
              <w:rPr>
                <w:sz w:val="11"/>
                <w:szCs w:val="11"/>
                <w:color w:val="auto"/>
              </w:rPr>
            </w:pPr>
          </w:p>
        </w:tc>
        <w:tc>
          <w:tcPr>
            <w:tcW w:w="280" w:type="dxa"/>
            <w:vAlign w:val="bottom"/>
            <w:tcBorders>
              <w:top w:val="single" w:sz="8" w:color="auto"/>
            </w:tcBorders>
            <w:shd w:val="clear" w:color="auto" w:fill="EEEEEE"/>
          </w:tcPr>
          <w:p>
            <w:pPr>
              <w:spacing w:after="0"/>
              <w:rPr>
                <w:sz w:val="11"/>
                <w:szCs w:val="11"/>
                <w:color w:val="auto"/>
              </w:rPr>
            </w:pPr>
          </w:p>
        </w:tc>
        <w:tc>
          <w:tcPr>
            <w:tcW w:w="860" w:type="dxa"/>
            <w:vAlign w:val="bottom"/>
            <w:tcBorders>
              <w:top w:val="single" w:sz="8" w:color="auto"/>
            </w:tcBorders>
            <w:shd w:val="clear" w:color="auto" w:fill="EEEEEE"/>
          </w:tcPr>
          <w:p>
            <w:pPr>
              <w:spacing w:after="0"/>
              <w:rPr>
                <w:sz w:val="11"/>
                <w:szCs w:val="11"/>
                <w:color w:val="auto"/>
              </w:rPr>
            </w:pPr>
          </w:p>
        </w:tc>
        <w:tc>
          <w:tcPr>
            <w:tcW w:w="320" w:type="dxa"/>
            <w:vAlign w:val="bottom"/>
            <w:tcBorders>
              <w:top w:val="single" w:sz="8" w:color="EEEEEE"/>
            </w:tcBorders>
            <w:shd w:val="clear" w:color="auto" w:fill="EEEEEE"/>
          </w:tcPr>
          <w:p>
            <w:pPr>
              <w:spacing w:after="0"/>
              <w:rPr>
                <w:sz w:val="11"/>
                <w:szCs w:val="11"/>
                <w:color w:val="auto"/>
              </w:rPr>
            </w:pPr>
          </w:p>
        </w:tc>
        <w:tc>
          <w:tcPr>
            <w:tcW w:w="1140" w:type="dxa"/>
            <w:vAlign w:val="bottom"/>
            <w:tcBorders>
              <w:top w:val="single" w:sz="8" w:color="auto"/>
            </w:tcBorders>
            <w:shd w:val="clear" w:color="auto" w:fill="EEEEEE"/>
          </w:tcPr>
          <w:p>
            <w:pPr>
              <w:spacing w:after="0"/>
              <w:rPr>
                <w:sz w:val="11"/>
                <w:szCs w:val="11"/>
                <w:color w:val="auto"/>
              </w:rPr>
            </w:pPr>
          </w:p>
        </w:tc>
        <w:tc>
          <w:tcPr>
            <w:tcW w:w="320" w:type="dxa"/>
            <w:vAlign w:val="bottom"/>
            <w:tcBorders>
              <w:top w:val="single" w:sz="8" w:color="EEEEEE"/>
            </w:tcBorders>
            <w:shd w:val="clear" w:color="auto" w:fill="EEEEEE"/>
          </w:tcPr>
          <w:p>
            <w:pPr>
              <w:spacing w:after="0"/>
              <w:rPr>
                <w:sz w:val="11"/>
                <w:szCs w:val="11"/>
                <w:color w:val="auto"/>
              </w:rPr>
            </w:pPr>
          </w:p>
        </w:tc>
        <w:tc>
          <w:tcPr>
            <w:tcW w:w="20" w:type="dxa"/>
            <w:vAlign w:val="bottom"/>
            <w:tcBorders>
              <w:top w:val="single" w:sz="8" w:color="EEEEEE"/>
            </w:tcBorders>
            <w:shd w:val="clear" w:color="auto" w:fill="EEEEEE"/>
          </w:tcPr>
          <w:p>
            <w:pPr>
              <w:spacing w:after="0"/>
              <w:rPr>
                <w:sz w:val="11"/>
                <w:szCs w:val="11"/>
                <w:color w:val="auto"/>
              </w:rPr>
            </w:pPr>
          </w:p>
        </w:tc>
        <w:tc>
          <w:tcPr>
            <w:tcW w:w="180" w:type="dxa"/>
            <w:vAlign w:val="bottom"/>
            <w:tcBorders>
              <w:top w:val="single" w:sz="8" w:color="auto"/>
            </w:tcBorders>
            <w:shd w:val="clear" w:color="auto" w:fill="EEEEEE"/>
          </w:tcPr>
          <w:p>
            <w:pPr>
              <w:spacing w:after="0"/>
              <w:rPr>
                <w:sz w:val="11"/>
                <w:szCs w:val="11"/>
                <w:color w:val="auto"/>
              </w:rPr>
            </w:pPr>
          </w:p>
        </w:tc>
        <w:tc>
          <w:tcPr>
            <w:tcW w:w="940" w:type="dxa"/>
            <w:vAlign w:val="bottom"/>
            <w:tcBorders>
              <w:top w:val="single" w:sz="8" w:color="auto"/>
            </w:tcBorders>
            <w:shd w:val="clear" w:color="auto" w:fill="EEEEEE"/>
          </w:tcPr>
          <w:p>
            <w:pPr>
              <w:spacing w:after="0"/>
              <w:rPr>
                <w:sz w:val="11"/>
                <w:szCs w:val="11"/>
                <w:color w:val="auto"/>
              </w:rPr>
            </w:pPr>
          </w:p>
        </w:tc>
        <w:tc>
          <w:tcPr>
            <w:tcW w:w="20" w:type="dxa"/>
            <w:vAlign w:val="bottom"/>
            <w:tcBorders>
              <w:top w:val="single" w:sz="8" w:color="EEEEEE"/>
            </w:tcBorders>
            <w:shd w:val="clear" w:color="auto" w:fill="EEEEEE"/>
          </w:tcPr>
          <w:p>
            <w:pPr>
              <w:spacing w:after="0"/>
              <w:rPr>
                <w:sz w:val="11"/>
                <w:szCs w:val="11"/>
                <w:color w:val="auto"/>
              </w:rPr>
            </w:pPr>
          </w:p>
        </w:tc>
        <w:tc>
          <w:tcPr>
            <w:tcW w:w="80" w:type="dxa"/>
            <w:vAlign w:val="bottom"/>
            <w:tcBorders>
              <w:top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Delinquencies as a percentage of gross</w:t>
            </w: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gridSpan w:val="2"/>
          </w:tcPr>
          <w:p>
            <w:pPr>
              <w:ind w:left="180"/>
              <w:spacing w:after="0"/>
              <w:rPr>
                <w:sz w:val="20"/>
                <w:szCs w:val="20"/>
                <w:color w:val="auto"/>
              </w:rPr>
            </w:pPr>
            <w:r>
              <w:rPr>
                <w:rFonts w:ascii="Arial" w:cs="Arial" w:eastAsia="Arial" w:hAnsi="Arial"/>
                <w:sz w:val="14"/>
                <w:szCs w:val="14"/>
                <w:color w:val="auto"/>
              </w:rPr>
              <w:t>servicing portfolio</w:t>
            </w: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7.5%</w:t>
            </w:r>
          </w:p>
        </w:tc>
        <w:tc>
          <w:tcPr>
            <w:tcW w:w="24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7.1%</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6.6%</w:t>
            </w:r>
          </w:p>
        </w:tc>
        <w:tc>
          <w:tcPr>
            <w:tcW w:w="28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6.1%</w:t>
            </w:r>
          </w:p>
        </w:tc>
        <w:tc>
          <w:tcPr>
            <w:tcW w:w="1460" w:type="dxa"/>
            <w:vAlign w:val="bottom"/>
            <w:gridSpan w:val="2"/>
          </w:tcPr>
          <w:p>
            <w:pPr>
              <w:jc w:val="right"/>
              <w:ind w:right="320"/>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7.6%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Total delinquencies and amount in</w:t>
            </w: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repossession as a percentage of gross</w:t>
            </w: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720" w:type="dxa"/>
            <w:vAlign w:val="bottom"/>
            <w:gridSpan w:val="2"/>
          </w:tcPr>
          <w:p>
            <w:pPr>
              <w:ind w:left="180"/>
              <w:spacing w:after="0"/>
              <w:rPr>
                <w:sz w:val="20"/>
                <w:szCs w:val="20"/>
                <w:color w:val="auto"/>
              </w:rPr>
            </w:pPr>
            <w:r>
              <w:rPr>
                <w:rFonts w:ascii="Arial" w:cs="Arial" w:eastAsia="Arial" w:hAnsi="Arial"/>
                <w:sz w:val="14"/>
                <w:szCs w:val="14"/>
                <w:color w:val="auto"/>
              </w:rPr>
              <w:t>servicing portfolio</w:t>
            </w: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9.1%</w:t>
            </w:r>
          </w:p>
        </w:tc>
        <w:tc>
          <w:tcPr>
            <w:tcW w:w="24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8.6%</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8.2%</w:t>
            </w:r>
          </w:p>
        </w:tc>
        <w:tc>
          <w:tcPr>
            <w:tcW w:w="280" w:type="dxa"/>
            <w:vAlign w:val="bottom"/>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7.5%</w:t>
            </w:r>
          </w:p>
        </w:tc>
        <w:tc>
          <w:tcPr>
            <w:tcW w:w="1460" w:type="dxa"/>
            <w:vAlign w:val="bottom"/>
            <w:gridSpan w:val="2"/>
          </w:tcPr>
          <w:p>
            <w:pPr>
              <w:jc w:val="right"/>
              <w:ind w:right="320"/>
              <w:spacing w:after="0"/>
              <w:rPr>
                <w:sz w:val="20"/>
                <w:szCs w:val="20"/>
                <w:color w:val="auto"/>
              </w:rPr>
            </w:pPr>
            <w:r>
              <w:rPr>
                <w:rFonts w:ascii="Arial" w:cs="Arial" w:eastAsia="Arial" w:hAnsi="Arial"/>
                <w:sz w:val="14"/>
                <w:szCs w:val="14"/>
                <w:color w:val="auto"/>
              </w:rPr>
              <w:t>10.1%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9.5%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shd w:val="clear" w:color="auto" w:fill="EEEEEE"/>
          </w:tcPr>
          <w:p>
            <w:pPr>
              <w:spacing w:after="0"/>
              <w:rPr>
                <w:sz w:val="12"/>
                <w:szCs w:val="12"/>
                <w:color w:val="auto"/>
              </w:rPr>
            </w:pPr>
          </w:p>
        </w:tc>
        <w:tc>
          <w:tcPr>
            <w:tcW w:w="220" w:type="dxa"/>
            <w:vAlign w:val="bottom"/>
            <w:shd w:val="clear" w:color="auto" w:fill="EEEEEE"/>
          </w:tcPr>
          <w:p>
            <w:pPr>
              <w:spacing w:after="0"/>
              <w:rPr>
                <w:sz w:val="12"/>
                <w:szCs w:val="12"/>
                <w:color w:val="auto"/>
              </w:rPr>
            </w:pPr>
          </w:p>
        </w:tc>
        <w:tc>
          <w:tcPr>
            <w:tcW w:w="118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9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11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14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18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2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2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Extension Experience</w:t>
            </w: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gridSpan w:val="2"/>
            <w:shd w:val="clear" w:color="auto" w:fill="EEEEEE"/>
          </w:tcPr>
          <w:p>
            <w:pPr>
              <w:spacing w:after="0" w:line="149" w:lineRule="exact"/>
              <w:rPr>
                <w:sz w:val="20"/>
                <w:szCs w:val="20"/>
                <w:color w:val="auto"/>
              </w:rPr>
            </w:pPr>
            <w:r>
              <w:rPr>
                <w:rFonts w:ascii="Arial" w:cs="Arial" w:eastAsia="Arial" w:hAnsi="Arial"/>
                <w:sz w:val="14"/>
                <w:szCs w:val="14"/>
                <w:color w:val="auto"/>
              </w:rPr>
              <w:t>Contracts with one extension, accruing (4)</w:t>
            </w:r>
          </w:p>
        </w:tc>
        <w:tc>
          <w:tcPr>
            <w:tcW w:w="1520" w:type="dxa"/>
            <w:vAlign w:val="bottom"/>
            <w:gridSpan w:val="2"/>
            <w:shd w:val="clear" w:color="auto" w:fill="EEEEEE"/>
          </w:tcPr>
          <w:p>
            <w:pPr>
              <w:jc w:val="right"/>
              <w:ind w:right="340"/>
              <w:spacing w:after="0" w:line="149" w:lineRule="exact"/>
              <w:rPr>
                <w:sz w:val="20"/>
                <w:szCs w:val="20"/>
                <w:color w:val="auto"/>
              </w:rPr>
            </w:pPr>
            <w:r>
              <w:rPr>
                <w:rFonts w:ascii="Arial" w:cs="Arial" w:eastAsia="Arial" w:hAnsi="Arial"/>
                <w:sz w:val="14"/>
                <w:szCs w:val="14"/>
                <w:color w:val="auto"/>
              </w:rPr>
              <w:t>28,330</w:t>
            </w:r>
          </w:p>
        </w:tc>
        <w:tc>
          <w:tcPr>
            <w:tcW w:w="240" w:type="dxa"/>
            <w:vAlign w:val="bottom"/>
            <w:shd w:val="clear" w:color="auto" w:fill="EEEEEE"/>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EEEEEE"/>
          </w:tcPr>
          <w:p>
            <w:pPr>
              <w:jc w:val="right"/>
              <w:ind w:right="360"/>
              <w:spacing w:after="0" w:line="149" w:lineRule="exact"/>
              <w:rPr>
                <w:sz w:val="20"/>
                <w:szCs w:val="20"/>
                <w:color w:val="auto"/>
              </w:rPr>
            </w:pPr>
            <w:r>
              <w:rPr>
                <w:rFonts w:ascii="Arial" w:cs="Arial" w:eastAsia="Arial" w:hAnsi="Arial"/>
                <w:sz w:val="14"/>
                <w:szCs w:val="14"/>
                <w:color w:val="auto"/>
              </w:rPr>
              <w:t>385,978</w:t>
            </w:r>
          </w:p>
        </w:tc>
        <w:tc>
          <w:tcPr>
            <w:tcW w:w="14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21,934</w:t>
            </w:r>
          </w:p>
        </w:tc>
        <w:tc>
          <w:tcPr>
            <w:tcW w:w="280" w:type="dxa"/>
            <w:vAlign w:val="bottom"/>
            <w:shd w:val="clear" w:color="auto" w:fill="EEEEEE"/>
          </w:tcPr>
          <w:p>
            <w:pPr>
              <w:jc w:val="right"/>
              <w:ind w:right="128"/>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292,625</w:t>
            </w:r>
          </w:p>
        </w:tc>
        <w:tc>
          <w:tcPr>
            <w:tcW w:w="1460" w:type="dxa"/>
            <w:vAlign w:val="bottom"/>
            <w:gridSpan w:val="2"/>
            <w:shd w:val="clear" w:color="auto" w:fill="EEEEEE"/>
          </w:tcPr>
          <w:p>
            <w:pPr>
              <w:jc w:val="right"/>
              <w:ind w:right="320"/>
              <w:spacing w:after="0" w:line="149" w:lineRule="exact"/>
              <w:rPr>
                <w:sz w:val="20"/>
                <w:szCs w:val="20"/>
                <w:color w:val="auto"/>
              </w:rPr>
            </w:pPr>
            <w:r>
              <w:rPr>
                <w:rFonts w:ascii="Arial" w:cs="Arial" w:eastAsia="Arial" w:hAnsi="Arial"/>
                <w:sz w:val="14"/>
                <w:szCs w:val="14"/>
                <w:color w:val="auto"/>
              </w:rPr>
              <w:t>26,682</w:t>
            </w:r>
          </w:p>
        </w:tc>
        <w:tc>
          <w:tcPr>
            <w:tcW w:w="200" w:type="dxa"/>
            <w:vAlign w:val="bottom"/>
            <w:gridSpan w:val="2"/>
            <w:shd w:val="clear" w:color="auto" w:fill="EEEEEE"/>
          </w:tcPr>
          <w:p>
            <w:pPr>
              <w:jc w:val="right"/>
              <w:ind w:right="114"/>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EEEEEE"/>
          </w:tcPr>
          <w:p>
            <w:pPr>
              <w:jc w:val="right"/>
              <w:ind w:right="20"/>
              <w:spacing w:after="0" w:line="149" w:lineRule="exact"/>
              <w:rPr>
                <w:sz w:val="20"/>
                <w:szCs w:val="20"/>
                <w:color w:val="auto"/>
              </w:rPr>
            </w:pPr>
            <w:r>
              <w:rPr>
                <w:rFonts w:ascii="Arial" w:cs="Arial" w:eastAsia="Arial" w:hAnsi="Arial"/>
                <w:sz w:val="14"/>
                <w:szCs w:val="14"/>
                <w:color w:val="auto"/>
              </w:rPr>
              <w:t>361,338</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720" w:type="dxa"/>
            <w:vAlign w:val="bottom"/>
            <w:gridSpan w:val="2"/>
          </w:tcPr>
          <w:p>
            <w:pPr>
              <w:spacing w:after="0" w:line="130" w:lineRule="exact"/>
              <w:rPr>
                <w:sz w:val="20"/>
                <w:szCs w:val="20"/>
                <w:color w:val="auto"/>
              </w:rPr>
            </w:pPr>
            <w:r>
              <w:rPr>
                <w:rFonts w:ascii="Arial" w:cs="Arial" w:eastAsia="Arial" w:hAnsi="Arial"/>
                <w:sz w:val="14"/>
                <w:szCs w:val="14"/>
                <w:color w:val="auto"/>
              </w:rPr>
              <w:t>Contracts with two or more extensions,</w:t>
            </w: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gridSpan w:val="2"/>
          </w:tcPr>
          <w:p>
            <w:pPr>
              <w:ind w:left="180"/>
              <w:spacing w:after="0"/>
              <w:rPr>
                <w:sz w:val="20"/>
                <w:szCs w:val="20"/>
                <w:color w:val="auto"/>
              </w:rPr>
            </w:pPr>
            <w:r>
              <w:rPr>
                <w:rFonts w:ascii="Arial" w:cs="Arial" w:eastAsia="Arial" w:hAnsi="Arial"/>
                <w:sz w:val="14"/>
                <w:szCs w:val="14"/>
                <w:color w:val="auto"/>
              </w:rPr>
              <w:t>accruing (4)</w:t>
            </w:r>
          </w:p>
        </w:tc>
        <w:tc>
          <w:tcPr>
            <w:tcW w:w="1520" w:type="dxa"/>
            <w:vAlign w:val="bottom"/>
            <w:gridSpan w:val="2"/>
          </w:tcPr>
          <w:p>
            <w:pPr>
              <w:jc w:val="right"/>
              <w:ind w:right="340"/>
              <w:spacing w:after="0"/>
              <w:rPr>
                <w:sz w:val="20"/>
                <w:szCs w:val="20"/>
                <w:color w:val="auto"/>
              </w:rPr>
            </w:pPr>
            <w:r>
              <w:rPr>
                <w:rFonts w:ascii="Arial" w:cs="Arial" w:eastAsia="Arial" w:hAnsi="Arial"/>
                <w:sz w:val="14"/>
                <w:szCs w:val="14"/>
                <w:color w:val="auto"/>
              </w:rPr>
              <w:t>22,001</w:t>
            </w:r>
          </w:p>
        </w:tc>
        <w:tc>
          <w:tcPr>
            <w:tcW w:w="240" w:type="dxa"/>
            <w:vAlign w:val="bottom"/>
          </w:tcPr>
          <w:p>
            <w:pPr>
              <w:spacing w:after="0"/>
              <w:rPr>
                <w:sz w:val="15"/>
                <w:szCs w:val="15"/>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color w:val="auto"/>
              </w:rPr>
              <w:t>291,921</w:t>
            </w:r>
          </w:p>
        </w:tc>
        <w:tc>
          <w:tcPr>
            <w:tcW w:w="1480" w:type="dxa"/>
            <w:vAlign w:val="bottom"/>
            <w:gridSpan w:val="2"/>
          </w:tcPr>
          <w:p>
            <w:pPr>
              <w:jc w:val="right"/>
              <w:ind w:right="320"/>
              <w:spacing w:after="0"/>
              <w:rPr>
                <w:sz w:val="20"/>
                <w:szCs w:val="20"/>
                <w:color w:val="auto"/>
              </w:rPr>
            </w:pPr>
            <w:r>
              <w:rPr>
                <w:rFonts w:ascii="Arial" w:cs="Arial" w:eastAsia="Arial" w:hAnsi="Arial"/>
                <w:sz w:val="14"/>
                <w:szCs w:val="14"/>
                <w:color w:val="auto"/>
              </w:rPr>
              <w:t>12,004</w:t>
            </w:r>
          </w:p>
        </w:tc>
        <w:tc>
          <w:tcPr>
            <w:tcW w:w="280" w:type="dxa"/>
            <w:vAlign w:val="bottom"/>
          </w:tcPr>
          <w:p>
            <w:pPr>
              <w:spacing w:after="0"/>
              <w:rPr>
                <w:sz w:val="15"/>
                <w:szCs w:val="15"/>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4"/>
                <w:szCs w:val="14"/>
                <w:color w:val="auto"/>
              </w:rPr>
              <w:t>154,555</w:t>
            </w:r>
          </w:p>
        </w:tc>
        <w:tc>
          <w:tcPr>
            <w:tcW w:w="1460" w:type="dxa"/>
            <w:vAlign w:val="bottom"/>
            <w:gridSpan w:val="2"/>
          </w:tcPr>
          <w:p>
            <w:pPr>
              <w:jc w:val="right"/>
              <w:ind w:right="320"/>
              <w:spacing w:after="0"/>
              <w:rPr>
                <w:sz w:val="20"/>
                <w:szCs w:val="20"/>
                <w:color w:val="auto"/>
              </w:rPr>
            </w:pPr>
            <w:r>
              <w:rPr>
                <w:rFonts w:ascii="Arial" w:cs="Arial" w:eastAsia="Arial" w:hAnsi="Arial"/>
                <w:sz w:val="14"/>
                <w:szCs w:val="14"/>
                <w:color w:val="auto"/>
              </w:rPr>
              <w:t>16,638</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4"/>
                <w:szCs w:val="14"/>
                <w:color w:val="auto"/>
              </w:rPr>
              <w:t>219,175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Borders>
              <w:top w:val="single" w:sz="8" w:color="EEEEEE"/>
            </w:tcBorders>
            <w:shd w:val="clear" w:color="auto" w:fill="EEEEEE"/>
          </w:tcPr>
          <w:p>
            <w:pPr>
              <w:spacing w:after="0"/>
              <w:rPr>
                <w:sz w:val="12"/>
                <w:szCs w:val="12"/>
                <w:color w:val="auto"/>
              </w:rPr>
            </w:pPr>
          </w:p>
        </w:tc>
        <w:tc>
          <w:tcPr>
            <w:tcW w:w="220" w:type="dxa"/>
            <w:vAlign w:val="bottom"/>
            <w:tcBorders>
              <w:top w:val="single" w:sz="8" w:color="EEEEEE"/>
            </w:tcBorders>
            <w:shd w:val="clear" w:color="auto" w:fill="EEEEEE"/>
          </w:tcPr>
          <w:p>
            <w:pPr>
              <w:spacing w:after="0"/>
              <w:rPr>
                <w:sz w:val="12"/>
                <w:szCs w:val="12"/>
                <w:color w:val="auto"/>
              </w:rPr>
            </w:pPr>
          </w:p>
        </w:tc>
        <w:tc>
          <w:tcPr>
            <w:tcW w:w="118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50,331</w:t>
            </w:r>
          </w:p>
        </w:tc>
        <w:tc>
          <w:tcPr>
            <w:tcW w:w="340" w:type="dxa"/>
            <w:vAlign w:val="bottom"/>
            <w:tcBorders>
              <w:top w:val="single" w:sz="8" w:color="EEEEEE"/>
            </w:tcBorders>
            <w:shd w:val="clear" w:color="auto" w:fill="EEEEEE"/>
          </w:tcPr>
          <w:p>
            <w:pPr>
              <w:spacing w:after="0"/>
              <w:rPr>
                <w:sz w:val="12"/>
                <w:szCs w:val="12"/>
                <w:color w:val="auto"/>
              </w:rPr>
            </w:pPr>
          </w:p>
        </w:tc>
        <w:tc>
          <w:tcPr>
            <w:tcW w:w="240" w:type="dxa"/>
            <w:vAlign w:val="bottom"/>
            <w:tcBorders>
              <w:top w:val="single" w:sz="8" w:color="auto"/>
            </w:tcBorders>
            <w:shd w:val="clear" w:color="auto" w:fill="EEEEEE"/>
          </w:tcPr>
          <w:p>
            <w:pPr>
              <w:spacing w:after="0"/>
              <w:rPr>
                <w:sz w:val="12"/>
                <w:szCs w:val="12"/>
                <w:color w:val="auto"/>
              </w:rPr>
            </w:pPr>
          </w:p>
        </w:tc>
        <w:tc>
          <w:tcPr>
            <w:tcW w:w="92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677,899</w:t>
            </w:r>
          </w:p>
        </w:tc>
        <w:tc>
          <w:tcPr>
            <w:tcW w:w="360" w:type="dxa"/>
            <w:vAlign w:val="bottom"/>
            <w:tcBorders>
              <w:top w:val="single" w:sz="8" w:color="EEEEEE"/>
            </w:tcBorders>
            <w:shd w:val="clear" w:color="auto" w:fill="EEEEEE"/>
          </w:tcPr>
          <w:p>
            <w:pPr>
              <w:spacing w:after="0"/>
              <w:rPr>
                <w:sz w:val="12"/>
                <w:szCs w:val="12"/>
                <w:color w:val="auto"/>
              </w:rPr>
            </w:pPr>
          </w:p>
        </w:tc>
        <w:tc>
          <w:tcPr>
            <w:tcW w:w="11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33,938</w:t>
            </w:r>
          </w:p>
        </w:tc>
        <w:tc>
          <w:tcPr>
            <w:tcW w:w="320" w:type="dxa"/>
            <w:vAlign w:val="bottom"/>
            <w:tcBorders>
              <w:top w:val="single" w:sz="8" w:color="EEEEEE"/>
            </w:tcBorders>
            <w:shd w:val="clear" w:color="auto" w:fill="EEEEEE"/>
          </w:tcPr>
          <w:p>
            <w:pPr>
              <w:spacing w:after="0"/>
              <w:rPr>
                <w:sz w:val="12"/>
                <w:szCs w:val="12"/>
                <w:color w:val="auto"/>
              </w:rPr>
            </w:pPr>
          </w:p>
        </w:tc>
        <w:tc>
          <w:tcPr>
            <w:tcW w:w="280" w:type="dxa"/>
            <w:vAlign w:val="bottom"/>
            <w:tcBorders>
              <w:top w:val="single" w:sz="8" w:color="auto"/>
            </w:tcBorders>
            <w:shd w:val="clear" w:color="auto" w:fill="EEEEEE"/>
          </w:tcPr>
          <w:p>
            <w:pPr>
              <w:spacing w:after="0"/>
              <w:rPr>
                <w:sz w:val="12"/>
                <w:szCs w:val="12"/>
                <w:color w:val="auto"/>
              </w:rPr>
            </w:pPr>
          </w:p>
        </w:tc>
        <w:tc>
          <w:tcPr>
            <w:tcW w:w="86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447,180</w:t>
            </w:r>
          </w:p>
        </w:tc>
        <w:tc>
          <w:tcPr>
            <w:tcW w:w="320" w:type="dxa"/>
            <w:vAlign w:val="bottom"/>
            <w:tcBorders>
              <w:top w:val="single" w:sz="8" w:color="EEEEEE"/>
            </w:tcBorders>
            <w:shd w:val="clear" w:color="auto" w:fill="EEEEEE"/>
          </w:tcPr>
          <w:p>
            <w:pPr>
              <w:spacing w:after="0"/>
              <w:rPr>
                <w:sz w:val="12"/>
                <w:szCs w:val="12"/>
                <w:color w:val="auto"/>
              </w:rPr>
            </w:pPr>
          </w:p>
        </w:tc>
        <w:tc>
          <w:tcPr>
            <w:tcW w:w="11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43,320</w:t>
            </w:r>
          </w:p>
        </w:tc>
        <w:tc>
          <w:tcPr>
            <w:tcW w:w="320" w:type="dxa"/>
            <w:vAlign w:val="bottom"/>
            <w:tcBorders>
              <w:top w:val="single" w:sz="8" w:color="EEEEEE"/>
            </w:tcBorders>
            <w:shd w:val="clear" w:color="auto" w:fill="EEEEEE"/>
          </w:tcPr>
          <w:p>
            <w:pPr>
              <w:spacing w:after="0"/>
              <w:rPr>
                <w:sz w:val="12"/>
                <w:szCs w:val="12"/>
                <w:color w:val="auto"/>
              </w:rPr>
            </w:pPr>
          </w:p>
        </w:tc>
        <w:tc>
          <w:tcPr>
            <w:tcW w:w="2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auto"/>
            </w:tcBorders>
            <w:shd w:val="clear" w:color="auto" w:fill="EEEEEE"/>
          </w:tcPr>
          <w:p>
            <w:pPr>
              <w:spacing w:after="0"/>
              <w:rPr>
                <w:sz w:val="12"/>
                <w:szCs w:val="12"/>
                <w:color w:val="auto"/>
              </w:rPr>
            </w:pPr>
          </w:p>
        </w:tc>
        <w:tc>
          <w:tcPr>
            <w:tcW w:w="940" w:type="dxa"/>
            <w:vAlign w:val="bottom"/>
            <w:tcBorders>
              <w:top w:val="single" w:sz="8" w:color="auto"/>
            </w:tcBorders>
            <w:shd w:val="clear" w:color="auto" w:fill="EEEEEE"/>
          </w:tcPr>
          <w:p>
            <w:pPr>
              <w:jc w:val="right"/>
              <w:spacing w:after="0" w:line="142" w:lineRule="exact"/>
              <w:rPr>
                <w:sz w:val="20"/>
                <w:szCs w:val="20"/>
                <w:color w:val="auto"/>
              </w:rPr>
            </w:pPr>
            <w:r>
              <w:rPr>
                <w:rFonts w:ascii="Arial" w:cs="Arial" w:eastAsia="Arial" w:hAnsi="Arial"/>
                <w:sz w:val="14"/>
                <w:szCs w:val="14"/>
                <w:color w:val="auto"/>
              </w:rPr>
              <w:t>580,513</w:t>
            </w:r>
          </w:p>
        </w:tc>
        <w:tc>
          <w:tcPr>
            <w:tcW w:w="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gridSpan w:val="2"/>
            <w:shd w:val="clear" w:color="auto" w:fill="EEEEEE"/>
          </w:tcPr>
          <w:p>
            <w:pPr>
              <w:spacing w:after="0" w:line="130" w:lineRule="exact"/>
              <w:rPr>
                <w:sz w:val="20"/>
                <w:szCs w:val="20"/>
                <w:color w:val="auto"/>
              </w:rPr>
            </w:pPr>
            <w:r>
              <w:rPr>
                <w:rFonts w:ascii="Arial" w:cs="Arial" w:eastAsia="Arial" w:hAnsi="Arial"/>
                <w:sz w:val="14"/>
                <w:szCs w:val="14"/>
                <w:color w:val="auto"/>
              </w:rPr>
              <w:t>Contracts with one extension, non-accrual</w:t>
            </w:r>
          </w:p>
        </w:tc>
        <w:tc>
          <w:tcPr>
            <w:tcW w:w="11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shd w:val="clear" w:color="auto" w:fill="EEEEEE"/>
          </w:tcPr>
          <w:p>
            <w:pPr>
              <w:ind w:left="180"/>
              <w:spacing w:after="0"/>
              <w:rPr>
                <w:sz w:val="20"/>
                <w:szCs w:val="20"/>
                <w:color w:val="auto"/>
              </w:rPr>
            </w:pPr>
            <w:r>
              <w:rPr>
                <w:rFonts w:ascii="Arial" w:cs="Arial" w:eastAsia="Arial" w:hAnsi="Arial"/>
                <w:sz w:val="14"/>
                <w:szCs w:val="14"/>
                <w:color w:val="auto"/>
              </w:rPr>
              <w:t>(4)</w:t>
            </w:r>
          </w:p>
        </w:tc>
        <w:tc>
          <w:tcPr>
            <w:tcW w:w="220" w:type="dxa"/>
            <w:vAlign w:val="bottom"/>
            <w:shd w:val="clear" w:color="auto" w:fill="EEEEEE"/>
          </w:tcPr>
          <w:p>
            <w:pPr>
              <w:spacing w:after="0"/>
              <w:rPr>
                <w:sz w:val="14"/>
                <w:szCs w:val="14"/>
                <w:color w:val="auto"/>
              </w:rPr>
            </w:pP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4"/>
                <w:szCs w:val="14"/>
                <w:color w:val="auto"/>
              </w:rPr>
              <w:t>1,463</w:t>
            </w:r>
          </w:p>
        </w:tc>
        <w:tc>
          <w:tcPr>
            <w:tcW w:w="240" w:type="dxa"/>
            <w:vAlign w:val="bottom"/>
            <w:shd w:val="clear" w:color="auto" w:fill="EEEEEE"/>
          </w:tcPr>
          <w:p>
            <w:pPr>
              <w:spacing w:after="0"/>
              <w:rPr>
                <w:sz w:val="14"/>
                <w:szCs w:val="14"/>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18,519</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1,269</w:t>
            </w:r>
          </w:p>
        </w:tc>
        <w:tc>
          <w:tcPr>
            <w:tcW w:w="280" w:type="dxa"/>
            <w:vAlign w:val="bottom"/>
            <w:shd w:val="clear" w:color="auto" w:fill="EEEEEE"/>
          </w:tcPr>
          <w:p>
            <w:pPr>
              <w:spacing w:after="0"/>
              <w:rPr>
                <w:sz w:val="14"/>
                <w:szCs w:val="14"/>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15,626</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1,784</w:t>
            </w:r>
          </w:p>
        </w:tc>
        <w:tc>
          <w:tcPr>
            <w:tcW w:w="2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22,725</w:t>
            </w: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720" w:type="dxa"/>
            <w:vAlign w:val="bottom"/>
            <w:gridSpan w:val="2"/>
            <w:shd w:val="clear" w:color="auto" w:fill="EEEEEE"/>
          </w:tcPr>
          <w:p>
            <w:pPr>
              <w:spacing w:after="0" w:line="130" w:lineRule="exact"/>
              <w:rPr>
                <w:sz w:val="20"/>
                <w:szCs w:val="20"/>
                <w:color w:val="auto"/>
              </w:rPr>
            </w:pPr>
            <w:r>
              <w:rPr>
                <w:rFonts w:ascii="Arial" w:cs="Arial" w:eastAsia="Arial" w:hAnsi="Arial"/>
                <w:sz w:val="14"/>
                <w:szCs w:val="14"/>
                <w:color w:val="auto"/>
              </w:rPr>
              <w:t>Contracts with two or more extensions,</w:t>
            </w:r>
          </w:p>
        </w:tc>
        <w:tc>
          <w:tcPr>
            <w:tcW w:w="118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9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11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720" w:type="dxa"/>
            <w:vAlign w:val="bottom"/>
            <w:gridSpan w:val="2"/>
            <w:shd w:val="clear" w:color="auto" w:fill="EEEEEE"/>
          </w:tcPr>
          <w:p>
            <w:pPr>
              <w:ind w:left="180"/>
              <w:spacing w:after="0"/>
              <w:rPr>
                <w:sz w:val="20"/>
                <w:szCs w:val="20"/>
                <w:color w:val="auto"/>
              </w:rPr>
            </w:pPr>
            <w:r>
              <w:rPr>
                <w:rFonts w:ascii="Arial" w:cs="Arial" w:eastAsia="Arial" w:hAnsi="Arial"/>
                <w:sz w:val="14"/>
                <w:szCs w:val="14"/>
                <w:color w:val="auto"/>
              </w:rPr>
              <w:t>non-accrual (4)</w:t>
            </w:r>
          </w:p>
        </w:tc>
        <w:tc>
          <w:tcPr>
            <w:tcW w:w="1520" w:type="dxa"/>
            <w:vAlign w:val="bottom"/>
            <w:gridSpan w:val="2"/>
            <w:shd w:val="clear" w:color="auto" w:fill="EEEEEE"/>
          </w:tcPr>
          <w:p>
            <w:pPr>
              <w:jc w:val="right"/>
              <w:ind w:right="340"/>
              <w:spacing w:after="0"/>
              <w:rPr>
                <w:sz w:val="20"/>
                <w:szCs w:val="20"/>
                <w:color w:val="auto"/>
              </w:rPr>
            </w:pPr>
            <w:r>
              <w:rPr>
                <w:rFonts w:ascii="Arial" w:cs="Arial" w:eastAsia="Arial" w:hAnsi="Arial"/>
                <w:sz w:val="14"/>
                <w:szCs w:val="14"/>
                <w:color w:val="auto"/>
              </w:rPr>
              <w:t>1,463</w:t>
            </w:r>
          </w:p>
        </w:tc>
        <w:tc>
          <w:tcPr>
            <w:tcW w:w="240" w:type="dxa"/>
            <w:vAlign w:val="bottom"/>
            <w:shd w:val="clear" w:color="auto" w:fill="EEEEEE"/>
          </w:tcPr>
          <w:p>
            <w:pPr>
              <w:spacing w:after="0"/>
              <w:rPr>
                <w:sz w:val="15"/>
                <w:szCs w:val="15"/>
                <w:color w:val="auto"/>
              </w:rPr>
            </w:pPr>
          </w:p>
        </w:tc>
        <w:tc>
          <w:tcPr>
            <w:tcW w:w="1280" w:type="dxa"/>
            <w:vAlign w:val="bottom"/>
            <w:gridSpan w:val="2"/>
            <w:shd w:val="clear" w:color="auto" w:fill="EEEEEE"/>
          </w:tcPr>
          <w:p>
            <w:pPr>
              <w:jc w:val="right"/>
              <w:ind w:right="360"/>
              <w:spacing w:after="0"/>
              <w:rPr>
                <w:sz w:val="20"/>
                <w:szCs w:val="20"/>
                <w:color w:val="auto"/>
              </w:rPr>
            </w:pPr>
            <w:r>
              <w:rPr>
                <w:rFonts w:ascii="Arial" w:cs="Arial" w:eastAsia="Arial" w:hAnsi="Arial"/>
                <w:sz w:val="14"/>
                <w:szCs w:val="14"/>
                <w:color w:val="auto"/>
              </w:rPr>
              <w:t>18,808</w:t>
            </w:r>
          </w:p>
        </w:tc>
        <w:tc>
          <w:tcPr>
            <w:tcW w:w="1160" w:type="dxa"/>
            <w:vAlign w:val="bottom"/>
            <w:shd w:val="clear" w:color="auto" w:fill="EEEEEE"/>
          </w:tcPr>
          <w:p>
            <w:pPr>
              <w:jc w:val="right"/>
              <w:spacing w:after="0"/>
              <w:rPr>
                <w:sz w:val="20"/>
                <w:szCs w:val="20"/>
                <w:color w:val="auto"/>
              </w:rPr>
            </w:pPr>
            <w:r>
              <w:rPr>
                <w:rFonts w:ascii="Arial" w:cs="Arial" w:eastAsia="Arial" w:hAnsi="Arial"/>
                <w:sz w:val="14"/>
                <w:szCs w:val="14"/>
                <w:color w:val="auto"/>
              </w:rPr>
              <w:t>749</w:t>
            </w:r>
          </w:p>
        </w:tc>
        <w:tc>
          <w:tcPr>
            <w:tcW w:w="32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118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9,116</w:t>
            </w:r>
          </w:p>
        </w:tc>
        <w:tc>
          <w:tcPr>
            <w:tcW w:w="1460" w:type="dxa"/>
            <w:vAlign w:val="bottom"/>
            <w:gridSpan w:val="2"/>
            <w:shd w:val="clear" w:color="auto" w:fill="EEEEEE"/>
          </w:tcPr>
          <w:p>
            <w:pPr>
              <w:jc w:val="right"/>
              <w:ind w:right="320"/>
              <w:spacing w:after="0"/>
              <w:rPr>
                <w:sz w:val="20"/>
                <w:szCs w:val="20"/>
                <w:color w:val="auto"/>
              </w:rPr>
            </w:pPr>
            <w:r>
              <w:rPr>
                <w:rFonts w:ascii="Arial" w:cs="Arial" w:eastAsia="Arial" w:hAnsi="Arial"/>
                <w:sz w:val="14"/>
                <w:szCs w:val="14"/>
                <w:color w:val="auto"/>
              </w:rPr>
              <w:t>1,444</w:t>
            </w:r>
          </w:p>
        </w:tc>
        <w:tc>
          <w:tcPr>
            <w:tcW w:w="20" w:type="dxa"/>
            <w:vAlign w:val="bottom"/>
            <w:shd w:val="clear" w:color="auto" w:fill="EEEEEE"/>
          </w:tcPr>
          <w:p>
            <w:pPr>
              <w:spacing w:after="0"/>
              <w:rPr>
                <w:sz w:val="15"/>
                <w:szCs w:val="15"/>
                <w:color w:val="auto"/>
              </w:rPr>
            </w:pPr>
          </w:p>
        </w:tc>
        <w:tc>
          <w:tcPr>
            <w:tcW w:w="180" w:type="dxa"/>
            <w:vAlign w:val="bottom"/>
            <w:shd w:val="clear" w:color="auto" w:fill="EEEEEE"/>
          </w:tcPr>
          <w:p>
            <w:pPr>
              <w:spacing w:after="0"/>
              <w:rPr>
                <w:sz w:val="15"/>
                <w:szCs w:val="15"/>
                <w:color w:val="auto"/>
              </w:rPr>
            </w:pPr>
          </w:p>
        </w:tc>
        <w:tc>
          <w:tcPr>
            <w:tcW w:w="960" w:type="dxa"/>
            <w:vAlign w:val="bottom"/>
            <w:gridSpan w:val="2"/>
            <w:shd w:val="clear" w:color="auto" w:fill="EEEEEE"/>
          </w:tcPr>
          <w:p>
            <w:pPr>
              <w:jc w:val="right"/>
              <w:ind w:right="20"/>
              <w:spacing w:after="0"/>
              <w:rPr>
                <w:sz w:val="20"/>
                <w:szCs w:val="20"/>
                <w:color w:val="auto"/>
              </w:rPr>
            </w:pPr>
            <w:r>
              <w:rPr>
                <w:rFonts w:ascii="Arial" w:cs="Arial" w:eastAsia="Arial" w:hAnsi="Arial"/>
                <w:sz w:val="14"/>
                <w:szCs w:val="14"/>
                <w:color w:val="auto"/>
              </w:rPr>
              <w:t>18,527</w:t>
            </w:r>
          </w:p>
        </w:tc>
        <w:tc>
          <w:tcPr>
            <w:tcW w:w="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2,926</w:t>
            </w: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37,327</w:t>
            </w:r>
          </w:p>
        </w:tc>
        <w:tc>
          <w:tcPr>
            <w:tcW w:w="360" w:type="dxa"/>
            <w:vAlign w:val="bottom"/>
          </w:tcPr>
          <w:p>
            <w:pPr>
              <w:spacing w:after="0"/>
              <w:rPr>
                <w:sz w:val="12"/>
                <w:szCs w:val="12"/>
                <w:color w:val="auto"/>
              </w:rPr>
            </w:pPr>
          </w:p>
        </w:tc>
        <w:tc>
          <w:tcPr>
            <w:tcW w:w="11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2,018</w:t>
            </w:r>
          </w:p>
        </w:tc>
        <w:tc>
          <w:tcPr>
            <w:tcW w:w="3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24,742</w:t>
            </w:r>
          </w:p>
        </w:tc>
        <w:tc>
          <w:tcPr>
            <w:tcW w:w="320" w:type="dxa"/>
            <w:vAlign w:val="bottom"/>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3,228</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41,252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00" w:type="dxa"/>
            <w:vAlign w:val="bottom"/>
            <w:shd w:val="clear" w:color="auto" w:fill="EEEEEE"/>
          </w:tcPr>
          <w:p>
            <w:pPr>
              <w:spacing w:after="0"/>
              <w:rPr>
                <w:sz w:val="14"/>
                <w:szCs w:val="14"/>
                <w:color w:val="auto"/>
              </w:rPr>
            </w:pPr>
          </w:p>
        </w:tc>
        <w:tc>
          <w:tcPr>
            <w:tcW w:w="220" w:type="dxa"/>
            <w:vAlign w:val="bottom"/>
            <w:shd w:val="clear" w:color="auto" w:fill="EEEEEE"/>
          </w:tcPr>
          <w:p>
            <w:pPr>
              <w:spacing w:after="0"/>
              <w:rPr>
                <w:sz w:val="14"/>
                <w:szCs w:val="14"/>
                <w:color w:val="auto"/>
              </w:rPr>
            </w:pPr>
          </w:p>
        </w:tc>
        <w:tc>
          <w:tcPr>
            <w:tcW w:w="1180" w:type="dxa"/>
            <w:vAlign w:val="bottom"/>
            <w:tcBorders>
              <w:bottom w:val="single" w:sz="8" w:color="auto"/>
            </w:tcBorders>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240" w:type="dxa"/>
            <w:vAlign w:val="bottom"/>
            <w:tcBorders>
              <w:bottom w:val="single" w:sz="8" w:color="auto"/>
            </w:tcBorders>
            <w:shd w:val="clear" w:color="auto" w:fill="EEEEEE"/>
          </w:tcPr>
          <w:p>
            <w:pPr>
              <w:spacing w:after="0"/>
              <w:rPr>
                <w:sz w:val="14"/>
                <w:szCs w:val="14"/>
                <w:color w:val="auto"/>
              </w:rPr>
            </w:pPr>
          </w:p>
        </w:tc>
        <w:tc>
          <w:tcPr>
            <w:tcW w:w="920" w:type="dxa"/>
            <w:vAlign w:val="bottom"/>
            <w:tcBorders>
              <w:bottom w:val="single" w:sz="8" w:color="auto"/>
            </w:tcBorders>
            <w:shd w:val="clear" w:color="auto" w:fill="EEEEEE"/>
          </w:tcPr>
          <w:p>
            <w:pPr>
              <w:spacing w:after="0"/>
              <w:rPr>
                <w:sz w:val="14"/>
                <w:szCs w:val="14"/>
                <w:color w:val="auto"/>
              </w:rPr>
            </w:pPr>
          </w:p>
        </w:tc>
        <w:tc>
          <w:tcPr>
            <w:tcW w:w="360" w:type="dxa"/>
            <w:vAlign w:val="bottom"/>
            <w:shd w:val="clear" w:color="auto" w:fill="EEEEEE"/>
          </w:tcPr>
          <w:p>
            <w:pPr>
              <w:spacing w:after="0"/>
              <w:rPr>
                <w:sz w:val="14"/>
                <w:szCs w:val="14"/>
                <w:color w:val="auto"/>
              </w:rPr>
            </w:pPr>
          </w:p>
        </w:tc>
        <w:tc>
          <w:tcPr>
            <w:tcW w:w="1160" w:type="dxa"/>
            <w:vAlign w:val="bottom"/>
            <w:tcBorders>
              <w:bottom w:val="single" w:sz="8" w:color="auto"/>
            </w:tcBorders>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280" w:type="dxa"/>
            <w:vAlign w:val="bottom"/>
            <w:tcBorders>
              <w:bottom w:val="single" w:sz="8" w:color="auto"/>
            </w:tcBorders>
            <w:shd w:val="clear" w:color="auto" w:fill="EEEEEE"/>
          </w:tcPr>
          <w:p>
            <w:pPr>
              <w:spacing w:after="0"/>
              <w:rPr>
                <w:sz w:val="14"/>
                <w:szCs w:val="14"/>
                <w:color w:val="auto"/>
              </w:rPr>
            </w:pPr>
          </w:p>
        </w:tc>
        <w:tc>
          <w:tcPr>
            <w:tcW w:w="860" w:type="dxa"/>
            <w:vAlign w:val="bottom"/>
            <w:tcBorders>
              <w:bottom w:val="single" w:sz="8" w:color="auto"/>
            </w:tcBorders>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1140" w:type="dxa"/>
            <w:vAlign w:val="bottom"/>
            <w:tcBorders>
              <w:bottom w:val="single" w:sz="8" w:color="auto"/>
            </w:tcBorders>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180" w:type="dxa"/>
            <w:vAlign w:val="bottom"/>
            <w:tcBorders>
              <w:bottom w:val="single" w:sz="8" w:color="auto"/>
            </w:tcBorders>
            <w:shd w:val="clear" w:color="auto" w:fill="EEEEEE"/>
          </w:tcPr>
          <w:p>
            <w:pPr>
              <w:spacing w:after="0"/>
              <w:rPr>
                <w:sz w:val="14"/>
                <w:szCs w:val="14"/>
                <w:color w:val="auto"/>
              </w:rPr>
            </w:pPr>
          </w:p>
        </w:tc>
        <w:tc>
          <w:tcPr>
            <w:tcW w:w="940" w:type="dxa"/>
            <w:vAlign w:val="bottom"/>
            <w:tcBorders>
              <w:bottom w:val="single" w:sz="8" w:color="auto"/>
            </w:tcBorders>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20" w:type="dxa"/>
            <w:vAlign w:val="bottom"/>
            <w:gridSpan w:val="2"/>
          </w:tcPr>
          <w:p>
            <w:pPr>
              <w:spacing w:after="0" w:line="155" w:lineRule="exact"/>
              <w:rPr>
                <w:sz w:val="20"/>
                <w:szCs w:val="20"/>
                <w:color w:val="auto"/>
              </w:rPr>
            </w:pPr>
            <w:r>
              <w:rPr>
                <w:rFonts w:ascii="Arial" w:cs="Arial" w:eastAsia="Arial" w:hAnsi="Arial"/>
                <w:sz w:val="14"/>
                <w:szCs w:val="14"/>
                <w:color w:val="auto"/>
              </w:rPr>
              <w:t>Total contracts with extensions</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53,257</w:t>
            </w:r>
          </w:p>
        </w:tc>
        <w:tc>
          <w:tcPr>
            <w:tcW w:w="34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715,226</w:t>
            </w:r>
          </w:p>
        </w:tc>
        <w:tc>
          <w:tcPr>
            <w:tcW w:w="360" w:type="dxa"/>
            <w:vAlign w:val="bottom"/>
          </w:tcPr>
          <w:p>
            <w:pPr>
              <w:spacing w:after="0"/>
              <w:rPr>
                <w:sz w:val="13"/>
                <w:szCs w:val="13"/>
                <w:color w:val="auto"/>
              </w:rPr>
            </w:pPr>
          </w:p>
        </w:tc>
        <w:tc>
          <w:tcPr>
            <w:tcW w:w="1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35,956</w:t>
            </w:r>
          </w:p>
        </w:tc>
        <w:tc>
          <w:tcPr>
            <w:tcW w:w="320" w:type="dxa"/>
            <w:vAlign w:val="bottom"/>
          </w:tcPr>
          <w:p>
            <w:pPr>
              <w:spacing w:after="0"/>
              <w:rPr>
                <w:sz w:val="13"/>
                <w:szCs w:val="13"/>
                <w:color w:val="auto"/>
              </w:rPr>
            </w:pPr>
          </w:p>
        </w:tc>
        <w:tc>
          <w:tcPr>
            <w:tcW w:w="28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471,922</w:t>
            </w:r>
          </w:p>
        </w:tc>
        <w:tc>
          <w:tcPr>
            <w:tcW w:w="320" w:type="dxa"/>
            <w:vAlign w:val="bottom"/>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46,548</w:t>
            </w: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621,765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-154940</wp:posOffset>
            </wp:positionV>
            <wp:extent cx="5436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36870" cy="8890"/>
                    </a:xfrm>
                    <a:prstGeom prst="rect">
                      <a:avLst/>
                    </a:prstGeom>
                    <a:noFill/>
                  </pic:spPr>
                </pic:pic>
              </a:graphicData>
            </a:graphic>
          </wp:anchor>
        </w:drawing>
      </w:r>
    </w:p>
    <w:p>
      <w:pPr>
        <w:jc w:val="both"/>
        <w:ind w:firstLine="8"/>
        <w:spacing w:after="0" w:line="250" w:lineRule="auto"/>
        <w:tabs>
          <w:tab w:leader="none" w:pos="278"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amount remaining to be repaid on each automobile contract, including, for pre-computed automobile contracts, any unearned interest. The information in the table represents the gross principal amount of all automobile contracts we have purchased, including automobile contracts subsequently sold in securitization transactions that we continue to service. The table does not include certain contracts we have serviced for third parties on which we earn servicing fees only and have no credit risk.</w:t>
      </w:r>
    </w:p>
    <w:p>
      <w:pPr>
        <w:jc w:val="both"/>
        <w:ind w:firstLine="8"/>
        <w:spacing w:after="0" w:line="250" w:lineRule="auto"/>
        <w:tabs>
          <w:tab w:leader="none" w:pos="272"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We consider an automobile contract delinquent when an obligor fails to make at least 90% of a contractually due payment by the following due date, which date may have been extended within limits specified in the Servicing Agreements. The period of delinquency is based on the number of days payments are contractually past due. Automobile contracts less than 31 days delinquent are not included. The delinquency aging categories shown in the tables reflect the effect of extensions.</w:t>
      </w:r>
    </w:p>
    <w:p>
      <w:pPr>
        <w:spacing w:after="0" w:line="1"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Amount in repossession represents financed vehicles that have been repossessed but not yet liquidated.</w:t>
      </w:r>
    </w:p>
    <w:p>
      <w:pPr>
        <w:spacing w:after="0" w:line="9" w:lineRule="exact"/>
        <w:rPr>
          <w:rFonts w:ascii="Arial" w:cs="Arial" w:eastAsia="Arial" w:hAnsi="Arial"/>
          <w:sz w:val="18"/>
          <w:szCs w:val="18"/>
          <w:i w:val="1"/>
          <w:iCs w:val="1"/>
          <w:color w:val="auto"/>
        </w:rPr>
      </w:pPr>
    </w:p>
    <w:p>
      <w:pPr>
        <w:ind w:left="260" w:hanging="252"/>
        <w:spacing w:after="0"/>
        <w:tabs>
          <w:tab w:leader="none" w:pos="26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Accounts past due more than 90 days are on non-accrual.</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Net Charge-Off Experience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Total Owned Portfolio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tcPr>
          <w:p>
            <w:pPr>
              <w:jc w:val="right"/>
              <w:ind w:right="530"/>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9"/>
                <w:szCs w:val="19"/>
                <w:color w:val="auto"/>
              </w:rPr>
            </w:pPr>
          </w:p>
        </w:tc>
        <w:tc>
          <w:tcPr>
            <w:tcW w:w="1500" w:type="dxa"/>
            <w:vAlign w:val="bottom"/>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32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2016</w:t>
            </w:r>
          </w:p>
        </w:tc>
        <w:tc>
          <w:tcPr>
            <w:tcW w:w="5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r>
      <w:tr>
        <w:trPr>
          <w:trHeight w:val="210"/>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(Dollars in thousands)</w:t>
            </w: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Average servicing portfolio outstanding</w:t>
            </w:r>
          </w:p>
        </w:tc>
        <w:tc>
          <w:tcPr>
            <w:tcW w:w="4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2,157,554</w:t>
            </w:r>
          </w:p>
        </w:tc>
        <w:tc>
          <w:tcPr>
            <w:tcW w:w="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w:t>
            </w:r>
          </w:p>
        </w:tc>
        <w:tc>
          <w:tcPr>
            <w:tcW w:w="1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1,743,958</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1,847,764</w:t>
            </w:r>
          </w:p>
        </w:tc>
      </w:tr>
      <w:tr>
        <w:trPr>
          <w:trHeight w:val="216"/>
        </w:trPr>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ind w:right="50"/>
              <w:spacing w:after="0"/>
              <w:rPr>
                <w:sz w:val="20"/>
                <w:szCs w:val="20"/>
                <w:color w:val="auto"/>
              </w:rPr>
            </w:pPr>
            <w:r>
              <w:rPr>
                <w:rFonts w:ascii="Arial" w:cs="Arial" w:eastAsia="Arial" w:hAnsi="Arial"/>
                <w:sz w:val="18"/>
                <w:szCs w:val="18"/>
                <w:color w:val="FFFFFF"/>
              </w:rPr>
              <w:t>$</w:t>
            </w: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w w:val="93"/>
              </w:rPr>
              <w:t>Annualized net charge-offs as a percentage of average servicing portfolio (2)</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rPr>
              <w:t>7.2%</w:t>
            </w:r>
          </w:p>
        </w:tc>
        <w:tc>
          <w:tcPr>
            <w:tcW w:w="50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rPr>
              <w:t>6.6%</w:t>
            </w:r>
          </w:p>
        </w:tc>
        <w:tc>
          <w:tcPr>
            <w:tcW w:w="32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6.4%</w:t>
            </w:r>
          </w:p>
        </w:tc>
      </w:tr>
      <w:tr>
        <w:trPr>
          <w:trHeight w:val="218"/>
        </w:trPr>
        <w:tc>
          <w:tcPr>
            <w:tcW w:w="5700" w:type="dxa"/>
            <w:vAlign w:val="bottom"/>
          </w:tcPr>
          <w:p>
            <w:pPr>
              <w:spacing w:after="0"/>
              <w:rPr>
                <w:sz w:val="20"/>
                <w:szCs w:val="20"/>
                <w:color w:val="auto"/>
              </w:rPr>
            </w:pPr>
            <w:r>
              <w:rPr>
                <w:rFonts w:ascii="Arial" w:cs="Arial" w:eastAsia="Arial" w:hAnsi="Arial"/>
                <w:sz w:val="18"/>
                <w:szCs w:val="18"/>
                <w:i w:val="1"/>
                <w:iCs w:val="1"/>
                <w:color w:val="auto"/>
              </w:rPr>
              <w:t>_________________________</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ind w:firstLine="8"/>
        <w:spacing w:after="0" w:line="249" w:lineRule="auto"/>
        <w:tabs>
          <w:tab w:leader="none" w:pos="278"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All amounts and percentages are based on the principal amount scheduled to be paid on each automobile contract, net of unearned income on pre-computed automobile contracts.</w:t>
      </w:r>
    </w:p>
    <w:p>
      <w:pPr>
        <w:jc w:val="both"/>
        <w:ind w:firstLine="8"/>
        <w:spacing w:after="0" w:line="273" w:lineRule="auto"/>
        <w:tabs>
          <w:tab w:leader="none" w:pos="265" w:val="left"/>
        </w:tabs>
        <w:numPr>
          <w:ilvl w:val="0"/>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Net charge-offs include the remaining principal balance, after the application of the net proceeds from the liquidation of the vehicle (excluding accrued and unpaid interest) and amounts collected subsequent to the date of charge-off, including some recoveries which have been classified as other income in the accompanying interim consolidated financial statements. June 30, 2016 and June 30, 2015 percentage represents six months ended June 30, 2016 and June 30, 2015 annualized. December 31, 2015 represents 12 months ended December 31,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certain circumstances we will grant obligors one-month payment extensions to assist them with temporary cash flow problems. In general, an obligor would not be entitled to more than two such extensions in any 12-month period and no more than six over the life of the contract. The only modification of terms is to advance the obligor’s next due date by one month and extend the maturity date of the receivable by one month. In some cases, a two-month extension may be granted. There are no other concessions such as a reduction in interest rate, forgiveness of principal or of accrued interest. Accordingly, we consider such extensions to be insignificant delays in payments rather than troubled debt restructurings.</w:t>
      </w:r>
    </w:p>
    <w:p>
      <w:pPr>
        <w:spacing w:after="0" w:line="17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basic question in deciding to grant an extension is whether or not we will (a) be delaying the inevitable repossession and liquidation or (b) risk losing the vehicle as a result of not being able to locate the obligor and vehicle. In both of those situations, the loss would likely be higher than if the vehicle had been repossessed without the extension. The benefits of granting an extension include minimizing current losses and delinquencies, minimizing lifetime losses, getting the obligor’s account current (or close to it) and building goodwill with the obligor so that he might prioritize us over other creditors on future payments. Our servicing staff are trained to identify when a past due obligor is facing a temporary problem that may be resolved with an extension. In most cases, the extension will be granted in conjunction with our receiving a past due payment (and where allowed by law, a nominal fee, applied to the loan as a partial payment) from the obligor, thereby indicating an additional monetary and psychological commitment to the contract on the obligor’s part.</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credit assessment for granting an extension is initially made by our collector, who bases the recommendation on the collector’s discussions with the obligor. In such assessments the collector will consider, among other things, the following factors: (1) the reason the obligor has fallen behind in payment;</w:t>
      </w:r>
    </w:p>
    <w:p>
      <w:pPr>
        <w:jc w:val="both"/>
        <w:ind w:firstLine="8"/>
        <w:spacing w:after="0" w:line="271" w:lineRule="auto"/>
        <w:tabs>
          <w:tab w:leader="none" w:pos="263"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or not the reason for the delinquency is temporary, and if it is, have conditions changed such that the obligor can begin making regular monthly payments again after the extension; (3) the obligor's past payment history, including past extensions if applicable; and (4) the obligor’s willingness to communicate and cooperate on resolving the delinquency. If the collector believes the obligor is a good candidate for an extension, he must obtain approval from his supervisor, who will review the same factors stated above prior to offering the extension to the obligor. After receiving an extension, an account remains subject to our normal policies and procedures for interest accrual, reporting delinquency and recognizing charge-offs.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0" w:name="page31"/>
    <w:bookmarkEnd w:id="30"/>
    <w:p>
      <w:pPr>
        <w:jc w:val="both"/>
        <w:ind w:firstLine="648"/>
        <w:spacing w:after="0" w:line="264" w:lineRule="auto"/>
        <w:rPr>
          <w:sz w:val="20"/>
          <w:szCs w:val="20"/>
          <w:color w:val="auto"/>
        </w:rPr>
      </w:pPr>
      <w:r>
        <w:rPr>
          <w:rFonts w:ascii="Arial" w:cs="Arial" w:eastAsia="Arial" w:hAnsi="Arial"/>
          <w:sz w:val="18"/>
          <w:szCs w:val="18"/>
          <w:color w:val="auto"/>
        </w:rPr>
        <w:t>We believe that a prudent extension program is an integral component to mitigating losses in our portfolio of sub-prime automobile receivables. The table below summarizes the status, as of June 30, 2016, for accounts that received extensions from 2008 through 2014 (2015 extension data are not included at this time due to insufficient passage of time for meaningful evaluation of results):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Charged</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Charged</w:t>
            </w: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Avg</w:t>
            </w: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Off &lt;= 6</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8"/>
              </w:rPr>
              <w:t>Off &lt;= 6</w:t>
            </w: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Months</w:t>
            </w: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Active or Paid</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 Active or</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Charged Off &gt; 6</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 Charged Off &gt;</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Months</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Months</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to Charge</w:t>
            </w:r>
          </w:p>
        </w:tc>
      </w:tr>
      <w:tr>
        <w:trPr>
          <w:trHeight w:val="216"/>
        </w:trPr>
        <w:tc>
          <w:tcPr>
            <w:tcW w:w="15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Period of</w:t>
            </w:r>
          </w:p>
        </w:tc>
        <w:tc>
          <w:tcPr>
            <w:tcW w:w="154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 Extensions</w:t>
            </w:r>
          </w:p>
        </w:tc>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Off at June 30,</w:t>
            </w: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Paid Off at June</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Months After</w:t>
            </w: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6 Months After</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After</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After</w:t>
            </w: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Off Post</w:t>
            </w:r>
          </w:p>
        </w:tc>
      </w:tr>
      <w:tr>
        <w:trPr>
          <w:trHeight w:val="230"/>
        </w:trPr>
        <w:tc>
          <w:tcPr>
            <w:tcW w:w="15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Extension</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Granted</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6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30, 2016</w:t>
            </w:r>
          </w:p>
        </w:tc>
        <w:tc>
          <w:tcPr>
            <w:tcW w:w="260" w:type="dxa"/>
            <w:vAlign w:val="bottom"/>
          </w:tcPr>
          <w:p>
            <w:pPr>
              <w:spacing w:after="0"/>
              <w:rPr>
                <w:sz w:val="20"/>
                <w:szCs w:val="20"/>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Extension</w:t>
            </w:r>
          </w:p>
        </w:tc>
        <w:tc>
          <w:tcPr>
            <w:tcW w:w="14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Extension</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Extension</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Extension</w:t>
            </w:r>
          </w:p>
        </w:tc>
        <w:tc>
          <w:tcPr>
            <w:tcW w:w="78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Extension</w:t>
            </w:r>
          </w:p>
        </w:tc>
      </w:tr>
      <w:tr>
        <w:trPr>
          <w:trHeight w:val="210"/>
        </w:trPr>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4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2008</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35,588</w:t>
            </w: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10,716</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30.1%</w:t>
            </w: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20,053</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56.3%</w:t>
            </w: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4,819</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19</w:t>
            </w:r>
          </w:p>
        </w:tc>
        <w:tc>
          <w:tcPr>
            <w:tcW w:w="60" w:type="dxa"/>
            <w:vAlign w:val="bottom"/>
            <w:shd w:val="clear" w:color="auto" w:fill="EEEEEE"/>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4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2009</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32,226</w:t>
            </w: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10,284</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31.9%</w:t>
            </w: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16,159</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50.1%</w:t>
            </w: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5,783</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EEEEEE"/>
          </w:tcPr>
          <w:p>
            <w:pPr>
              <w:spacing w:after="0"/>
              <w:rPr>
                <w:sz w:val="18"/>
                <w:szCs w:val="18"/>
                <w:color w:val="auto"/>
              </w:rPr>
            </w:pPr>
          </w:p>
        </w:tc>
        <w:tc>
          <w:tcPr>
            <w:tcW w:w="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17</w:t>
            </w:r>
          </w:p>
        </w:tc>
        <w:tc>
          <w:tcPr>
            <w:tcW w:w="60" w:type="dxa"/>
            <w:vAlign w:val="bottom"/>
            <w:shd w:val="clear" w:color="auto" w:fill="EEEEEE"/>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4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2010</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26,167</w:t>
            </w: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12,180</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46.5%</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11,988</w:t>
            </w:r>
          </w:p>
        </w:tc>
        <w:tc>
          <w:tcPr>
            <w:tcW w:w="2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45.8%</w:t>
            </w: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1,999</w:t>
            </w: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7.6%</w:t>
            </w:r>
          </w:p>
        </w:tc>
        <w:tc>
          <w:tcPr>
            <w:tcW w:w="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19</w:t>
            </w:r>
          </w:p>
        </w:tc>
        <w:tc>
          <w:tcPr>
            <w:tcW w:w="60" w:type="dxa"/>
            <w:vAlign w:val="bottom"/>
            <w:shd w:val="clear" w:color="auto" w:fill="EEEEEE"/>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4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2011</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18,786</w:t>
            </w: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11,017</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58.6%</w:t>
            </w: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6,837</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36.4%</w:t>
            </w: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932</w:t>
            </w: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5.0%</w:t>
            </w:r>
          </w:p>
        </w:tc>
        <w:tc>
          <w:tcPr>
            <w:tcW w:w="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19</w:t>
            </w:r>
          </w:p>
        </w:tc>
        <w:tc>
          <w:tcPr>
            <w:tcW w:w="60" w:type="dxa"/>
            <w:vAlign w:val="bottom"/>
            <w:shd w:val="clear" w:color="auto" w:fill="EEEEEE"/>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4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2012</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18,783</w:t>
            </w: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11,637</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62.0%</w:t>
            </w: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6,350</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33.8%</w:t>
            </w: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796</w:t>
            </w: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w:t>
            </w:r>
          </w:p>
        </w:tc>
        <w:tc>
          <w:tcPr>
            <w:tcW w:w="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16</w:t>
            </w:r>
          </w:p>
        </w:tc>
        <w:tc>
          <w:tcPr>
            <w:tcW w:w="60" w:type="dxa"/>
            <w:vAlign w:val="bottom"/>
            <w:shd w:val="clear" w:color="auto" w:fill="EEEEEE"/>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4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2013</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23,398</w:t>
            </w: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13,636</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58.3%</w:t>
            </w: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8,786</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37.6%</w:t>
            </w: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976</w:t>
            </w: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w:t>
            </w:r>
          </w:p>
        </w:tc>
        <w:tc>
          <w:tcPr>
            <w:tcW w:w="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17</w:t>
            </w:r>
          </w:p>
        </w:tc>
        <w:tc>
          <w:tcPr>
            <w:tcW w:w="60" w:type="dxa"/>
            <w:vAlign w:val="bottom"/>
            <w:shd w:val="clear" w:color="auto" w:fill="EEEEEE"/>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24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2014</w:t>
            </w:r>
          </w:p>
        </w:tc>
        <w:tc>
          <w:tcPr>
            <w:tcW w:w="260" w:type="dxa"/>
            <w:vAlign w:val="bottom"/>
            <w:shd w:val="clear" w:color="auto" w:fill="EEEEEE"/>
          </w:tcPr>
          <w:p>
            <w:pPr>
              <w:spacing w:after="0"/>
              <w:rPr>
                <w:sz w:val="18"/>
                <w:szCs w:val="18"/>
                <w:color w:val="auto"/>
              </w:rPr>
            </w:pPr>
          </w:p>
        </w:tc>
        <w:tc>
          <w:tcPr>
            <w:tcW w:w="15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25,773</w:t>
            </w:r>
          </w:p>
        </w:tc>
        <w:tc>
          <w:tcPr>
            <w:tcW w:w="150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16,874</w:t>
            </w:r>
          </w:p>
        </w:tc>
        <w:tc>
          <w:tcPr>
            <w:tcW w:w="14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65.5%</w:t>
            </w:r>
          </w:p>
        </w:tc>
        <w:tc>
          <w:tcPr>
            <w:tcW w:w="156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8,073</w:t>
            </w:r>
          </w:p>
        </w:tc>
        <w:tc>
          <w:tcPr>
            <w:tcW w:w="14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31.3%</w:t>
            </w:r>
          </w:p>
        </w:tc>
        <w:tc>
          <w:tcPr>
            <w:tcW w:w="8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826</w:t>
            </w:r>
          </w:p>
        </w:tc>
        <w:tc>
          <w:tcPr>
            <w:tcW w:w="8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3.2%</w:t>
            </w:r>
          </w:p>
        </w:tc>
        <w:tc>
          <w:tcPr>
            <w:tcW w:w="72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rPr>
              <w:t>14</w:t>
            </w:r>
          </w:p>
        </w:tc>
        <w:tc>
          <w:tcPr>
            <w:tcW w:w="60" w:type="dxa"/>
            <w:vAlign w:val="bottom"/>
            <w:shd w:val="clear" w:color="auto" w:fill="EEEEEE"/>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 excludes extensions on portfolios serviced for third parties.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view these results as a confirmation of the effectiveness of our extension program. For example, of the accounts granted extensions in 2011, 58.6% were either paid in full or active and performing at June 30, 2016. Each of these successful accounts represent continued payments of interest and principal (including payment in full in many cases), where without the extension we likely would have incurred a substantial loss and no interest revenue subsequent to the extension.</w:t>
      </w:r>
    </w:p>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extension accounts that ultimately charge off, we consider any that charged off more than six months after the extension to be at least partially successful. For example, of the accounts granted extensions in 2011 that subsequently charged off, such charge offs occurred, on average, 19 months after the extension, indicating that even in the cases of an ultimate loss, the obligor serviced the account with additional payments of principal and interest.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40" w:type="dxa"/>
            <w:vAlign w:val="bottom"/>
            <w:gridSpan w:val="2"/>
          </w:tcPr>
          <w:p>
            <w:pPr>
              <w:jc w:val="right"/>
              <w:ind w:right="610"/>
              <w:spacing w:after="0"/>
              <w:rPr>
                <w:sz w:val="20"/>
                <w:szCs w:val="20"/>
                <w:color w:val="auto"/>
              </w:rPr>
            </w:pPr>
            <w:r>
              <w:rPr>
                <w:rFonts w:ascii="Arial" w:cs="Arial" w:eastAsia="Arial" w:hAnsi="Arial"/>
                <w:sz w:val="18"/>
                <w:szCs w:val="18"/>
                <w:color w:val="auto"/>
              </w:rPr>
              <w:t>Additional information about our extensions is provided in the tables below:</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2940" w:type="dxa"/>
            <w:vAlign w:val="bottom"/>
            <w:gridSpan w:val="4"/>
          </w:tcPr>
          <w:p>
            <w:pPr>
              <w:jc w:val="right"/>
              <w:ind w:right="180"/>
              <w:spacing w:after="0"/>
              <w:rPr>
                <w:sz w:val="20"/>
                <w:szCs w:val="20"/>
                <w:color w:val="auto"/>
              </w:rPr>
            </w:pPr>
            <w:r>
              <w:rPr>
                <w:rFonts w:ascii="Arial" w:cs="Arial" w:eastAsia="Arial" w:hAnsi="Arial"/>
                <w:sz w:val="18"/>
                <w:szCs w:val="18"/>
                <w:color w:val="auto"/>
              </w:rPr>
              <w:t>Six Months Ended June 30,</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23"/>
        </w:trPr>
        <w:tc>
          <w:tcPr>
            <w:tcW w:w="5860" w:type="dxa"/>
            <w:vAlign w:val="bottom"/>
            <w:gridSpan w:val="2"/>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9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extensions granted per month</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5,274</w:t>
            </w:r>
          </w:p>
        </w:tc>
        <w:tc>
          <w:tcPr>
            <w:tcW w:w="9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3,893</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4,443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number of outstanding accounts</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9"/>
              </w:rPr>
              <w:t>158,035</w:t>
            </w:r>
          </w:p>
        </w:tc>
        <w:tc>
          <w:tcPr>
            <w:tcW w:w="9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130,727</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137,306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Average monthly extensions as % of average outstandings</w:t>
            </w:r>
          </w:p>
        </w:tc>
        <w:tc>
          <w:tcPr>
            <w:tcW w:w="9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3.3%</w:t>
            </w:r>
          </w:p>
        </w:tc>
        <w:tc>
          <w:tcPr>
            <w:tcW w:w="9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3.0%</w:t>
            </w:r>
          </w:p>
        </w:tc>
        <w:tc>
          <w:tcPr>
            <w:tcW w:w="16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5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color w:val="auto"/>
        </w:rPr>
        <w:t>Table excludes portfolios originated and owned by third parties.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780" w:type="dxa"/>
            <w:vAlign w:val="bottom"/>
            <w:gridSpan w:val="6"/>
          </w:tcPr>
          <w:p>
            <w:pPr>
              <w:ind w:left="780"/>
              <w:spacing w:after="0"/>
              <w:rPr>
                <w:sz w:val="20"/>
                <w:szCs w:val="20"/>
                <w:color w:val="auto"/>
              </w:rPr>
            </w:pPr>
            <w:r>
              <w:rPr>
                <w:rFonts w:ascii="Arial" w:cs="Arial" w:eastAsia="Arial" w:hAnsi="Arial"/>
                <w:sz w:val="18"/>
                <w:szCs w:val="18"/>
                <w:color w:val="auto"/>
              </w:rPr>
              <w:t>June 30, 2016</w:t>
            </w:r>
          </w:p>
        </w:tc>
        <w:tc>
          <w:tcPr>
            <w:tcW w:w="2700" w:type="dxa"/>
            <w:vAlign w:val="bottom"/>
            <w:gridSpan w:val="6"/>
          </w:tcPr>
          <w:p>
            <w:pPr>
              <w:ind w:left="740"/>
              <w:spacing w:after="0"/>
              <w:rPr>
                <w:sz w:val="20"/>
                <w:szCs w:val="20"/>
                <w:color w:val="auto"/>
              </w:rPr>
            </w:pPr>
            <w:r>
              <w:rPr>
                <w:rFonts w:ascii="Arial" w:cs="Arial" w:eastAsia="Arial" w:hAnsi="Arial"/>
                <w:sz w:val="18"/>
                <w:szCs w:val="18"/>
                <w:color w:val="auto"/>
              </w:rPr>
              <w:t>June 30, 2015</w:t>
            </w:r>
          </w:p>
        </w:tc>
        <w:tc>
          <w:tcPr>
            <w:tcW w:w="2600" w:type="dxa"/>
            <w:vAlign w:val="bottom"/>
            <w:gridSpan w:val="6"/>
          </w:tcPr>
          <w:p>
            <w:pPr>
              <w:ind w:left="540"/>
              <w:spacing w:after="0"/>
              <w:rPr>
                <w:sz w:val="20"/>
                <w:szCs w:val="20"/>
                <w:color w:val="auto"/>
              </w:rPr>
            </w:pPr>
            <w:r>
              <w:rPr>
                <w:rFonts w:ascii="Arial" w:cs="Arial" w:eastAsia="Arial" w:hAnsi="Arial"/>
                <w:sz w:val="18"/>
                <w:szCs w:val="18"/>
                <w:color w:val="auto"/>
              </w:rPr>
              <w:t>December 31, 2015</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140"/>
              <w:spacing w:after="0" w:line="195" w:lineRule="exact"/>
              <w:rPr>
                <w:sz w:val="20"/>
                <w:szCs w:val="20"/>
                <w:color w:val="auto"/>
              </w:rPr>
            </w:pPr>
            <w:r>
              <w:rPr>
                <w:rFonts w:ascii="Arial" w:cs="Arial" w:eastAsia="Arial" w:hAnsi="Arial"/>
                <w:sz w:val="18"/>
                <w:szCs w:val="18"/>
                <w:color w:val="auto"/>
                <w:w w:val="92"/>
              </w:rPr>
              <w:t>Number of</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280"/>
              <w:spacing w:after="0" w:line="195" w:lineRule="exact"/>
              <w:rPr>
                <w:sz w:val="20"/>
                <w:szCs w:val="20"/>
                <w:color w:val="auto"/>
              </w:rPr>
            </w:pPr>
            <w:r>
              <w:rPr>
                <w:rFonts w:ascii="Arial" w:cs="Arial" w:eastAsia="Arial" w:hAnsi="Arial"/>
                <w:sz w:val="18"/>
                <w:szCs w:val="18"/>
                <w:color w:val="auto"/>
              </w:rPr>
              <w:t>Number of</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Borders>
              <w:top w:val="single" w:sz="8" w:color="auto"/>
            </w:tcBorders>
            <w:gridSpan w:val="2"/>
          </w:tcPr>
          <w:p>
            <w:pPr>
              <w:jc w:val="right"/>
              <w:ind w:right="280"/>
              <w:spacing w:after="0" w:line="195" w:lineRule="exact"/>
              <w:rPr>
                <w:sz w:val="20"/>
                <w:szCs w:val="20"/>
                <w:color w:val="auto"/>
              </w:rPr>
            </w:pPr>
            <w:r>
              <w:rPr>
                <w:rFonts w:ascii="Arial" w:cs="Arial" w:eastAsia="Arial" w:hAnsi="Arial"/>
                <w:sz w:val="18"/>
                <w:szCs w:val="18"/>
                <w:color w:val="auto"/>
              </w:rPr>
              <w:t>Number of</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Amount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Contracts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Amount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tcBorders>
              <w:top w:val="single" w:sz="8" w:color="auto"/>
            </w:tcBorders>
            <w:gridSpan w:val="5"/>
          </w:tcPr>
          <w:p>
            <w:pPr>
              <w:jc w:val="right"/>
              <w:ind w:right="370"/>
              <w:spacing w:after="0"/>
              <w:rPr>
                <w:sz w:val="20"/>
                <w:szCs w:val="20"/>
                <w:color w:val="auto"/>
              </w:rPr>
            </w:pPr>
            <w:r>
              <w:rPr>
                <w:rFonts w:ascii="Arial" w:cs="Arial" w:eastAsia="Arial" w:hAnsi="Arial"/>
                <w:sz w:val="18"/>
                <w:szCs w:val="18"/>
                <w:color w:val="auto"/>
              </w:rPr>
              <w:t>(Dollars in thousands)</w:t>
            </w:r>
          </w:p>
        </w:tc>
        <w:tc>
          <w:tcPr>
            <w:tcW w:w="2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one extension</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29,793</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404,497</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23,203</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308,251</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28,466</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384,064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Contracts with two extensions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13,942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187,305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115,898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three extensions</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6,267</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82,626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2,992</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38,365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4,567</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59,255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Contracts with four extensions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30,826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7,926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Contracts with five extensions</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693</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8,346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1,195</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Contracts with six extensions</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1,626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Borders>
              <w:top w:val="single" w:sz="8" w:color="EEEEEE"/>
              <w:bottom w:val="single" w:sz="8" w:color="EEEEEE"/>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53,257</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715,226</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35,956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471,922</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46,548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621,765</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Managed portfolio (excluding originated</w:t>
            </w:r>
          </w:p>
        </w:tc>
        <w:tc>
          <w:tcPr>
            <w:tcW w:w="11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EEEEEE"/>
          </w:tcPr>
          <w:p>
            <w:pPr>
              <w:spacing w:after="0"/>
              <w:rPr>
                <w:sz w:val="20"/>
                <w:szCs w:val="20"/>
                <w:color w:val="auto"/>
              </w:rPr>
            </w:pPr>
            <w:r>
              <w:rPr>
                <w:rFonts w:ascii="Arial" w:cs="Arial" w:eastAsia="Arial" w:hAnsi="Arial"/>
                <w:sz w:val="18"/>
                <w:szCs w:val="18"/>
                <w:color w:val="auto"/>
              </w:rPr>
              <w:t>and owned by 3rd parties)</w:t>
            </w:r>
          </w:p>
        </w:tc>
        <w:tc>
          <w:tcPr>
            <w:tcW w:w="12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164,392</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2,253,686</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135,892</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1,821,992</w:t>
            </w:r>
          </w:p>
        </w:tc>
        <w:tc>
          <w:tcPr>
            <w:tcW w:w="200" w:type="dxa"/>
            <w:vAlign w:val="bottom"/>
            <w:shd w:val="clear" w:color="auto" w:fill="EEEEEE"/>
          </w:tcPr>
          <w:p>
            <w:pPr>
              <w:spacing w:after="0"/>
              <w:rPr>
                <w:sz w:val="20"/>
                <w:szCs w:val="20"/>
                <w:color w:val="auto"/>
              </w:rPr>
            </w:pP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149,138</w:t>
            </w:r>
          </w:p>
        </w:tc>
        <w:tc>
          <w:tcPr>
            <w:tcW w:w="300" w:type="dxa"/>
            <w:vAlign w:val="bottom"/>
            <w:gridSpan w:val="2"/>
            <w:shd w:val="clear" w:color="auto" w:fill="EEEEEE"/>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2,031,099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Table excludes portfolios originated and owned by third parties.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Non-Accrual Receivables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It is not uncommon for our obligors to fall behind in their payments. However, with the diligent efforts of our Servicing staff and systems for managing our collection efforts, we regularly work with our customers to resolve delinquencies. Our staff are trained to employ a counseling approach to assist our customers with their cash flow management skills and help them to prioritize their payment obligations in order to avoid losing their vehicle to repossession. Through our experience, we have learned that once a customer becomes greater than 90 days past due, it is not likely that the delinquency will be resolved and will ultimately result in a charge-off. As a result, we do not recognize any interest income for contracts that are greater than 90 days past due.</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 contract exceeds the 90 days past due threshold at the end of one period, and then makes the necessary payments such that it becomes less than or equal to 90 days delinquent at the end of a subsequent period, it would be restored to full accrual status for our financial reporting purposes. At the time a contract is restored to full accrual in this manner, there can be no assurance that full repayment of interest and principal will ultimately be made. However, we monitor each obligor’s payment performance and are aware of the severity of his delinquency at any time. The fact that the delinquency has been reduced below the 90-day threshold is a positive indicator. Should the contract again exceed the 90-day delinquency level at the end of any reporting period, it would again be reflected as a non-accrual account.</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policy for placing a contract on non-accrual status is independent of our policy to grant an extension. In practice, it would be an uncommon circumstance where an extension was granted and the account remained in a non-accrual status, since the goal of the extension is to bring the contract current (or nearly current).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business requires substantial cash to support our purchases of automobile contracts and other operating activities. Our primary sources of cash have been cash flows from the proceeds from term securitization transactions and other sales of automobile contracts, amounts borrowed under various revolving credit facilities (also sometimes known as warehouse credit facilities), servicing fees on portfolios of automobile contracts previously sold in securitization transactions or serviced for third parties, customer payments of principal and interest on finance receivables, fees for origination of automobile contracts, and releases of cash from securitization transactions and their related spread accounts. Our primary uses of cash have been the purchases of automobile contracts, repayment of amounts borrowed under lines of credit, securitization transactions and otherwise, operating expenses such as employee, interest, occupancy expenses and other general and administrative expenses, the establishment of spread accounts and initial overcollateralization, if any, the increase of credit enhancement to required levels in securitization transactions, and income taxes. There can be no assurance that internally generated cash will be sufficient to meet our cash demands. The sufficiency of internally generated cash will depend on the performance of securitized pools (which determines the level of releases from those pools and their related spread accounts), the rate of expansion or contraction in our managed portfolio, and the terms upon which we are able to acquire and borrow against automobile contracts.</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2" w:name="page33"/>
    <w:bookmarkEnd w:id="32"/>
    <w:p>
      <w:pPr>
        <w:jc w:val="both"/>
        <w:ind w:firstLine="648"/>
        <w:spacing w:after="0" w:line="259" w:lineRule="auto"/>
        <w:rPr>
          <w:sz w:val="20"/>
          <w:szCs w:val="20"/>
          <w:color w:val="auto"/>
        </w:rPr>
      </w:pPr>
      <w:r>
        <w:rPr>
          <w:rFonts w:ascii="Arial" w:cs="Arial" w:eastAsia="Arial" w:hAnsi="Arial"/>
          <w:sz w:val="18"/>
          <w:szCs w:val="18"/>
          <w:color w:val="auto"/>
        </w:rPr>
        <w:t>Net cash provided by operating activities for the six-month period ended June 30, 2016 was $113.3 million compared to net cash provided by operating activities for the six-month period ended June 30, 2015 of $88.9 million. Cash provided by operating activities is significantly affected by our net income before provisions for credit losses. The increase is due primarily to the increase in the increase in provision for credit losses of $19.5 million and an increase in amortization of deferred financing costs of $692,000.</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used in investing activities for the six-month period ended June 30, 2016 was $312.7 million compared to net cash used in investing activities of $262.4 million in the prior year period. Cash provided by investing activities primarily results from principal payments and other proceeds received on finance receivables held for investment and increases in restricted cash. Cash used in investing activities generally relates to purchases of automobile contracts. Purchases of finance receivables held for investment were $631.4 million and $503.8 million during the first six months of 2016 and 2015, respectively.</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financing activities for the six months ended June 30, 2016 was $195.8 million compared to net cash provided by financing activities of $174.1 million in the prior year period. Cash provided by financing activities is primarily related to the issuance of securitization trust debt, reduced by the amount of repayment of securitization trust debt and net proceeds or repayments on our warehouse lines of credit and other debt. In the first six months of 2016, we issued $662.2 million in new securitization trust debt compared to $495.0 million in the same period of 2015. In addition, we repaid $424.2 million in securitization trust debt in the six months ended June 30, 2016 compared to repayments of securitization trust debt of $318.0 million in the prior year period. In the six months ended June 30, 2016, we had net repayments on warehouse lines of credit of $29.9 million, compared to net advances of $4.9 million in the prior year’s period.</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purchase automobile contracts from dealers for a cash price approximately equal to their principal amount, adjusted for an acquisition fee which may either increase or decrease the automobile contract purchase price. Those automobile contracts generate cash flow, however, over a period of years. As a result, we have been dependent on warehouse credit facilities to purchase automobile contracts, and on the availability of cash from outside sources in order to finance our continuing operations, as well as to fund the portion of automobile contract purchase prices not financed under revolving warehouse credit facilities.</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acquisition of automobile contracts for subsequent financing in securitization transactions, and the need to fund spread accounts and initial overcollateralization, if any, and increase credit enhancement levels when those transactions take place, results in a continuing need for capital. The amount of capital required is most heavily dependent on the rate of our automobile contract purchases, the required level of initial credit enhancement in securitizations, and the extent to which the previously established trusts and their related spread accounts either release cash to us or capture cash from collections on securitized automobile contracts. Of those, the factor most subject to our control is the rate at which we purchase automobile contracts.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and may in the future be limited in our ability to purchase automobile contracts due to limits on our capital. As of June 30, 2016, we had unrestricted cash of $15.8 million and $134.9 million aggregate available borrowings under our three warehouse credit facilities (assuming the availability of sufficient eligible collateral). As of June 30, 2016 we had approximately $24.4 million of such eligible collateral. During the six-month period ended June 30, 2016, we completed two securitizations aggregating $662.2 million of notes sold. Our plans to manage our liquidity include maintaining our rate of automobile contract purchases at a level that matches our available capital, and, as appropriate, minimizing our operating costs. If we are unable to complete such securitizations, we may be unable to increase our rate of automobile contract purchases, in which case our interest income and other portfolio related income could decrease.</w:t>
      </w:r>
    </w:p>
    <w:p>
      <w:pPr>
        <w:spacing w:after="0" w:line="18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liquidity will also be affected by releases of cash from the trusts established with our securitizations. While the specific terms and mechanics of each spread account vary among transactions, our securitization agreements generally provide that we will receive excess cash flows, if any, only if the amount of credit enhancement has reached specified levels and the delinquency or net losses related to the automobile contracts in the pool are below certain predetermined levels. In the event delinquencies or net losses on the automobile contracts exceed such levels, the terms of the securitization may require increased credit enhancement to be accumulated for the particular pool. There can be no assurance that collections from the related trusts will continue to generate sufficient cash. Moreover, certain of our retained interests in securitization transactions and their related spread accounts are pledged as collateral to our residual interest financing and cash releases from these transactions will be used to repay the financings.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3" w:name="page34"/>
    <w:bookmarkEnd w:id="33"/>
    <w:p>
      <w:pPr>
        <w:jc w:val="both"/>
        <w:ind w:firstLine="648"/>
        <w:spacing w:after="0" w:line="297" w:lineRule="auto"/>
        <w:rPr>
          <w:sz w:val="20"/>
          <w:szCs w:val="20"/>
          <w:color w:val="auto"/>
        </w:rPr>
      </w:pPr>
      <w:r>
        <w:rPr>
          <w:rFonts w:ascii="Arial" w:cs="Arial" w:eastAsia="Arial" w:hAnsi="Arial"/>
          <w:sz w:val="16"/>
          <w:szCs w:val="16"/>
          <w:color w:val="auto"/>
        </w:rPr>
        <w:t>One of our securitization transactions, our warehouse credit facilities and our residual interest contain various financial covenants requiring certain minimum financial ratios and results. Such covenants include maintaining minimum levels of liquidity and net worth and not exceeding maximum leverage levels. In addition, certain of our debt agreements other than our team securitizations contain cross-default provisions. Such cross-default provisions would allow the respective creditors to declare a default if an event of default occurred with respect to other indebtedness of ours, but only if such other event of default were to be accompanied by acceleration of such other indebtedness. As of June 30, 2016, we were in compliance with all such financial covenants.</w:t>
      </w:r>
    </w:p>
    <w:p>
      <w:pPr>
        <w:spacing w:after="0" w:line="15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and will continue to have a substantial amount of indebtedness. At June 30, 2016, we had approximately $2,144.4 million of debt outstanding. Such debt consisted primarily of $1,956.6 million of securitization trust debt and $165.1 million of warehouse lines of credit. Our securitization trust debt and our warehouse lines of credit have increased by $194.0 million, and $104.8 million, respectively since June 30, 2015 (each net of deferred financing costs). As of June 30, 2015 our debt also included $7.5 million of residual interest financing and $15.3 million in subordinated renewable notes. We are currently offering the subordinated notes to the public on a continuous basis, and such notes have maturities that range from six months to 10 years.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recent operating results include pre-tax earnings of $24.6 million for the six months ended June 30, 2016 and $61.4 million, $52.2 million, $37.2 million and $9.2 for the years ended December 31, 2015, December 31, 2014, December 31, 2013 and December 31, 2012, respectively. Those periods were preceded by pre-tax losses of $14.5 million and $16.2 million in 2011 and 2010, respectively. We believe that our 2011 and 2010 results were materially and adversely affected by the disruption in the capital markets that began in the fourth quarter of 2007, by the recession that began in December 2007, and by related high levels of unemployment.</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Although we believe we are able to service and repay our debt, there is no assurance that we will be able to do so. If our plans for future operations do not generate sufficient cash flows and earnings, our ability to make required payments on our debt would be impaired. If we fail to pay our indebtedness when due, it could have a material adverse effect on us and may require us to issue additional debt or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This report on Form 10-Q includes certain “forward-looking statements.” Forward-looking statements may be identified by the use of words such as “anticipates,” “expects,” “plans,” “estimates,” or words of like meaning. Our provision for credit losses is a forward-looking statement, as it is dependent on our estimates as to future chargeoffs and recovery rates. Factors that could affect charge-offs and recovery rates include changes in the general economic climate, which could affect the willingness or ability of obligors to pay pursuant to the terms of automobile contracts, changes in laws respecting consumer finance, which could affect our ability to enforce rights under automobile contracts, and changes in the market for used vehicles, which could affect the levels of recoveries upon sale of repossessed vehicles. Factors that could affect our revenues in the current year include the levels of cash releases from existing pools of automobile contracts, which would affect our ability to purchase automobile contracts, the terms on which we are able to finance such purchases, the willingness of dealers to sell automobile contracts to us on the terms that we offer, and the terms on which and whether we are able to complete term securitizations once automobile contracts are acquired. Factors that could affect our expenses in the current year include competitive conditions in the market for qualified personnel and interest rates (which affect the rates that we pay on notes issued in our securitizations).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maintain a system of internal controls and procedures designed to provide reasonable assurance as to the reliability of our published financial statements and other disclosures included in this report. As of the end of the period covered by this report, we evaluated the effectiveness of the design and operation of such disclosure controls and procedures. Based upon that evaluation, the principal executive officer (Charles E. Bradley, Jr.) and the principal financial officer (Jeffrey P. Fritz) concluded that the disclosure controls and procedures are effective in recording, processing, summarizing and reporting, on a timely basis, material information relating to us that is required to be included in our reports filed under the Securities Exchange Act of 1934. There has been no change in our internal controls over financial reporting during our most recently completed fiscal quarter that has materially affected, or is reasonably likely to materially affect, our internal control over financial reporting.</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provided under the caption “Legal Proceedings,” Note 8 to the Unaudited Condensed Consolidated Financial Statements, included in Part I of this report,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remind the reader that risk factors are set forth in Item 1A of our report on Form 10-K, filed with the U.S. Securities and Exchange Commission on March 9, 2016. Where we are aware of material changes to such risk factors as previously disclosed, we set forth below an updated discussion of such risks. The reader should note that the other risks identified in our report on Form 10-K remain applicable.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 have substantial indebtedness.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have and will continue to have a substantial amount of indebtedness. At June 30, 2016, we had approximately $2,144.4 million of debt outstanding. Such debt consisted primarily of $1,956.6 million of securitization trust debt and $165.1 million of warehouse lines of credit. Our securitization trust debt and our warehouse lines of credit have increased by $194.0 million, and $104.8 million, respectively since June 30, 2015 (each net of deferred financing costs). As of June 30, 2015 our debt also included $7.5 million of residual interest financing and $15.3 million in subordinated renewable notes. We are currently offering the subordinated notes to the public on a continuous basis, and such notes have maturities that range from six months to 10 years. Our substantial indebtedness could adversely affect our financial condition by, among other things:</w:t>
      </w:r>
    </w:p>
    <w:p>
      <w:pPr>
        <w:spacing w:after="0" w:line="178"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payments on our indebtedness, thereby reducing amounts available for working capital, capital expenditures and other general corporate purposes;</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less debt;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limiting our ability to borrow additional funds.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Although we believe we are able to service and repay such debt, there is no assurance that we will be able to do so. If we do not generate sufficient operating profits, our ability to make required payments on our debt would be impaired. Failure to pay our indebtedness when due could have a material adverse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Discussions of certain matters contained in this report may constitute forward-looking statements within the meaning of Section 27A of the Securities Act of 1933, as amended (the "Securities Act") and Section 21E of the Exchange Act, and as such, may involve risks and uncertainties. These forward-looking statements relate to, among other things, expectations of the business environment in which we operate, projections of future performance, perceived opportunities in the market and statements regarding our mission and vision. You can generally identify forward-looking statements as statements containing the words "will," "would," "believe," "may," "could," "expect," "anticipate," "intend," "estimate," "assume" or other similar expressions. Our actual results, performance and achievements may differ materially from the results, performance and achievements expressed or implied in such forward-looking statements. The discussion under "Risk Factors" identifies some of the factors that might cause such a difference, including the following:</w:t>
      </w:r>
    </w:p>
    <w:p>
      <w:pPr>
        <w:spacing w:after="0" w:line="167"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general economic conditions;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or inability to obtain necessary financing, and the terms of any such financing</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interest rates, especially as applicable to securitization trust debt;</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generate sufficient operating and financing cash flows;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level of future provisioning for receivables losses;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levels of actual losses on receivables;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requirements.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5" w:name="page36"/>
    <w:bookmarkEnd w:id="35"/>
    <w:p>
      <w:pPr>
        <w:jc w:val="both"/>
        <w:ind w:firstLine="648"/>
        <w:spacing w:after="0" w:line="259" w:lineRule="auto"/>
        <w:rPr>
          <w:sz w:val="20"/>
          <w:szCs w:val="20"/>
          <w:color w:val="auto"/>
        </w:rPr>
      </w:pPr>
      <w:r>
        <w:rPr>
          <w:rFonts w:ascii="Arial" w:cs="Arial" w:eastAsia="Arial" w:hAnsi="Arial"/>
          <w:sz w:val="18"/>
          <w:szCs w:val="18"/>
          <w:color w:val="auto"/>
        </w:rPr>
        <w:t>Forward-looking statements are not guarantees of performance. They involve risks, uncertainties and assumptions. Actual results may differ from expectations due to many factors beyond our ability to control or predict, including those described herein, and in documents incorporated by reference in this report. For these statements, we claim the protection of the safe harbor for forward-looking statements contained in the Private Securities Litigation Reform Act of 1995.</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undertake no obligation to publicly update any forward-looking information. You are advised to consult any additional disclosure we make in our periodic reports filed with the SEC.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three months ended June 30, 2016, we repurchased 853,241 shares from existing shareholders, as reflected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gridSpan w:val="3"/>
          </w:tcPr>
          <w:p>
            <w:pPr>
              <w:spacing w:after="0"/>
              <w:rPr>
                <w:sz w:val="20"/>
                <w:szCs w:val="20"/>
                <w:color w:val="auto"/>
              </w:rPr>
            </w:pPr>
            <w:r>
              <w:rPr>
                <w:rFonts w:ascii="Arial" w:cs="Arial" w:eastAsia="Arial" w:hAnsi="Arial"/>
                <w:sz w:val="18"/>
                <w:szCs w:val="18"/>
                <w:b w:val="1"/>
                <w:bCs w:val="1"/>
                <w:color w:val="auto"/>
                <w:w w:val="90"/>
              </w:rPr>
              <w:t>Issuer Purchases of Equity Securities</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Total Number of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2"/>
              </w:rPr>
              <w:t>Total</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Shares Purchased as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Value of Shares that</w:t>
            </w:r>
          </w:p>
        </w:tc>
      </w:tr>
      <w:tr>
        <w:trPr>
          <w:trHeight w:val="216"/>
        </w:trPr>
        <w:tc>
          <w:tcPr>
            <w:tcW w:w="2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0"/>
              </w:rPr>
              <w:t>Average</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Part of Publicly</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May Yet be Purchased</w:t>
            </w:r>
          </w:p>
        </w:tc>
      </w:tr>
      <w:tr>
        <w:trPr>
          <w:trHeight w:val="230"/>
        </w:trPr>
        <w:tc>
          <w:tcPr>
            <w:tcW w:w="2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Price Paid</w:t>
            </w:r>
          </w:p>
        </w:tc>
        <w:tc>
          <w:tcPr>
            <w:tcW w:w="21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Announced Plans or</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Under the Plans or</w:t>
            </w:r>
          </w:p>
        </w:tc>
      </w:tr>
      <w:tr>
        <w:trPr>
          <w:trHeight w:val="234"/>
        </w:trPr>
        <w:tc>
          <w:tcPr>
            <w:tcW w:w="2940" w:type="dxa"/>
            <w:vAlign w:val="bottom"/>
            <w:gridSpan w:val="3"/>
          </w:tcPr>
          <w:p>
            <w:pPr>
              <w:ind w:left="680"/>
              <w:spacing w:after="0"/>
              <w:rPr>
                <w:sz w:val="20"/>
                <w:szCs w:val="20"/>
                <w:color w:val="auto"/>
              </w:rPr>
            </w:pPr>
            <w:r>
              <w:rPr>
                <w:rFonts w:ascii="Arial" w:cs="Arial" w:eastAsia="Arial" w:hAnsi="Arial"/>
                <w:sz w:val="18"/>
                <w:szCs w:val="18"/>
                <w:b w:val="1"/>
                <w:bCs w:val="1"/>
                <w:color w:val="auto"/>
              </w:rPr>
              <w:t>Period(1)</w:t>
            </w:r>
          </w:p>
        </w:tc>
        <w:tc>
          <w:tcPr>
            <w:tcW w:w="96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per Share</w:t>
            </w:r>
          </w:p>
        </w:tc>
        <w:tc>
          <w:tcPr>
            <w:tcW w:w="2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Programs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Programs (2)</w:t>
            </w:r>
          </w:p>
        </w:tc>
      </w:tr>
      <w:tr>
        <w:trPr>
          <w:trHeight w:val="210"/>
        </w:trPr>
        <w:tc>
          <w:tcPr>
            <w:tcW w:w="2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94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April 2016</w:t>
            </w:r>
          </w:p>
        </w:tc>
        <w:tc>
          <w:tcPr>
            <w:tcW w:w="96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218,650</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4.28</w:t>
            </w:r>
          </w:p>
        </w:tc>
        <w:tc>
          <w:tcPr>
            <w:tcW w:w="2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218,650</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1,176,024</w:t>
            </w:r>
          </w:p>
        </w:tc>
      </w:tr>
      <w:tr>
        <w:trPr>
          <w:trHeight w:val="216"/>
        </w:trPr>
        <w:tc>
          <w:tcPr>
            <w:tcW w:w="2940" w:type="dxa"/>
            <w:vAlign w:val="bottom"/>
            <w:gridSpan w:val="3"/>
          </w:tcPr>
          <w:p>
            <w:pPr>
              <w:ind w:left="120"/>
              <w:spacing w:after="0"/>
              <w:rPr>
                <w:sz w:val="20"/>
                <w:szCs w:val="20"/>
                <w:color w:val="auto"/>
              </w:rPr>
            </w:pPr>
            <w:r>
              <w:rPr>
                <w:rFonts w:ascii="Arial" w:cs="Arial" w:eastAsia="Arial" w:hAnsi="Arial"/>
                <w:sz w:val="18"/>
                <w:szCs w:val="18"/>
                <w:color w:val="auto"/>
              </w:rPr>
              <w:t>May 2016</w:t>
            </w:r>
          </w:p>
        </w:tc>
        <w:tc>
          <w:tcPr>
            <w:tcW w:w="96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333,306</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gridSpan w:val="2"/>
          </w:tcPr>
          <w:p>
            <w:pPr>
              <w:jc w:val="right"/>
              <w:ind w:right="320"/>
              <w:spacing w:after="0"/>
              <w:rPr>
                <w:sz w:val="20"/>
                <w:szCs w:val="20"/>
                <w:color w:val="auto"/>
              </w:rPr>
            </w:pPr>
            <w:r>
              <w:rPr>
                <w:rFonts w:ascii="Arial" w:cs="Arial" w:eastAsia="Arial" w:hAnsi="Arial"/>
                <w:sz w:val="18"/>
                <w:szCs w:val="18"/>
                <w:color w:val="auto"/>
              </w:rPr>
              <w:t>3.84</w:t>
            </w:r>
          </w:p>
        </w:tc>
        <w:tc>
          <w:tcPr>
            <w:tcW w:w="2100" w:type="dxa"/>
            <w:vAlign w:val="bottom"/>
            <w:gridSpan w:val="2"/>
          </w:tcPr>
          <w:p>
            <w:pPr>
              <w:jc w:val="right"/>
              <w:ind w:right="160"/>
              <w:spacing w:after="0"/>
              <w:rPr>
                <w:sz w:val="20"/>
                <w:szCs w:val="20"/>
                <w:color w:val="auto"/>
              </w:rPr>
            </w:pPr>
            <w:r>
              <w:rPr>
                <w:rFonts w:ascii="Arial" w:cs="Arial" w:eastAsia="Arial" w:hAnsi="Arial"/>
                <w:sz w:val="18"/>
                <w:szCs w:val="18"/>
                <w:color w:val="auto"/>
              </w:rPr>
              <w:t>333,306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9,895,167</w:t>
            </w:r>
          </w:p>
        </w:tc>
      </w:tr>
      <w:tr>
        <w:trPr>
          <w:trHeight w:val="230"/>
        </w:trPr>
        <w:tc>
          <w:tcPr>
            <w:tcW w:w="294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June 2016</w:t>
            </w:r>
          </w:p>
        </w:tc>
        <w:tc>
          <w:tcPr>
            <w:tcW w:w="96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9"/>
              </w:rPr>
              <w:t>301,285</w:t>
            </w:r>
          </w:p>
        </w:tc>
        <w:tc>
          <w:tcPr>
            <w:tcW w:w="340" w:type="dxa"/>
            <w:vAlign w:val="bottom"/>
            <w:shd w:val="clear" w:color="auto" w:fill="EEEEEE"/>
          </w:tcPr>
          <w:p>
            <w:pPr>
              <w:jc w:val="right"/>
              <w:ind w:right="150"/>
              <w:spacing w:after="0"/>
              <w:rPr>
                <w:sz w:val="20"/>
                <w:szCs w:val="20"/>
                <w:color w:val="auto"/>
              </w:rPr>
            </w:pPr>
            <w:r>
              <w:rPr>
                <w:rFonts w:ascii="Arial" w:cs="Arial" w:eastAsia="Arial" w:hAnsi="Arial"/>
                <w:sz w:val="18"/>
                <w:szCs w:val="18"/>
                <w:color w:val="auto"/>
                <w:w w:val="79"/>
              </w:rPr>
              <w:t>$</w:t>
            </w:r>
          </w:p>
        </w:tc>
        <w:tc>
          <w:tcPr>
            <w:tcW w:w="19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3.84</w:t>
            </w:r>
          </w:p>
        </w:tc>
        <w:tc>
          <w:tcPr>
            <w:tcW w:w="21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301,285</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8,737,543</w:t>
            </w:r>
          </w:p>
        </w:tc>
      </w:tr>
      <w:tr>
        <w:trPr>
          <w:trHeight w:val="224"/>
        </w:trPr>
        <w:tc>
          <w:tcPr>
            <w:tcW w:w="2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853,241</w:t>
            </w:r>
          </w:p>
        </w:tc>
        <w:tc>
          <w:tcPr>
            <w:tcW w:w="340" w:type="dxa"/>
            <w:vAlign w:val="bottom"/>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320" w:type="dxa"/>
            <w:vAlign w:val="bottom"/>
          </w:tcPr>
          <w:p>
            <w:pPr>
              <w:spacing w:after="0"/>
              <w:rPr>
                <w:sz w:val="19"/>
                <w:szCs w:val="19"/>
                <w:color w:val="auto"/>
              </w:rPr>
            </w:pP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853,241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574611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57461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46115" cy="8890"/>
                    </a:xfrm>
                    <a:prstGeom prst="rect">
                      <a:avLst/>
                    </a:prstGeom>
                    <a:noFill/>
                  </pic:spPr>
                </pic:pic>
              </a:graphicData>
            </a:graphic>
          </wp:anchor>
        </w:drawing>
      </w:r>
    </w:p>
    <w:p>
      <w:pPr>
        <w:spacing w:after="0" w:line="3"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Each monthly period is the calendar month.</w:t>
      </w:r>
    </w:p>
    <w:p>
      <w:pPr>
        <w:spacing w:after="0" w:line="9" w:lineRule="exact"/>
        <w:rPr>
          <w:rFonts w:ascii="Arial" w:cs="Arial" w:eastAsia="Arial" w:hAnsi="Arial"/>
          <w:sz w:val="18"/>
          <w:szCs w:val="18"/>
          <w:i w:val="1"/>
          <w:iCs w:val="1"/>
          <w:color w:val="auto"/>
        </w:rPr>
      </w:pPr>
    </w:p>
    <w:p>
      <w:pPr>
        <w:jc w:val="both"/>
        <w:ind w:left="660" w:hanging="328"/>
        <w:spacing w:after="0" w:line="254" w:lineRule="auto"/>
        <w:tabs>
          <w:tab w:leader="none" w:pos="6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Through June 30, 2016, our board of directors had authorized the purchase of up to $54.5 million of our outstanding securities, under a program first announced in our annual report for the year 2002, filed on March 26, 2003. All purchases described in the table above were under the program announced in March 2003, which has no fixed expiration date. Our board of directors in May 2016 increased the aggregate authorization by $10 million from $44.5 million to $54.5 million.</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Exhibits listed below are filed with this report.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20" w:type="dxa"/>
            <w:vAlign w:val="bottom"/>
            <w:shd w:val="clear" w:color="auto" w:fill="EEEEEE"/>
          </w:tcPr>
          <w:p>
            <w:pPr>
              <w:spacing w:after="0"/>
              <w:rPr>
                <w:sz w:val="20"/>
                <w:szCs w:val="20"/>
                <w:color w:val="auto"/>
              </w:rPr>
            </w:pPr>
            <w:r>
              <w:rPr>
                <w:rFonts w:ascii="Arial" w:cs="Arial" w:eastAsia="Arial" w:hAnsi="Arial"/>
                <w:sz w:val="18"/>
                <w:szCs w:val="18"/>
                <w:color w:val="auto"/>
              </w:rPr>
              <w:t>4.14</w:t>
            </w:r>
          </w:p>
        </w:tc>
        <w:tc>
          <w:tcPr>
            <w:tcW w:w="10580" w:type="dxa"/>
            <w:vAlign w:val="bottom"/>
            <w:shd w:val="clear" w:color="auto" w:fill="EEEEEE"/>
          </w:tcPr>
          <w:p>
            <w:pPr>
              <w:ind w:left="140"/>
              <w:spacing w:after="0"/>
              <w:rPr>
                <w:sz w:val="20"/>
                <w:szCs w:val="20"/>
                <w:color w:val="auto"/>
              </w:rPr>
            </w:pPr>
            <w:r>
              <w:rPr>
                <w:rFonts w:ascii="Arial" w:cs="Arial" w:eastAsia="Arial" w:hAnsi="Arial"/>
                <w:sz w:val="18"/>
                <w:szCs w:val="18"/>
                <w:color w:val="auto"/>
                <w:w w:val="94"/>
              </w:rPr>
              <w:t>Instruments defining the rights of holders of long-term debt of certain consolidated subsidiaries of the registrant are omitted pursuant to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0580" w:type="dxa"/>
            <w:vAlign w:val="bottom"/>
            <w:shd w:val="clear" w:color="auto" w:fill="EEEEEE"/>
          </w:tcPr>
          <w:p>
            <w:pPr>
              <w:ind w:left="140"/>
              <w:spacing w:after="0"/>
              <w:rPr>
                <w:sz w:val="20"/>
                <w:szCs w:val="20"/>
                <w:color w:val="auto"/>
              </w:rPr>
            </w:pPr>
            <w:r>
              <w:rPr>
                <w:rFonts w:ascii="Arial" w:cs="Arial" w:eastAsia="Arial" w:hAnsi="Arial"/>
                <w:sz w:val="18"/>
                <w:szCs w:val="18"/>
                <w:color w:val="auto"/>
                <w:w w:val="94"/>
              </w:rPr>
              <w:t>exclusion set forth in subdivisions (b)(iv)(iii)(A) and (b)(v) of Item 601 of Regulation S-K (17 CFR 229.601). The registrant agrees to provide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105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copies of such instruments to the United States Securities and Exchange Commission upon request.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tcPr>
          <w:p>
            <w:pPr>
              <w:spacing w:after="0" w:line="201" w:lineRule="exact"/>
              <w:rPr>
                <w:sz w:val="20"/>
                <w:szCs w:val="20"/>
                <w:color w:val="auto"/>
              </w:rPr>
            </w:pPr>
            <w:r>
              <w:rPr>
                <w:rFonts w:ascii="Arial" w:cs="Arial" w:eastAsia="Arial" w:hAnsi="Arial"/>
                <w:sz w:val="18"/>
                <w:szCs w:val="18"/>
                <w:color w:val="auto"/>
              </w:rPr>
              <w:t>4.69</w:t>
            </w:r>
          </w:p>
        </w:tc>
        <w:tc>
          <w:tcPr>
            <w:tcW w:w="10580" w:type="dxa"/>
            <w:vAlign w:val="bottom"/>
          </w:tcPr>
          <w:p>
            <w:pPr>
              <w:ind w:left="140"/>
              <w:spacing w:after="0" w:line="201" w:lineRule="exact"/>
              <w:rPr>
                <w:sz w:val="20"/>
                <w:szCs w:val="20"/>
                <w:color w:val="auto"/>
              </w:rPr>
            </w:pPr>
            <w:r>
              <w:rPr>
                <w:rFonts w:ascii="Arial" w:cs="Arial" w:eastAsia="Arial" w:hAnsi="Arial"/>
                <w:sz w:val="18"/>
                <w:szCs w:val="18"/>
                <w:color w:val="auto"/>
                <w:w w:val="90"/>
              </w:rPr>
              <w:t>Indenture dated July 1, 2016 re Notes issued by CPS Auto Receivables Trust 2016-C. (incorporated by reference to an exhibit to the registrant’s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580" w:type="dxa"/>
            <w:vAlign w:val="bottom"/>
          </w:tcPr>
          <w:p>
            <w:pPr>
              <w:ind w:left="140"/>
              <w:spacing w:after="0"/>
              <w:rPr>
                <w:sz w:val="20"/>
                <w:szCs w:val="20"/>
                <w:color w:val="auto"/>
              </w:rPr>
            </w:pPr>
            <w:r>
              <w:rPr>
                <w:rFonts w:ascii="Arial" w:cs="Arial" w:eastAsia="Arial" w:hAnsi="Arial"/>
                <w:sz w:val="18"/>
                <w:szCs w:val="18"/>
                <w:color w:val="auto"/>
              </w:rPr>
              <w:t>current report on Form 8-K filed July 29, 2016).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4.70</w:t>
            </w:r>
          </w:p>
        </w:tc>
        <w:tc>
          <w:tcPr>
            <w:tcW w:w="10580" w:type="dxa"/>
            <w:vAlign w:val="bottom"/>
            <w:shd w:val="clear" w:color="auto" w:fill="EEEEEE"/>
          </w:tcPr>
          <w:p>
            <w:pPr>
              <w:ind w:left="140"/>
              <w:spacing w:after="0" w:line="201" w:lineRule="exact"/>
              <w:rPr>
                <w:sz w:val="20"/>
                <w:szCs w:val="20"/>
                <w:color w:val="auto"/>
              </w:rPr>
            </w:pPr>
            <w:r>
              <w:rPr>
                <w:rFonts w:ascii="Arial" w:cs="Arial" w:eastAsia="Arial" w:hAnsi="Arial"/>
                <w:sz w:val="18"/>
                <w:szCs w:val="18"/>
                <w:color w:val="auto"/>
                <w:w w:val="92"/>
              </w:rPr>
              <w:t>Sale and Servicing Agreement dated as of July 1, 2016. (incorporated by reference to an exhibit to the registrant’s current report on Form 8-K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shd w:val="clear" w:color="auto" w:fill="EEEEEE"/>
          </w:tcPr>
          <w:p>
            <w:pPr>
              <w:spacing w:after="0"/>
              <w:rPr>
                <w:sz w:val="20"/>
                <w:szCs w:val="20"/>
                <w:color w:val="auto"/>
              </w:rPr>
            </w:pPr>
          </w:p>
        </w:tc>
        <w:tc>
          <w:tcPr>
            <w:tcW w:w="105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filed July 29,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580" w:type="dxa"/>
            <w:vAlign w:val="bottom"/>
          </w:tcPr>
          <w:p>
            <w:pPr>
              <w:ind w:left="140"/>
              <w:spacing w:after="0"/>
              <w:rPr>
                <w:sz w:val="20"/>
                <w:szCs w:val="20"/>
                <w:color w:val="auto"/>
              </w:rPr>
            </w:pPr>
            <w:r>
              <w:rPr>
                <w:rFonts w:ascii="Arial" w:cs="Arial" w:eastAsia="Arial" w:hAnsi="Arial"/>
                <w:sz w:val="18"/>
                <w:szCs w:val="18"/>
                <w:color w:val="auto"/>
              </w:rPr>
              <w:t>Rule 13a-14(a) Certification of the Chief Executive Officer of the registrant.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20"/>
                <w:szCs w:val="20"/>
                <w:color w:val="auto"/>
              </w:rPr>
            </w:pPr>
            <w:r>
              <w:rPr>
                <w:rFonts w:ascii="Arial" w:cs="Arial" w:eastAsia="Arial" w:hAnsi="Arial"/>
                <w:sz w:val="18"/>
                <w:szCs w:val="18"/>
                <w:color w:val="auto"/>
              </w:rPr>
              <w:t>31.2</w:t>
            </w:r>
          </w:p>
        </w:tc>
        <w:tc>
          <w:tcPr>
            <w:tcW w:w="105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Rule 13a-14(a) Certification of the Chief Financial Officer of the registrant.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32</w:t>
            </w:r>
          </w:p>
        </w:tc>
        <w:tc>
          <w:tcPr>
            <w:tcW w:w="10580" w:type="dxa"/>
            <w:vAlign w:val="bottom"/>
          </w:tcPr>
          <w:p>
            <w:pPr>
              <w:ind w:left="140"/>
              <w:spacing w:after="0"/>
              <w:rPr>
                <w:sz w:val="20"/>
                <w:szCs w:val="20"/>
                <w:color w:val="auto"/>
              </w:rPr>
            </w:pPr>
            <w:r>
              <w:rPr>
                <w:rFonts w:ascii="Arial" w:cs="Arial" w:eastAsia="Arial" w:hAnsi="Arial"/>
                <w:sz w:val="18"/>
                <w:szCs w:val="18"/>
                <w:color w:val="auto"/>
              </w:rPr>
              <w:t>Section 1350 Certifications.*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20" w:type="dxa"/>
            <w:vAlign w:val="bottom"/>
          </w:tcPr>
          <w:p>
            <w:pPr>
              <w:spacing w:after="0"/>
              <w:rPr>
                <w:sz w:val="17"/>
                <w:szCs w:val="17"/>
                <w:color w:val="auto"/>
              </w:rPr>
            </w:pPr>
          </w:p>
        </w:tc>
        <w:tc>
          <w:tcPr>
            <w:tcW w:w="10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0" w:type="dxa"/>
            <w:vAlign w:val="bottom"/>
            <w:shd w:val="clear" w:color="auto" w:fill="EEEEEE"/>
          </w:tcPr>
          <w:p>
            <w:pPr>
              <w:spacing w:after="0"/>
              <w:rPr>
                <w:sz w:val="20"/>
                <w:szCs w:val="20"/>
                <w:color w:val="auto"/>
              </w:rPr>
            </w:pPr>
            <w:r>
              <w:rPr>
                <w:rFonts w:ascii="Arial" w:cs="Arial" w:eastAsia="Arial" w:hAnsi="Arial"/>
                <w:sz w:val="18"/>
                <w:szCs w:val="18"/>
                <w:color w:val="auto"/>
              </w:rPr>
              <w:t>101.INS</w:t>
            </w:r>
          </w:p>
        </w:tc>
        <w:tc>
          <w:tcPr>
            <w:tcW w:w="105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XBRL Instances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1058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20"/>
                <w:szCs w:val="20"/>
                <w:color w:val="auto"/>
              </w:rPr>
            </w:pPr>
            <w:r>
              <w:rPr>
                <w:rFonts w:ascii="Arial" w:cs="Arial" w:eastAsia="Arial" w:hAnsi="Arial"/>
                <w:sz w:val="18"/>
                <w:szCs w:val="18"/>
                <w:color w:val="auto"/>
              </w:rPr>
              <w:t>101.CAL</w:t>
            </w:r>
          </w:p>
        </w:tc>
        <w:tc>
          <w:tcPr>
            <w:tcW w:w="105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10580" w:type="dxa"/>
            <w:vAlign w:val="bottom"/>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0" w:type="dxa"/>
            <w:vAlign w:val="bottom"/>
            <w:shd w:val="clear" w:color="auto" w:fill="EEEEEE"/>
          </w:tcPr>
          <w:p>
            <w:pPr>
              <w:spacing w:after="0"/>
              <w:rPr>
                <w:sz w:val="20"/>
                <w:szCs w:val="20"/>
                <w:color w:val="auto"/>
              </w:rPr>
            </w:pPr>
            <w:r>
              <w:rPr>
                <w:rFonts w:ascii="Arial" w:cs="Arial" w:eastAsia="Arial" w:hAnsi="Arial"/>
                <w:sz w:val="18"/>
                <w:szCs w:val="18"/>
                <w:color w:val="auto"/>
              </w:rPr>
              <w:t>101.LAB</w:t>
            </w:r>
          </w:p>
        </w:tc>
        <w:tc>
          <w:tcPr>
            <w:tcW w:w="105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1058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56"/>
        <w:spacing w:after="0" w:line="312" w:lineRule="auto"/>
        <w:tabs>
          <w:tab w:leader="none" w:pos="801"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These Certifications shall not be deemed “filed” for purposes of Section 18 of the Securities Exchange Act of 1934, as amended, or otherwise subject to the liability of that section. These Certifications shall not be deemed to be incorporated by reference into any filing under the Securities Act of 1933, as amended, or the Exchange Act, except to the extent that the registration statement specifically states that such Certifications are incorporated therein.</w:t>
      </w: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duly caused this report to be signed on its behalf by the undersigned thereunto duly authorized.</w:t>
      </w:r>
    </w:p>
    <w:p>
      <w:pPr>
        <w:spacing w:after="0" w:line="17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CONSUMER PORTFOLIO SERVICES, INC.</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(Registrant)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2016</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CHARLES E. BRADLEY, JR.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Charles E. Bradley, Jr.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2016</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JEFFREY P. FRITZ</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Jeffrey P. Fritz</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Charles E. Bradley, Jr., certify that:</w:t>
      </w:r>
    </w:p>
    <w:p>
      <w:pPr>
        <w:spacing w:after="0" w:line="211"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2016 of Consumer Portfolio Services, Inc.;</w:t>
      </w:r>
    </w:p>
    <w:p>
      <w:pPr>
        <w:spacing w:after="0" w:line="225" w:lineRule="exact"/>
        <w:rPr>
          <w:rFonts w:ascii="Arial" w:cs="Arial" w:eastAsia="Arial" w:hAnsi="Arial"/>
          <w:sz w:val="18"/>
          <w:szCs w:val="18"/>
          <w:color w:val="auto"/>
        </w:rPr>
      </w:pPr>
    </w:p>
    <w:p>
      <w:pPr>
        <w:ind w:right="20" w:firstLine="8"/>
        <w:spacing w:after="0" w:line="342" w:lineRule="auto"/>
        <w:tabs>
          <w:tab w:leader="none" w:pos="4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64"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478"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407"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8300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300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P. Fritz, certify that:</w:t>
      </w:r>
    </w:p>
    <w:p>
      <w:pPr>
        <w:spacing w:after="0" w:line="225"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2016 of Consumer Portfolio Services, Inc.;</w:t>
      </w:r>
    </w:p>
    <w:p>
      <w:pPr>
        <w:spacing w:after="0" w:line="225" w:lineRule="exact"/>
        <w:rPr>
          <w:rFonts w:ascii="Arial" w:cs="Arial" w:eastAsia="Arial" w:hAnsi="Arial"/>
          <w:sz w:val="18"/>
          <w:szCs w:val="18"/>
          <w:color w:val="auto"/>
        </w:rPr>
      </w:pPr>
    </w:p>
    <w:p>
      <w:pPr>
        <w:ind w:right="20" w:firstLine="8"/>
        <w:spacing w:after="0" w:line="342" w:lineRule="auto"/>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464"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47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4"/>
        <w:spacing w:after="0" w:line="264" w:lineRule="auto"/>
        <w:tabs>
          <w:tab w:leader="none" w:pos="94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4"/>
        <w:spacing w:after="0" w:line="308" w:lineRule="auto"/>
        <w:tabs>
          <w:tab w:leader="none" w:pos="948"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4"/>
        <w:spacing w:after="0" w:line="264" w:lineRule="auto"/>
        <w:tabs>
          <w:tab w:leader="none" w:pos="928"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20" w:firstLine="8"/>
        <w:spacing w:after="0" w:line="308" w:lineRule="auto"/>
        <w:tabs>
          <w:tab w:leader="none" w:pos="407"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4"/>
        <w:spacing w:after="0" w:line="277" w:lineRule="auto"/>
        <w:tabs>
          <w:tab w:leader="none" w:pos="915"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4"/>
        <w:spacing w:after="0" w:line="277" w:lineRule="auto"/>
        <w:tabs>
          <w:tab w:leader="none" w:pos="92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74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675005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connection with the Quarterly Report on Form 10-Q of Consumer Portfolio Services, Inc. (the “Company”) for the quarterly period ended June 30, 2016, as filed with the Securities and Exchange Commission on the date hereof (the “Report”), Charles E. Bradley, Jr., as Chief Executive Officer of the Company, and Jeffrey P. Fritz, as Chief Financial Officer of the Company, each hereby certifies, pursuant to 18 U.S.C. §1350, as adopted pursuant to §906 of the Sarbanes-Oxley Act of 2002, that:</w:t>
      </w:r>
    </w:p>
    <w:p>
      <w:pPr>
        <w:spacing w:after="0" w:line="187" w:lineRule="exact"/>
        <w:rPr>
          <w:sz w:val="20"/>
          <w:szCs w:val="20"/>
          <w:color w:val="auto"/>
        </w:rPr>
      </w:pPr>
    </w:p>
    <w:p>
      <w:pPr>
        <w:ind w:left="1360" w:hanging="344"/>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360" w:hanging="344"/>
        <w:spacing w:after="0"/>
        <w:tabs>
          <w:tab w:leader="none" w:pos="13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CHARLES E. BRADLEY,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7443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443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Charles E. Bradley,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JEFFREY P. FRITZ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26047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604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Jeffrey P. Fritz</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This certification accompanies each Report pursuant to §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upperLetter"/>
      <w:start w:val="24"/>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4"/>
    </w:lvl>
  </w:abstractNum>
  <w:abstractNum w:abstractNumId="5">
    <w:nsid w:val="7FDCC233"/>
    <w:multiLevelType w:val="hybridMultilevel"/>
    <w:lvl w:ilvl="0">
      <w:lvlJc w:val="left"/>
      <w:lvlText w:val="(%1)"/>
      <w:numFmt w:val="decimal"/>
      <w:start w:val="5"/>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decimal"/>
      <w:start w:val="8"/>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1)"/>
      <w:numFmt w:val="decimal"/>
      <w:start w:val="10"/>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2"/>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2019-12-06T02:01:55Z</dcterms:created>
  <dcterms:modified xsi:type="dcterms:W3CDTF">2019-12-06T02:01:55Z</dcterms:modified>
</cp:coreProperties>
</file>