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820" w:right="1520" w:hanging="3812"/>
        <w:spacing w:after="0" w:line="500" w:lineRule="auto"/>
        <w:tabs>
          <w:tab w:leader="none" w:pos="58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1-11416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CONSUMER PORTFOLIO SERVICES,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spacing w:after="0"/>
              <w:rPr>
                <w:sz w:val="18"/>
                <w:szCs w:val="18"/>
                <w:color w:val="auto"/>
              </w:rPr>
            </w:pP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753-6800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1"/>
        </w:trPr>
        <w:tc>
          <w:tcPr>
            <w:tcW w:w="1300" w:type="dxa"/>
            <w:vAlign w:val="bottom"/>
          </w:tcPr>
          <w:p>
            <w:pPr>
              <w:spacing w:after="0"/>
              <w:rPr>
                <w:sz w:val="24"/>
                <w:szCs w:val="24"/>
                <w:color w:val="auto"/>
              </w:rPr>
            </w:pPr>
          </w:p>
        </w:tc>
        <w:tc>
          <w:tcPr>
            <w:tcW w:w="330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Trading Symbol</w:t>
            </w:r>
          </w:p>
        </w:tc>
        <w:tc>
          <w:tcPr>
            <w:tcW w:w="780" w:type="dxa"/>
            <w:vAlign w:val="bottom"/>
          </w:tcPr>
          <w:p>
            <w:pPr>
              <w:spacing w:after="0"/>
              <w:rPr>
                <w:sz w:val="24"/>
                <w:szCs w:val="24"/>
                <w:color w:val="auto"/>
              </w:rPr>
            </w:pP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6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440" w:type="dxa"/>
            <w:vAlign w:val="bottom"/>
          </w:tcPr>
          <w:p>
            <w:pPr>
              <w:spacing w:after="0"/>
              <w:rPr>
                <w:sz w:val="20"/>
                <w:szCs w:val="20"/>
                <w:color w:val="auto"/>
              </w:rPr>
            </w:pPr>
          </w:p>
        </w:tc>
        <w:tc>
          <w:tcPr>
            <w:tcW w:w="17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CPSS</w:t>
            </w:r>
          </w:p>
        </w:tc>
        <w:tc>
          <w:tcPr>
            <w:tcW w:w="430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The NASDAQ Stock Market LLC (Global Market)</w:t>
            </w:r>
          </w:p>
        </w:tc>
      </w:tr>
    </w:tbl>
    <w:p>
      <w:pPr>
        <w:spacing w:after="0" w:line="198"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21" w:lineRule="exact"/>
        <w:rPr>
          <w:sz w:val="24"/>
          <w:szCs w:val="24"/>
          <w:color w:val="auto"/>
        </w:rPr>
      </w:pPr>
    </w:p>
    <w:p>
      <w:pPr>
        <w:jc w:val="center"/>
        <w:spacing w:after="0" w:line="207" w:lineRule="exact"/>
        <w:tabs>
          <w:tab w:leader="none" w:pos="180" w:val="left"/>
          <w:tab w:leader="none" w:pos="260" w:val="left"/>
          <w:tab w:leader="none" w:pos="260" w:val="left"/>
          <w:tab w:leader="none" w:pos="2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tab/>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9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6, 2024 the registrant had 21,021,354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gridSpan w:val="14"/>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CONSUMER PORTFOLIO SERVICES, INC. AND SUBSIDIARIES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color w:val="auto"/>
                <w:w w:val="99"/>
              </w:rPr>
              <w:t>INDEX TO 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80" w:type="dxa"/>
            <w:vAlign w:val="bottom"/>
            <w:gridSpan w:val="1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440" w:type="dxa"/>
            <w:vAlign w:val="bottom"/>
            <w:gridSpan w:val="7"/>
            <w:vMerge w:val="restart"/>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tcBorders>
              <w:bottom w:val="single" w:sz="8" w:color="0000EE"/>
            </w:tcBorders>
            <w:gridSpan w:val="5"/>
            <w:vMerge w:val="continue"/>
          </w:tcPr>
          <w:p>
            <w:pPr>
              <w:spacing w:after="0"/>
              <w:rPr>
                <w:sz w:val="17"/>
                <w:szCs w:val="17"/>
                <w:color w:val="auto"/>
              </w:rPr>
            </w:pPr>
          </w:p>
        </w:tc>
        <w:tc>
          <w:tcPr>
            <w:tcW w:w="3440" w:type="dxa"/>
            <w:vAlign w:val="bottom"/>
            <w:gridSpan w:val="7"/>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84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2024 and December 31, 2023</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860" w:type="dxa"/>
            <w:vAlign w:val="bottom"/>
            <w:tcBorders>
              <w:bottom w:val="single" w:sz="8" w:color="0000EE"/>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three-month periods ended March 31, 2024 and 2023</w:t>
            </w:r>
          </w:p>
        </w:tc>
        <w:tc>
          <w:tcPr>
            <w:tcW w:w="500" w:type="dxa"/>
            <w:vAlign w:val="bottom"/>
            <w:gridSpan w:val="4"/>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Comprehensive Income for the three-month periods ended March 31, 2024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and 2023</w:t>
            </w:r>
          </w:p>
        </w:tc>
        <w:tc>
          <w:tcPr>
            <w:tcW w:w="8380" w:type="dxa"/>
            <w:vAlign w:val="bottom"/>
            <w:tcBorders>
              <w:top w:val="single" w:sz="8" w:color="0000EE"/>
            </w:tcBorders>
            <w:gridSpan w:val="18"/>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three-month periods ended March 31, 2024 and 2023</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80" w:type="dxa"/>
            <w:vAlign w:val="bottom"/>
            <w:tcBorders>
              <w:top w:val="single" w:sz="8" w:color="0000EE"/>
              <w:bottom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Shareholders’ Equity for the three-month periods ended March 31, 2024</w:t>
            </w:r>
          </w:p>
        </w:tc>
        <w:tc>
          <w:tcPr>
            <w:tcW w:w="20" w:type="dxa"/>
            <w:vAlign w:val="bottom"/>
            <w:tcBorders>
              <w:top w:val="single" w:sz="8" w:color="0000EE"/>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and 2023</w:t>
            </w:r>
          </w:p>
        </w:tc>
        <w:tc>
          <w:tcPr>
            <w:tcW w:w="8680" w:type="dxa"/>
            <w:vAlign w:val="bottom"/>
            <w:gridSpan w:val="19"/>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560" w:type="dxa"/>
            <w:vAlign w:val="bottom"/>
            <w:gridSpan w:val="9"/>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6460" w:type="dxa"/>
            <w:vAlign w:val="bottom"/>
            <w:tcBorders>
              <w:top w:val="single" w:sz="8" w:color="0000EE"/>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3"/>
          </w:tcPr>
          <w:p>
            <w:pPr>
              <w:spacing w:after="0"/>
              <w:rPr>
                <w:sz w:val="24"/>
                <w:szCs w:val="24"/>
                <w:color w:val="auto"/>
              </w:rPr>
            </w:pPr>
          </w:p>
        </w:tc>
        <w:tc>
          <w:tcPr>
            <w:tcW w:w="3600" w:type="dxa"/>
            <w:vAlign w:val="bottom"/>
            <w:gridSpan w:val="8"/>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8020" w:type="dxa"/>
            <w:vAlign w:val="bottom"/>
            <w:gridSpan w:val="15"/>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00" w:type="dxa"/>
            <w:vAlign w:val="bottom"/>
            <w:gridSpan w:val="10"/>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040" w:type="dxa"/>
            <w:vAlign w:val="bottom"/>
            <w:gridSpan w:val="1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0" w:type="dxa"/>
            <w:vAlign w:val="bottom"/>
            <w:gridSpan w:val="1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92"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20"/>
                <w:szCs w:val="20"/>
                <w:color w:val="auto"/>
              </w:rPr>
            </w:pPr>
          </w:p>
        </w:tc>
      </w:tr>
      <w:tr>
        <w:trPr>
          <w:trHeight w:val="20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137,706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2,791,373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2,722,662</w:t>
            </w:r>
          </w:p>
        </w:tc>
      </w:tr>
      <w:tr>
        <w:trPr>
          <w:trHeight w:val="216"/>
        </w:trPr>
        <w:tc>
          <w:tcPr>
            <w:tcW w:w="7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18,781</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27,553</w:t>
            </w:r>
          </w:p>
        </w:tc>
      </w:tr>
      <w:tr>
        <w:trPr>
          <w:trHeight w:val="22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(1,890)</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(2,869)</w:t>
            </w: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3,485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3,736</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42,554</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25,861</w:t>
            </w:r>
          </w:p>
        </w:tc>
      </w:tr>
      <w:tr>
        <w:trPr>
          <w:trHeight w:val="223"/>
        </w:trPr>
        <w:tc>
          <w:tcPr>
            <w:tcW w:w="75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3,006,526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2,903,746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79,122</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62,544</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249,522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98,968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49,875</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2,277,676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2,265,446</w:t>
            </w:r>
          </w:p>
        </w:tc>
      </w:tr>
      <w:tr>
        <w:trPr>
          <w:trHeight w:val="230"/>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22,140</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2,727,428</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2,629,078</w:t>
            </w: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21,147,743 and 21,174,856 shares issued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March 31, 2024 and December 31, 2023,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28,518</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28,678</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252,447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247,857</w:t>
            </w: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(1,867)</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(1,867)</w:t>
            </w:r>
          </w:p>
        </w:tc>
      </w:tr>
      <w:tr>
        <w:trPr>
          <w:trHeight w:val="210"/>
        </w:trPr>
        <w:tc>
          <w:tcPr>
            <w:tcW w:w="75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279,098</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274,668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00" w:type="dxa"/>
            <w:vAlign w:val="bottom"/>
            <w:shd w:val="clear" w:color="auto" w:fill="EEEEEE"/>
          </w:tcPr>
          <w:p>
            <w:pPr>
              <w:spacing w:after="0"/>
              <w:rPr>
                <w:sz w:val="21"/>
                <w:szCs w:val="21"/>
                <w:color w:val="auto"/>
              </w:rPr>
            </w:pPr>
          </w:p>
        </w:tc>
        <w:tc>
          <w:tcPr>
            <w:tcW w:w="40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3,006,526</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2,903,746</w:t>
            </w:r>
          </w:p>
        </w:tc>
      </w:tr>
      <w:tr>
        <w:trPr>
          <w:trHeight w:val="20"/>
        </w:trPr>
        <w:tc>
          <w:tcPr>
            <w:tcW w:w="75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84,288</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80,062</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2,456</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91,744</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83,100</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24,416</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22,033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13,753</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11,396</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41,968</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(1,635)</w:t>
            </w: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4,870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5,724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1,600</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9"/>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215</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85,187</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18,431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1,967</w:t>
            </w: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4,608</w:t>
            </w:r>
          </w:p>
        </w:tc>
        <w:tc>
          <w:tcPr>
            <w:tcW w:w="0" w:type="dxa"/>
            <w:vAlign w:val="bottom"/>
          </w:tcPr>
          <w:p>
            <w:pPr>
              <w:spacing w:after="0"/>
              <w:rPr>
                <w:sz w:val="1"/>
                <w:szCs w:val="1"/>
                <w:color w:val="auto"/>
              </w:rPr>
            </w:pPr>
          </w:p>
        </w:tc>
      </w:tr>
      <w:tr>
        <w:trPr>
          <w:trHeight w:val="223"/>
        </w:trPr>
        <w:tc>
          <w:tcPr>
            <w:tcW w:w="58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0.22</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0.19</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21,143</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20,418</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24,602</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25,392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4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4,590</w:t>
            </w:r>
          </w:p>
        </w:tc>
        <w:tc>
          <w:tcPr>
            <w:tcW w:w="1020" w:type="dxa"/>
            <w:vAlign w:val="bottom"/>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13,823</w:t>
            </w:r>
          </w:p>
        </w:tc>
        <w:tc>
          <w:tcPr>
            <w:tcW w:w="80" w:type="dxa"/>
            <w:vAlign w:val="bottom"/>
            <w:shd w:val="clear" w:color="auto" w:fill="EEEEEE"/>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income/(loss); change in funded status of pension plan</w:t>
            </w:r>
          </w:p>
        </w:tc>
        <w:tc>
          <w:tcPr>
            <w:tcW w:w="106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EEEEE"/>
          </w:tcPr>
          <w:p>
            <w:pPr>
              <w:spacing w:after="0"/>
              <w:rPr>
                <w:sz w:val="19"/>
                <w:szCs w:val="19"/>
                <w:color w:val="auto"/>
              </w:rPr>
            </w:pPr>
          </w:p>
        </w:tc>
        <w:tc>
          <w:tcPr>
            <w:tcW w:w="6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CASH FLOWS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19"/>
                <w:szCs w:val="19"/>
                <w:color w:val="auto"/>
              </w:rPr>
            </w:pPr>
          </w:p>
        </w:tc>
      </w:tr>
      <w:tr>
        <w:trPr>
          <w:trHeight w:val="210"/>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4,590</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13,823</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54,247</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47,472</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215</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(672)</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2,403</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(1,635)</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832</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912</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Deferred tax assets, net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251</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(16,702)</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4,511</w:t>
            </w:r>
          </w:p>
        </w:tc>
      </w:tr>
      <w:tr>
        <w:trPr>
          <w:trHeight w:val="229"/>
        </w:trPr>
        <w:tc>
          <w:tcPr>
            <w:tcW w:w="68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16,579</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4,404</w:t>
            </w:r>
          </w:p>
        </w:tc>
      </w:tr>
      <w:tr>
        <w:trPr>
          <w:trHeight w:val="210"/>
        </w:trPr>
        <w:tc>
          <w:tcPr>
            <w:tcW w:w="6840" w:type="dxa"/>
            <w:vAlign w:val="bottom"/>
            <w:tcBorders>
              <w:bottom w:val="single" w:sz="8" w:color="EEEEEE"/>
            </w:tcBorders>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52,705</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65,141</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9,428</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24,746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(328,893)</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(352,598)</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210,935</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206,626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6840" w:type="dxa"/>
            <w:vAlign w:val="bottom"/>
            <w:tcBorders>
              <w:bottom w:val="single" w:sz="8" w:color="EEEEEE"/>
            </w:tcBorders>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(108,632</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(121,159</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280,924</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324,768</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5,489</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(537)</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(repayments of) warehouse lines of credit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17,176</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Proceeds from (repayment of) residual interest financing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50,000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(268,710)</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(258,224)</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(1,899)</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(1,697)</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(7,293)</w:t>
            </w:r>
          </w:p>
        </w:tc>
      </w:tr>
      <w:tr>
        <w:trPr>
          <w:trHeight w:val="230"/>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705</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6,960</w:t>
            </w:r>
          </w:p>
        </w:tc>
      </w:tr>
      <w:tr>
        <w:trPr>
          <w:trHeight w:val="210"/>
        </w:trPr>
        <w:tc>
          <w:tcPr>
            <w:tcW w:w="6840" w:type="dxa"/>
            <w:vAlign w:val="bottom"/>
            <w:tcBorders>
              <w:bottom w:val="single" w:sz="8" w:color="EEEEEE"/>
            </w:tcBorders>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81,451</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62,312</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25,524</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shd w:val="clear" w:color="auto" w:fill="EEEEEE"/>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125,431</w:t>
            </w:r>
          </w:p>
        </w:tc>
        <w:tc>
          <w:tcPr>
            <w:tcW w:w="42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162,789</w:t>
            </w:r>
          </w:p>
        </w:tc>
      </w:tr>
      <w:tr>
        <w:trPr>
          <w:trHeight w:val="223"/>
        </w:trPr>
        <w:tc>
          <w:tcPr>
            <w:tcW w:w="6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150,955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169,083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42,145</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29,658</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 net</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(23,267)</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23,782</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3,313</w:t>
            </w:r>
          </w:p>
        </w:tc>
      </w:tr>
      <w:tr>
        <w:trPr>
          <w:trHeight w:val="234"/>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office rent</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020" w:type="dxa"/>
            <w:vAlign w:val="bottom"/>
            <w:tcBorders>
              <w:bottom w:val="single" w:sz="8" w:color="EEEEEE"/>
            </w:tcBorders>
          </w:tcPr>
          <w:p>
            <w:pPr>
              <w:spacing w:after="0"/>
              <w:rPr>
                <w:sz w:val="19"/>
                <w:szCs w:val="19"/>
                <w:color w:val="auto"/>
              </w:rPr>
            </w:pPr>
          </w:p>
        </w:tc>
        <w:tc>
          <w:tcPr>
            <w:tcW w:w="1640" w:type="dxa"/>
            <w:vAlign w:val="bottom"/>
            <w:tcBorders>
              <w:bottom w:val="single" w:sz="8" w:color="EEEEEE"/>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21,175</w:t>
            </w:r>
          </w:p>
        </w:tc>
        <w:tc>
          <w:tcPr>
            <w:tcW w:w="9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20,131</w:t>
            </w: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180</w:t>
            </w:r>
          </w:p>
        </w:tc>
        <w:tc>
          <w:tcPr>
            <w:tcW w:w="9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shd w:val="clear" w:color="auto" w:fill="EEEEEE"/>
          </w:tcPr>
          <w:p>
            <w:pPr>
              <w:spacing w:after="0"/>
              <w:rPr>
                <w:sz w:val="18"/>
                <w:szCs w:val="18"/>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(207)</w:t>
            </w:r>
          </w:p>
        </w:tc>
        <w:tc>
          <w:tcPr>
            <w:tcW w:w="9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r>
      <w:tr>
        <w:trPr>
          <w:trHeight w:val="209"/>
        </w:trPr>
        <w:tc>
          <w:tcPr>
            <w:tcW w:w="6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32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0"/>
        </w:trPr>
        <w:tc>
          <w:tcPr>
            <w:tcW w:w="6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28,678</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28,906</w:t>
            </w: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705</w:t>
            </w:r>
          </w:p>
        </w:tc>
        <w:tc>
          <w:tcPr>
            <w:tcW w:w="9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(1,697)</w:t>
            </w:r>
          </w:p>
        </w:tc>
        <w:tc>
          <w:tcPr>
            <w:tcW w:w="9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(7,293)</w:t>
            </w:r>
          </w:p>
        </w:tc>
      </w:tr>
      <w:tr>
        <w:trPr>
          <w:trHeight w:val="230"/>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832</w:t>
            </w:r>
          </w:p>
        </w:tc>
        <w:tc>
          <w:tcPr>
            <w:tcW w:w="980" w:type="dxa"/>
            <w:vAlign w:val="bottom"/>
            <w:shd w:val="clear" w:color="auto" w:fill="EEEEEE"/>
          </w:tcPr>
          <w:p>
            <w:pPr>
              <w:spacing w:after="0"/>
              <w:rPr>
                <w:sz w:val="19"/>
                <w:szCs w:val="19"/>
                <w:color w:val="auto"/>
              </w:rPr>
            </w:pPr>
          </w:p>
        </w:tc>
        <w:tc>
          <w:tcPr>
            <w:tcW w:w="7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r>
      <w:tr>
        <w:trPr>
          <w:trHeight w:val="263"/>
        </w:trPr>
        <w:tc>
          <w:tcPr>
            <w:tcW w:w="60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bottom w:val="single" w:sz="8" w:color="EEEEEE"/>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28,518</w:t>
            </w:r>
          </w:p>
        </w:tc>
        <w:tc>
          <w:tcPr>
            <w:tcW w:w="320" w:type="dxa"/>
            <w:vAlign w:val="bottom"/>
            <w:tcBorders>
              <w:bottom w:val="single" w:sz="8" w:color="EEEEEE"/>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29,485</w:t>
            </w:r>
          </w:p>
        </w:tc>
        <w:tc>
          <w:tcPr>
            <w:tcW w:w="100" w:type="dxa"/>
            <w:vAlign w:val="bottom"/>
            <w:tcBorders>
              <w:bottom w:val="single" w:sz="8" w:color="EEEEEE"/>
            </w:tcBorders>
            <w:gridSpan w:val="2"/>
          </w:tcPr>
          <w:p>
            <w:pPr>
              <w:spacing w:after="0"/>
              <w:rPr>
                <w:sz w:val="22"/>
                <w:szCs w:val="22"/>
                <w:color w:val="auto"/>
              </w:rPr>
            </w:pPr>
          </w:p>
        </w:tc>
      </w:tr>
      <w:tr>
        <w:trPr>
          <w:trHeight w:val="197"/>
        </w:trPr>
        <w:tc>
          <w:tcPr>
            <w:tcW w:w="6020" w:type="dxa"/>
            <w:vAlign w:val="bottom"/>
            <w:shd w:val="clear" w:color="auto" w:fill="EEEEEE"/>
          </w:tcPr>
          <w:p>
            <w:pPr>
              <w:spacing w:after="0"/>
              <w:rPr>
                <w:sz w:val="17"/>
                <w:szCs w:val="17"/>
                <w:color w:val="auto"/>
              </w:rPr>
            </w:pPr>
          </w:p>
        </w:tc>
        <w:tc>
          <w:tcPr>
            <w:tcW w:w="16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2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w w:val="99"/>
              </w:rPr>
              <w:t>247,857</w:t>
            </w:r>
          </w:p>
        </w:tc>
        <w:tc>
          <w:tcPr>
            <w:tcW w:w="980" w:type="dxa"/>
            <w:vAlign w:val="bottom"/>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202,514</w:t>
            </w:r>
          </w:p>
        </w:tc>
        <w:tc>
          <w:tcPr>
            <w:tcW w:w="80" w:type="dxa"/>
            <w:vAlign w:val="bottom"/>
            <w:shd w:val="clear" w:color="auto" w:fill="EEEEEE"/>
          </w:tcPr>
          <w:p>
            <w:pPr>
              <w:spacing w:after="0"/>
              <w:rPr>
                <w:sz w:val="18"/>
                <w:szCs w:val="18"/>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4,590</w:t>
            </w:r>
          </w:p>
        </w:tc>
        <w:tc>
          <w:tcPr>
            <w:tcW w:w="98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13,823</w:t>
            </w:r>
          </w:p>
        </w:tc>
      </w:tr>
      <w:tr>
        <w:trPr>
          <w:trHeight w:val="223"/>
        </w:trPr>
        <w:tc>
          <w:tcPr>
            <w:tcW w:w="60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252,447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216,337</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(1,867)</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(3,031)</w:t>
            </w:r>
          </w:p>
        </w:tc>
      </w:tr>
      <w:tr>
        <w:trPr>
          <w:trHeight w:val="230"/>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16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EEEEE"/>
          </w:tcPr>
          <w:p>
            <w:pPr>
              <w:spacing w:after="0"/>
              <w:rPr>
                <w:sz w:val="19"/>
                <w:szCs w:val="19"/>
                <w:color w:val="auto"/>
              </w:rPr>
            </w:pPr>
          </w:p>
        </w:tc>
        <w:tc>
          <w:tcPr>
            <w:tcW w:w="7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02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9"/>
              </w:rPr>
              <w:t>279,098</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242,791</w:t>
            </w:r>
          </w:p>
        </w:tc>
        <w:tc>
          <w:tcPr>
            <w:tcW w:w="80" w:type="dxa"/>
            <w:vAlign w:val="bottom"/>
          </w:tcPr>
          <w:p>
            <w:pPr>
              <w:spacing w:after="0"/>
              <w:rPr>
                <w:sz w:val="21"/>
                <w:szCs w:val="21"/>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5" w:lineRule="exact"/>
        <w:rPr>
          <w:sz w:val="20"/>
          <w:szCs w:val="20"/>
          <w:color w:val="auto"/>
        </w:rPr>
      </w:pPr>
    </w:p>
    <w:p>
      <w:pPr>
        <w:ind w:firstLine="8"/>
        <w:spacing w:after="0" w:line="260" w:lineRule="auto"/>
        <w:tabs>
          <w:tab w:leader="none" w:pos="3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installment purchase contracts in four merger and acquisition transactions. In this report, we refer to all of such contracts and loans as "automobile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nine-month period ended March 31, 2024 are not necessarily indicative of the operating results to be expected for the full year.</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periods ending March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2980" w:type="dxa"/>
            <w:vAlign w:val="bottom"/>
            <w:gridSpan w:val="5"/>
          </w:tcPr>
          <w:p>
            <w:pPr>
              <w:jc w:val="center"/>
              <w:ind w:left="41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4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gridSpan w:val="4"/>
          </w:tcPr>
          <w:p>
            <w:pPr>
              <w:jc w:val="center"/>
              <w:ind w:right="47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Origination and servicing fees from third party receivables</w:t>
            </w:r>
          </w:p>
        </w:tc>
        <w:tc>
          <w:tcPr>
            <w:tcW w:w="1060" w:type="dxa"/>
            <w:vAlign w:val="bottom"/>
            <w:shd w:val="clear" w:color="auto" w:fill="EEEEEE"/>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2,144</w:t>
            </w:r>
          </w:p>
        </w:tc>
        <w:tc>
          <w:tcPr>
            <w:tcW w:w="1120" w:type="dxa"/>
            <w:vAlign w:val="bottom"/>
            <w:gridSpan w:val="2"/>
            <w:shd w:val="clear" w:color="auto" w:fill="EEEEEE"/>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10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r>
      <w:tr>
        <w:trPr>
          <w:trHeight w:val="229"/>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EEEEEE"/>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106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5"/>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51,093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29,575</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1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(27,902)</w:t>
            </w:r>
          </w:p>
        </w:tc>
        <w:tc>
          <w:tcPr>
            <w:tcW w:w="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(26,651)</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8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Borders>
              <w:bottom w:val="single" w:sz="8" w:color="EEEEEE"/>
            </w:tcBorders>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(23,702)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(3,220)</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3,474</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gridSpan w:val="2"/>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 were as follows: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FFFFFF"/>
                <w:w w:val="70"/>
              </w:rPr>
              <w:t>$</w:t>
            </w:r>
          </w:p>
        </w:tc>
        <w:tc>
          <w:tcPr>
            <w:tcW w:w="15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80" w:type="dxa"/>
            <w:vAlign w:val="bottom"/>
          </w:tcPr>
          <w:p>
            <w:pPr>
              <w:spacing w:after="0"/>
              <w:rPr>
                <w:sz w:val="21"/>
                <w:szCs w:val="21"/>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 (excluding the three months ended March 31, 2024)</w:t>
            </w: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EEEEEE"/>
            </w:tcBorders>
            <w:shd w:val="clear" w:color="auto" w:fill="EEEEE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5,408</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8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28,136</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EEEEEE"/>
            </w:tcBorders>
            <w:shd w:val="clear" w:color="auto" w:fill="EEEEE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23,702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5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cost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21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7" w:lineRule="exact"/>
        <w:rPr>
          <w:sz w:val="20"/>
          <w:szCs w:val="20"/>
          <w:color w:val="auto"/>
        </w:rPr>
      </w:pPr>
    </w:p>
    <w:p>
      <w:pPr>
        <w:ind w:left="600"/>
        <w:spacing w:after="0"/>
        <w:tabs>
          <w:tab w:leader="none" w:pos="24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221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1"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14605</wp:posOffset>
            </wp:positionV>
            <wp:extent cx="563181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31815" cy="137160"/>
                    </a:xfrm>
                    <a:prstGeom prst="rect">
                      <a:avLst/>
                    </a:prstGeom>
                    <a:noFill/>
                  </pic:spPr>
                </pic:pic>
              </a:graphicData>
            </a:graphic>
          </wp:anchor>
        </w:drawing>
      </w:r>
    </w:p>
    <w:p>
      <w:pPr>
        <w:spacing w:after="0" w:line="3" w:lineRule="exact"/>
        <w:rPr>
          <w:sz w:val="20"/>
          <w:szCs w:val="20"/>
          <w:color w:val="auto"/>
        </w:rPr>
      </w:pPr>
    </w:p>
    <w:p>
      <w:pPr>
        <w:spacing w:after="0"/>
        <w:tabs>
          <w:tab w:leader="none" w:pos="1140" w:val="left"/>
          <w:tab w:leader="none" w:pos="1840" w:val="left"/>
          <w:tab w:leader="none" w:pos="3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1,374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1,360</w:t>
      </w:r>
    </w:p>
    <w:p>
      <w:pPr>
        <w:spacing w:after="0" w:line="9" w:lineRule="exact"/>
        <w:rPr>
          <w:sz w:val="20"/>
          <w:szCs w:val="20"/>
          <w:color w:val="auto"/>
        </w:rPr>
      </w:pPr>
    </w:p>
    <w:p>
      <w:pPr>
        <w:jc w:val="both"/>
        <w:ind w:left="1380"/>
        <w:spacing w:after="0"/>
        <w:tabs>
          <w:tab w:leader="none" w:pos="32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14605</wp:posOffset>
            </wp:positionV>
            <wp:extent cx="563181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31815" cy="162560"/>
                    </a:xfrm>
                    <a:prstGeom prst="rect">
                      <a:avLst/>
                    </a:prstGeom>
                    <a:noFill/>
                  </pic:spPr>
                </pic:pic>
              </a:graphicData>
            </a:graphic>
          </wp:anchor>
        </w:drawing>
      </w:r>
    </w:p>
    <w:p>
      <w:pPr>
        <w:spacing w:after="0" w:line="11" w:lineRule="exact"/>
        <w:rPr>
          <w:sz w:val="20"/>
          <w:szCs w:val="20"/>
          <w:color w:val="auto"/>
        </w:rPr>
      </w:pPr>
    </w:p>
    <w:p>
      <w:pPr>
        <w:spacing w:after="0"/>
        <w:tabs>
          <w:tab w:leader="none" w:pos="1140" w:val="left"/>
          <w:tab w:leader="none" w:pos="1840" w:val="left"/>
          <w:tab w:leader="none" w:pos="3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1,388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2219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5960"/>
          </w:cols>
          <w:pgMar w:left="320" w:top="792" w:right="339" w:bottom="1440" w:gutter="0" w:footer="0" w:header="0"/>
          <w:type w:val="continuous"/>
        </w:sectPr>
      </w:pP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2980" w:type="dxa"/>
            <w:vAlign w:val="bottom"/>
            <w:gridSpan w:val="3"/>
          </w:tcPr>
          <w:p>
            <w:pPr>
              <w:jc w:val="center"/>
              <w:ind w:left="41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2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tcPr>
          <w:p>
            <w:pPr>
              <w:spacing w:after="0"/>
              <w:rPr>
                <w:sz w:val="20"/>
                <w:szCs w:val="20"/>
                <w:color w:val="auto"/>
              </w:rPr>
            </w:pPr>
          </w:p>
        </w:tc>
        <w:tc>
          <w:tcPr>
            <w:tcW w:w="192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60" w:type="dxa"/>
            <w:vAlign w:val="bottom"/>
            <w:shd w:val="clear" w:color="auto" w:fill="EEEEEE"/>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1,374</w:t>
            </w:r>
          </w:p>
        </w:tc>
        <w:tc>
          <w:tcPr>
            <w:tcW w:w="1260" w:type="dxa"/>
            <w:vAlign w:val="bottom"/>
            <w:shd w:val="clear" w:color="auto" w:fill="EEEEEE"/>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60" w:type="dxa"/>
            <w:vAlign w:val="bottom"/>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60" w:type="dxa"/>
            <w:vAlign w:val="bottom"/>
            <w:shd w:val="clear" w:color="auto" w:fill="EEEEEE"/>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shd w:val="clear" w:color="auto" w:fill="EEEEEE"/>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we recorded stock-based compensation costs in the amount of $832,000 and $912,000, respectively. As of March 31, 2024, unrecognized stock-based compensation costs to be recognized over future periods equaled $5.1 million. This amount will be recognized as expense over a weighted-average period of 1.5 years.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represents stock option activity for the three months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0" w:type="dxa"/>
            <w:vAlign w:val="bottom"/>
          </w:tcPr>
          <w:p>
            <w:pPr>
              <w:spacing w:after="0"/>
              <w:rPr>
                <w:sz w:val="1"/>
                <w:szCs w:val="1"/>
                <w:color w:val="auto"/>
              </w:rPr>
            </w:pPr>
          </w:p>
        </w:tc>
      </w:tr>
      <w:tr>
        <w:trPr>
          <w:trHeight w:val="209"/>
        </w:trPr>
        <w:tc>
          <w:tcPr>
            <w:tcW w:w="4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28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4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322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3.92</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Pr>
          <w:p>
            <w:pPr>
              <w:spacing w:after="0"/>
              <w:rPr>
                <w:sz w:val="19"/>
                <w:szCs w:val="19"/>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28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80" w:type="dxa"/>
            <w:vAlign w:val="bottom"/>
            <w:tcBorders>
              <w:top w:val="single" w:sz="8" w:color="EEEEEE"/>
              <w:bottom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2.95 years</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322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6,070</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4.51</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2.47 years</w:t>
            </w:r>
          </w:p>
        </w:tc>
        <w:tc>
          <w:tcPr>
            <w:tcW w:w="0" w:type="dxa"/>
            <w:vAlign w:val="bottom"/>
          </w:tcPr>
          <w:p>
            <w:pPr>
              <w:spacing w:after="0"/>
              <w:rPr>
                <w:sz w:val="1"/>
                <w:szCs w:val="1"/>
                <w:color w:val="auto"/>
              </w:rPr>
            </w:pPr>
          </w:p>
        </w:tc>
      </w:tr>
      <w:tr>
        <w:trPr>
          <w:trHeight w:val="20"/>
        </w:trPr>
        <w:tc>
          <w:tcPr>
            <w:tcW w:w="446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bottom w:val="single" w:sz="8" w:color="EEEEEE"/>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for the years ended March 31,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38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3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38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94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20" w:type="dxa"/>
            <w:vAlign w:val="bottom"/>
          </w:tcPr>
          <w:p>
            <w:pPr>
              <w:spacing w:after="0"/>
              <w:rPr>
                <w:sz w:val="19"/>
                <w:szCs w:val="19"/>
                <w:color w:val="auto"/>
              </w:rPr>
            </w:pPr>
          </w:p>
        </w:tc>
        <w:tc>
          <w:tcPr>
            <w:tcW w:w="1880" w:type="dxa"/>
            <w:vAlign w:val="bottom"/>
            <w:tcBorders>
              <w:top w:val="single" w:sz="8" w:color="auto"/>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8"/>
                <w:szCs w:val="18"/>
                <w:color w:val="auto"/>
              </w:rPr>
            </w:pPr>
          </w:p>
        </w:tc>
        <w:tc>
          <w:tcPr>
            <w:tcW w:w="34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 $2.99</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1,410</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1,083</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1,410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$3.00 - $3.99</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2,383</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2,383</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$4.00 - $4.99</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2,450</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1,839</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2,539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$6.00 - $6.99</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$7.00 - $7.99</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$10.00 - $10.99</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1,702</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765</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3"/>
        </w:trPr>
        <w:tc>
          <w:tcPr>
            <w:tcW w:w="3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2024 the aggregate intrinsic value of options outstanding and exercisable was $23.9 million and $20.6 million, respectively. There were 180,000 options exercised for the three months ended March 31, 2024 compared to 1,086,000 for the comparable period in 2023. The total intrinsic value of options exercised was $716,000 and $3.8 million for the three-month periods ended March 31, 2024 and 2023. There were 2,684,000 shares available for future stock option grants under existing plans as of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three months ended March 31, 2024 and 2023:</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purchases</w:t>
      </w:r>
    </w:p>
    <w:p>
      <w:pPr>
        <w:spacing w:after="0" w:line="27" w:lineRule="exact"/>
        <w:rPr>
          <w:sz w:val="20"/>
          <w:szCs w:val="20"/>
          <w:color w:val="auto"/>
        </w:rPr>
      </w:pPr>
    </w:p>
    <w:p>
      <w:pPr>
        <w:ind w:left="180" w:hanging="179"/>
        <w:spacing w:after="0" w:line="250" w:lineRule="auto"/>
        <w:rPr>
          <w:sz w:val="20"/>
          <w:szCs w:val="20"/>
          <w:color w:val="auto"/>
        </w:rPr>
      </w:pPr>
      <w:r>
        <w:rPr>
          <w:rFonts w:ascii="Times New Roman" w:cs="Times New Roman" w:eastAsia="Times New Roman" w:hAnsi="Times New Roman"/>
          <w:sz w:val="18"/>
          <w:szCs w:val="18"/>
          <w:color w:val="auto"/>
        </w:rPr>
        <w:t>Shares redeemed upon net exercise of stock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 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80" w:type="dxa"/>
            <w:vAlign w:val="bottom"/>
            <w:gridSpan w:val="5"/>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31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gridSpan w:val="5"/>
          </w:tcPr>
          <w:p>
            <w:pPr>
              <w:ind w:left="112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23"/>
        </w:trPr>
        <w:tc>
          <w:tcPr>
            <w:tcW w:w="194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3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Borders>
              <w:top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0" w:type="dxa"/>
            <w:vAlign w:val="bottom"/>
          </w:tcPr>
          <w:p>
            <w:pPr>
              <w:spacing w:after="0"/>
              <w:rPr>
                <w:sz w:val="19"/>
                <w:szCs w:val="19"/>
                <w:color w:val="auto"/>
              </w:rPr>
            </w:pPr>
          </w:p>
        </w:tc>
      </w:tr>
      <w:tr>
        <w:trPr>
          <w:trHeight w:val="228"/>
        </w:trPr>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101,355</w:t>
            </w:r>
          </w:p>
        </w:tc>
        <w:tc>
          <w:tcPr>
            <w:tcW w:w="340" w:type="dxa"/>
            <w:vAlign w:val="bottom"/>
          </w:tcPr>
          <w:p>
            <w:pPr>
              <w:spacing w:after="0"/>
              <w:rPr>
                <w:sz w:val="19"/>
                <w:szCs w:val="19"/>
                <w:color w:val="auto"/>
              </w:rPr>
            </w:pPr>
          </w:p>
        </w:tc>
        <w:tc>
          <w:tcPr>
            <w:tcW w:w="122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2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263,185</w:t>
            </w:r>
          </w:p>
        </w:tc>
        <w:tc>
          <w:tcPr>
            <w:tcW w:w="3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tcPr>
          <w:p>
            <w:pPr>
              <w:spacing w:after="0"/>
              <w:rPr>
                <w:sz w:val="19"/>
                <w:szCs w:val="19"/>
                <w:color w:val="auto"/>
              </w:rPr>
            </w:pPr>
          </w:p>
        </w:tc>
      </w:tr>
      <w:tr>
        <w:trPr>
          <w:trHeight w:val="427"/>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105,758</w:t>
            </w:r>
          </w:p>
        </w:tc>
        <w:tc>
          <w:tcPr>
            <w:tcW w:w="122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7.89</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458,392</w:t>
            </w:r>
          </w:p>
        </w:tc>
        <w:tc>
          <w:tcPr>
            <w:tcW w:w="24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9.93</w:t>
            </w:r>
          </w:p>
        </w:tc>
      </w:tr>
      <w:tr>
        <w:trPr>
          <w:trHeight w:val="223"/>
        </w:trPr>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207,113</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721,577</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-607695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-179070</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3160" w:space="680"/>
            <w:col w:w="7400"/>
          </w:cols>
          <w:pgMar w:left="320" w:top="792" w:right="339" w:bottom="1440" w:gutter="0" w:footer="0" w:header="0"/>
          <w:type w:val="continuous"/>
        </w:sectPr>
      </w:pPr>
    </w:p>
    <w:p>
      <w:pPr>
        <w:spacing w:after="0" w:line="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2024,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which is intended to enhance the disclosures on reportable segments. This new standard will be effective for annual reporting periods beginning after December 15, 2023, with early adoption permitted. The Company is currently evaluating the impact of ASU 2023-07; however, at the current time, the Company does not believe this ASU will have a material impact on its consolidated financial statements.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which is intended to provide greater transparency in various income tax components that affect the rate reconciliation based on the applicable taxing jurisdictions, as well as the qualitative and quantitative aspects of those components. This new standard will be effective for annual reporting periods beginning on or after December 15, 2024, with early adoption permitted. The Company is currently evaluating the impact of ASU 2023-09; however, at the current time, the Company does not believe this ASU will have a material impact on its consolidated financial statements.</w:t>
      </w:r>
    </w:p>
    <w:p>
      <w:pPr>
        <w:spacing w:after="0" w:line="17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The following table summarizes the delinquency status of finance receivables as of March 31, 2024 and December 31,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17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460" w:type="dxa"/>
            <w:vAlign w:val="bottom"/>
            <w:gridSpan w:val="5"/>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1020" w:type="dxa"/>
            <w:vAlign w:val="bottom"/>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12,629</w:t>
            </w:r>
          </w:p>
        </w:tc>
        <w:tc>
          <w:tcPr>
            <w:tcW w:w="340" w:type="dxa"/>
            <w:vAlign w:val="bottom"/>
            <w:gridSpan w:val="2"/>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17,771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31-60 days</w:t>
            </w: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5,626</w:t>
            </w: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61-90 days</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2,065</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91 + days</w:t>
            </w:r>
          </w:p>
        </w:tc>
        <w:tc>
          <w:tcPr>
            <w:tcW w:w="10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3"/>
        </w:trPr>
        <w:tc>
          <w:tcPr>
            <w:tcW w:w="528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Finance receivables totaling $469,000 and $1.1 million at March 31, 2024 and December 31, 2023, respectively, have been placed on non-accrual status as a result of their delinquency status.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Throughout our history we have observed how events such as extreme weather, political unrest, and other qualitative factors have influenced the performance of our portfolio. Consequently, we have considered how such qualitative factors may affect future credit losses and have incorporated our judgement of the effect of those factors into our estimates.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our finance receivables by annual vintage as of March 31,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780" w:type="dxa"/>
            <w:vAlign w:val="bottom"/>
          </w:tcPr>
          <w:p>
            <w:pPr>
              <w:spacing w:after="0"/>
              <w:rPr>
                <w:sz w:val="20"/>
                <w:szCs w:val="20"/>
                <w:color w:val="auto"/>
              </w:rPr>
            </w:pPr>
          </w:p>
        </w:tc>
        <w:tc>
          <w:tcPr>
            <w:tcW w:w="3740" w:type="dxa"/>
            <w:vAlign w:val="bottom"/>
            <w:gridSpan w:val="3"/>
            <w:vMerge w:val="restart"/>
          </w:tcPr>
          <w:p>
            <w:pPr>
              <w:jc w:val="right"/>
              <w:ind w:right="2156"/>
              <w:spacing w:after="0"/>
              <w:rPr>
                <w:sz w:val="20"/>
                <w:szCs w:val="20"/>
                <w:color w:val="auto"/>
              </w:rPr>
            </w:pPr>
            <w:r>
              <w:rPr>
                <w:rFonts w:ascii="Times New Roman" w:cs="Times New Roman" w:eastAsia="Times New Roman" w:hAnsi="Times New Roman"/>
                <w:sz w:val="18"/>
                <w:szCs w:val="18"/>
                <w:color w:val="auto"/>
                <w:w w:val="97"/>
              </w:rPr>
              <w:t>Annual Vintage Pool</w:t>
            </w:r>
          </w:p>
        </w:tc>
        <w:tc>
          <w:tcPr>
            <w:tcW w:w="3240" w:type="dxa"/>
            <w:vAlign w:val="bottom"/>
            <w:gridSpan w:val="5"/>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780" w:type="dxa"/>
            <w:vAlign w:val="bottom"/>
          </w:tcPr>
          <w:p>
            <w:pPr>
              <w:spacing w:after="0"/>
              <w:rPr>
                <w:sz w:val="13"/>
                <w:szCs w:val="13"/>
                <w:color w:val="auto"/>
              </w:rPr>
            </w:pPr>
          </w:p>
        </w:tc>
        <w:tc>
          <w:tcPr>
            <w:tcW w:w="374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3740" w:type="dxa"/>
            <w:vAlign w:val="bottom"/>
            <w:gridSpan w:val="3"/>
            <w:shd w:val="clear" w:color="auto" w:fill="EEEEEE"/>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gridSpan w:val="2"/>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16"/>
        </w:trPr>
        <w:tc>
          <w:tcPr>
            <w:tcW w:w="1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15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4,991</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7,673</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17,722</w:t>
            </w:r>
          </w:p>
        </w:tc>
        <w:tc>
          <w:tcPr>
            <w:tcW w:w="0" w:type="dxa"/>
            <w:vAlign w:val="bottom"/>
          </w:tcPr>
          <w:p>
            <w:pPr>
              <w:spacing w:after="0"/>
              <w:rPr>
                <w:sz w:val="1"/>
                <w:szCs w:val="1"/>
                <w:color w:val="auto"/>
              </w:rPr>
            </w:pPr>
          </w:p>
        </w:tc>
      </w:tr>
      <w:tr>
        <w:trPr>
          <w:trHeight w:val="223"/>
        </w:trPr>
        <w:tc>
          <w:tcPr>
            <w:tcW w:w="178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200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 periods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2920" w:type="dxa"/>
            <w:vAlign w:val="bottom"/>
            <w:gridSpan w:val="5"/>
          </w:tcPr>
          <w:p>
            <w:pPr>
              <w:jc w:val="center"/>
              <w:ind w:left="47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8"/>
        </w:trPr>
        <w:tc>
          <w:tcPr>
            <w:tcW w:w="5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20" w:type="dxa"/>
            <w:vAlign w:val="bottom"/>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2,869</w:t>
            </w:r>
          </w:p>
        </w:tc>
        <w:tc>
          <w:tcPr>
            <w:tcW w:w="1180" w:type="dxa"/>
            <w:vAlign w:val="bottom"/>
            <w:gridSpan w:val="2"/>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21,753</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Charge-offs</w:t>
            </w:r>
          </w:p>
        </w:tc>
        <w:tc>
          <w:tcPr>
            <w:tcW w:w="10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(3,018)</w:t>
            </w: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0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4,993</w:t>
            </w: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20" w:type="dxa"/>
            <w:vAlign w:val="bottom"/>
            <w:tcBorders>
              <w:top w:val="single" w:sz="8" w:color="auto"/>
              <w:bottom w:val="single" w:sz="8" w:color="auto"/>
            </w:tcBorders>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charge-offs by year of origination of our finance receivables for the three-month periods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980" w:type="dxa"/>
            <w:vAlign w:val="bottom"/>
            <w:gridSpan w:val="5"/>
          </w:tcPr>
          <w:p>
            <w:pPr>
              <w:jc w:val="center"/>
              <w:ind w:left="41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4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Annual Vintage Pool</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780" w:type="dxa"/>
            <w:vAlign w:val="bottom"/>
          </w:tcPr>
          <w:p>
            <w:pPr>
              <w:spacing w:after="0"/>
              <w:rPr>
                <w:sz w:val="13"/>
                <w:szCs w:val="13"/>
                <w:color w:val="auto"/>
              </w:rPr>
            </w:pPr>
          </w:p>
        </w:tc>
        <w:tc>
          <w:tcPr>
            <w:tcW w:w="35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1920" w:type="dxa"/>
            <w:vAlign w:val="bottom"/>
            <w:gridSpan w:val="4"/>
          </w:tcPr>
          <w:p>
            <w:pPr>
              <w:jc w:val="center"/>
              <w:ind w:right="476"/>
              <w:spacing w:after="0" w:line="14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1060" w:type="dxa"/>
            <w:vAlign w:val="bottom"/>
            <w:shd w:val="clear" w:color="auto" w:fill="EEEEEE"/>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70</w:t>
            </w:r>
          </w:p>
        </w:tc>
        <w:tc>
          <w:tcPr>
            <w:tcW w:w="1120" w:type="dxa"/>
            <w:vAlign w:val="bottom"/>
            <w:gridSpan w:val="2"/>
            <w:shd w:val="clear" w:color="auto" w:fill="EEEEEE"/>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15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Applied against repos in inventory (net)</w:t>
            </w:r>
          </w:p>
        </w:tc>
        <w:tc>
          <w:tcPr>
            <w:tcW w:w="106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EEEEEE"/>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62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280" w:type="dxa"/>
            <w:vAlign w:val="bottom"/>
          </w:tcPr>
          <w:p>
            <w:pPr>
              <w:spacing w:after="0"/>
              <w:rPr>
                <w:sz w:val="20"/>
                <w:szCs w:val="20"/>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09"/>
        </w:trPr>
        <w:tc>
          <w:tcPr>
            <w:tcW w:w="5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00" w:type="dxa"/>
            <w:vAlign w:val="bottom"/>
            <w:gridSpan w:val="5"/>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balance of repossessions in inventory</w:t>
            </w:r>
          </w:p>
        </w:tc>
        <w:tc>
          <w:tcPr>
            <w:tcW w:w="1180" w:type="dxa"/>
            <w:vAlign w:val="bottom"/>
            <w:shd w:val="clear" w:color="auto" w:fill="EEEEEE"/>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546</w:t>
            </w:r>
          </w:p>
        </w:tc>
        <w:tc>
          <w:tcPr>
            <w:tcW w:w="320" w:type="dxa"/>
            <w:vAlign w:val="bottom"/>
            <w:gridSpan w:val="2"/>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597</w:t>
            </w: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losses on repossessed inventory</w:t>
            </w:r>
          </w:p>
        </w:tc>
        <w:tc>
          <w:tcPr>
            <w:tcW w:w="118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repossessed inventory included in other assets</w:t>
            </w:r>
          </w:p>
        </w:tc>
        <w:tc>
          <w:tcPr>
            <w:tcW w:w="1180" w:type="dxa"/>
            <w:vAlign w:val="bottom"/>
            <w:tcBorders>
              <w:top w:val="single" w:sz="8" w:color="auto"/>
              <w:bottom w:val="single" w:sz="8" w:color="auto"/>
            </w:tcBorders>
            <w:shd w:val="clear" w:color="auto" w:fill="EEEEEE"/>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1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16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6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8"/>
        </w:trPr>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16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2024 (2)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5"/>
          </w:tcPr>
          <w:p>
            <w:pPr>
              <w:ind w:left="11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2019-B</w:t>
            </w:r>
          </w:p>
        </w:tc>
        <w:tc>
          <w:tcPr>
            <w:tcW w:w="1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June 2026</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228,275</w:t>
            </w:r>
          </w:p>
        </w:tc>
        <w:tc>
          <w:tcPr>
            <w:tcW w:w="2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15,742</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2019-C</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2026</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20,050</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243,513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15,489</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19,725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2019-D</w:t>
            </w:r>
          </w:p>
        </w:tc>
        <w:tc>
          <w:tcPr>
            <w:tcW w:w="1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December 2026</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27,023</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274,313</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21,811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27,445</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2020-A</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2027</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26,213</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21,459</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26,382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2020-B</w:t>
            </w:r>
          </w:p>
        </w:tc>
        <w:tc>
          <w:tcPr>
            <w:tcW w:w="1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June 2027</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31,296</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202,343</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20,745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24,197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2020-C</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2027</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44,231</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37,586</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43,487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2021-A</w:t>
            </w:r>
          </w:p>
        </w:tc>
        <w:tc>
          <w:tcPr>
            <w:tcW w:w="1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March 2028</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48,164</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230,545</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34,383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39,039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2021-B</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2028</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61,128</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47,473</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55,684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2021-C</w:t>
            </w:r>
          </w:p>
        </w:tc>
        <w:tc>
          <w:tcPr>
            <w:tcW w:w="1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September 2028</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93,137</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291,000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73,693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85,563</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2021-D</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2028</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126,773</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349,202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110,294</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126,059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2022-A</w:t>
            </w:r>
          </w:p>
        </w:tc>
        <w:tc>
          <w:tcPr>
            <w:tcW w:w="1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April 2029</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141,660</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316,800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120,884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137,479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2022-B</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2029</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218,246</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191,200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213,779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2022-C</w:t>
            </w:r>
          </w:p>
        </w:tc>
        <w:tc>
          <w:tcPr>
            <w:tcW w:w="1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April 2030</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253,043</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391,600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205,529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230,273</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2022-D</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2030</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211,067</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185,573</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205,583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2023-A</w:t>
            </w:r>
          </w:p>
        </w:tc>
        <w:tc>
          <w:tcPr>
            <w:tcW w:w="1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August 2030</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251,394</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324,768</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208,585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231,906</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2023-B</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2030</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275,600</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241,966</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268,172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2023-C</w:t>
            </w:r>
          </w:p>
        </w:tc>
        <w:tc>
          <w:tcPr>
            <w:tcW w:w="1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February 2031</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259,928</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291,732</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236,937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257,568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2023-D</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2031</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275,342</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286,149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252,383</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271,939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2024-A</w:t>
            </w:r>
          </w:p>
        </w:tc>
        <w:tc>
          <w:tcPr>
            <w:tcW w:w="18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August 2031</w:t>
            </w:r>
          </w:p>
        </w:tc>
        <w:tc>
          <w:tcPr>
            <w:tcW w:w="1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287,710</w:t>
            </w:r>
          </w:p>
        </w:tc>
        <w:tc>
          <w:tcPr>
            <w:tcW w:w="2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280,924</w:t>
            </w: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266,246</w:t>
            </w:r>
          </w:p>
        </w:tc>
        <w:tc>
          <w:tcPr>
            <w:tcW w:w="1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2,652,004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5,498,867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2,292,235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2,280,021</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2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460" w:hanging="452"/>
        <w:spacing w:after="0" w:line="250" w:lineRule="auto"/>
        <w:tabs>
          <w:tab w:leader="none" w:pos="4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$644.3 million in 2024, $691.9 million in 2025, $435.8 million in 2026, $284.8 million in 2027, $169.4 million in 2028, and $51.5 million in 2029.</w:t>
      </w:r>
    </w:p>
    <w:p>
      <w:pPr>
        <w:spacing w:after="0" w:line="1"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Debt issuance costs of $14.6 million as of March 31, 2024 and December 31, 2023 have been excluded from the table above. These debt issuance costs are presented as a direct deduction to the carrying amount of the Securitization trust debt on our Consolidated Balance Sheets.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March 31, 2024, we were in compliance with all such covenants.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2024, restricted cash under the various agreements totaled approximately $137.7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and amounts of our other debt outstanding at March 31, 2024 and December 31, 2023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2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3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8"/>
                <w:szCs w:val="18"/>
                <w:color w:val="auto"/>
              </w:rPr>
              <w:t>Description</w:t>
            </w:r>
          </w:p>
        </w:tc>
        <w:tc>
          <w:tcPr>
            <w:tcW w:w="2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Interest Rate</w:t>
            </w:r>
          </w:p>
        </w:tc>
        <w:tc>
          <w:tcPr>
            <w:tcW w:w="27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8"/>
              </w:rPr>
              <w:t>Maturity</w:t>
            </w:r>
          </w:p>
        </w:tc>
        <w:tc>
          <w:tcPr>
            <w:tcW w:w="240" w:type="dxa"/>
            <w:vAlign w:val="bottom"/>
          </w:tcPr>
          <w:p>
            <w:pPr>
              <w:spacing w:after="0"/>
              <w:rPr>
                <w:sz w:val="20"/>
                <w:szCs w:val="20"/>
                <w:color w:val="auto"/>
              </w:rPr>
            </w:pPr>
          </w:p>
        </w:tc>
        <w:tc>
          <w:tcPr>
            <w:tcW w:w="312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300" w:type="dxa"/>
            <w:vAlign w:val="bottom"/>
            <w:gridSpan w:val="3"/>
            <w:vMerge w:val="continue"/>
          </w:tcPr>
          <w:p>
            <w:pPr>
              <w:spacing w:after="0"/>
              <w:rPr>
                <w:sz w:val="13"/>
                <w:szCs w:val="13"/>
                <w:color w:val="auto"/>
              </w:rPr>
            </w:pPr>
          </w:p>
        </w:tc>
        <w:tc>
          <w:tcPr>
            <w:tcW w:w="2720" w:type="dxa"/>
            <w:vAlign w:val="bottom"/>
            <w:gridSpan w:val="3"/>
            <w:vMerge w:val="continue"/>
          </w:tcPr>
          <w:p>
            <w:pPr>
              <w:spacing w:after="0"/>
              <w:rPr>
                <w:sz w:val="13"/>
                <w:szCs w:val="13"/>
                <w:color w:val="auto"/>
              </w:rPr>
            </w:pPr>
          </w:p>
        </w:tc>
        <w:tc>
          <w:tcPr>
            <w:tcW w:w="27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720" w:type="dxa"/>
            <w:vAlign w:val="bottom"/>
            <w:gridSpan w:val="3"/>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3.00% over CP yield rate</w:t>
            </w:r>
          </w:p>
        </w:tc>
        <w:tc>
          <w:tcPr>
            <w:tcW w:w="10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720" w:type="dxa"/>
            <w:vAlign w:val="bottom"/>
            <w:gridSpan w:val="3"/>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(Minimum 3.75%) 8.42% and</w:t>
            </w:r>
          </w:p>
        </w:tc>
        <w:tc>
          <w:tcPr>
            <w:tcW w:w="10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720" w:type="dxa"/>
            <w:vAlign w:val="bottom"/>
            <w:gridSpan w:val="3"/>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8.58% at March 31, 2024 and</w:t>
            </w:r>
          </w:p>
        </w:tc>
        <w:tc>
          <w:tcPr>
            <w:tcW w:w="10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720" w:type="dxa"/>
            <w:vAlign w:val="bottom"/>
            <w:gridSpan w:val="3"/>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December 31 2023, respectively</w:t>
            </w:r>
          </w:p>
        </w:tc>
        <w:tc>
          <w:tcPr>
            <w:tcW w:w="2760" w:type="dxa"/>
            <w:vAlign w:val="bottom"/>
            <w:gridSpan w:val="3"/>
            <w:shd w:val="clear" w:color="auto" w:fill="EEEEEE"/>
          </w:tcPr>
          <w:p>
            <w:pPr>
              <w:jc w:val="center"/>
              <w:ind w:right="20"/>
              <w:spacing w:after="0"/>
              <w:rPr>
                <w:sz w:val="20"/>
                <w:szCs w:val="20"/>
                <w:color w:val="auto"/>
              </w:rPr>
            </w:pPr>
            <w:r>
              <w:rPr>
                <w:rFonts w:ascii="Times New Roman" w:cs="Times New Roman" w:eastAsia="Times New Roman" w:hAnsi="Times New Roman"/>
                <w:sz w:val="18"/>
                <w:szCs w:val="18"/>
                <w:color w:val="auto"/>
                <w:w w:val="99"/>
              </w:rPr>
              <w:t>July 2024</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184,079</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165,628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720" w:type="dxa"/>
            <w:vAlign w:val="bottom"/>
            <w:gridSpan w:val="3"/>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4.50% over a commercial paper</w:t>
            </w:r>
          </w:p>
        </w:tc>
        <w:tc>
          <w:tcPr>
            <w:tcW w:w="10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720" w:type="dxa"/>
            <w:vAlign w:val="bottom"/>
            <w:gridSpan w:val="3"/>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rate (Minimum 7.50%) 9.94% and</w:t>
            </w:r>
          </w:p>
        </w:tc>
        <w:tc>
          <w:tcPr>
            <w:tcW w:w="10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720" w:type="dxa"/>
            <w:vAlign w:val="bottom"/>
            <w:gridSpan w:val="3"/>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9.63% at March 31 2024, and</w:t>
            </w:r>
          </w:p>
        </w:tc>
        <w:tc>
          <w:tcPr>
            <w:tcW w:w="10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2720" w:type="dxa"/>
            <w:vAlign w:val="bottom"/>
            <w:gridSpan w:val="3"/>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December 31 2023, respectively</w:t>
            </w:r>
          </w:p>
        </w:tc>
        <w:tc>
          <w:tcPr>
            <w:tcW w:w="2760" w:type="dxa"/>
            <w:vAlign w:val="bottom"/>
            <w:gridSpan w:val="3"/>
            <w:shd w:val="clear" w:color="auto" w:fill="EEEEEE"/>
          </w:tcPr>
          <w:p>
            <w:pPr>
              <w:jc w:val="center"/>
              <w:ind w:right="40"/>
              <w:spacing w:after="0"/>
              <w:rPr>
                <w:sz w:val="20"/>
                <w:szCs w:val="20"/>
                <w:color w:val="auto"/>
              </w:rPr>
            </w:pPr>
            <w:r>
              <w:rPr>
                <w:rFonts w:ascii="Times New Roman" w:cs="Times New Roman" w:eastAsia="Times New Roman" w:hAnsi="Times New Roman"/>
                <w:sz w:val="18"/>
                <w:szCs w:val="18"/>
                <w:color w:val="auto"/>
              </w:rPr>
              <w:t>March 2026</w:t>
            </w:r>
          </w:p>
        </w:tc>
        <w:tc>
          <w:tcPr>
            <w:tcW w:w="24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67,721</w:t>
            </w:r>
          </w:p>
        </w:tc>
        <w:tc>
          <w:tcPr>
            <w:tcW w:w="18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68,997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8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880" w:type="dxa"/>
            <w:vAlign w:val="bottom"/>
            <w:shd w:val="clear" w:color="auto" w:fill="EEEEEE"/>
          </w:tcPr>
          <w:p>
            <w:pPr>
              <w:spacing w:after="0"/>
              <w:rPr>
                <w:sz w:val="18"/>
                <w:szCs w:val="18"/>
                <w:color w:val="auto"/>
              </w:rPr>
            </w:pPr>
          </w:p>
        </w:tc>
        <w:tc>
          <w:tcPr>
            <w:tcW w:w="2760" w:type="dxa"/>
            <w:vAlign w:val="bottom"/>
            <w:gridSpan w:val="3"/>
            <w:shd w:val="clear" w:color="auto" w:fill="EEEEEE"/>
          </w:tcPr>
          <w:p>
            <w:pPr>
              <w:jc w:val="center"/>
              <w:ind w:right="20"/>
              <w:spacing w:after="0"/>
              <w:rPr>
                <w:sz w:val="20"/>
                <w:szCs w:val="20"/>
                <w:color w:val="auto"/>
              </w:rPr>
            </w:pPr>
            <w:r>
              <w:rPr>
                <w:rFonts w:ascii="Times New Roman" w:cs="Times New Roman" w:eastAsia="Times New Roman" w:hAnsi="Times New Roman"/>
                <w:sz w:val="18"/>
                <w:szCs w:val="18"/>
                <w:color w:val="auto"/>
              </w:rPr>
              <w:t>June 2026</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8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11.50%</w:t>
            </w:r>
          </w:p>
        </w:tc>
        <w:tc>
          <w:tcPr>
            <w:tcW w:w="880" w:type="dxa"/>
            <w:vAlign w:val="bottom"/>
            <w:shd w:val="clear" w:color="auto" w:fill="EEEEEE"/>
          </w:tcPr>
          <w:p>
            <w:pPr>
              <w:spacing w:after="0"/>
              <w:rPr>
                <w:sz w:val="18"/>
                <w:szCs w:val="18"/>
                <w:color w:val="auto"/>
              </w:rPr>
            </w:pPr>
          </w:p>
        </w:tc>
        <w:tc>
          <w:tcPr>
            <w:tcW w:w="2760" w:type="dxa"/>
            <w:vAlign w:val="bottom"/>
            <w:gridSpan w:val="3"/>
            <w:shd w:val="clear" w:color="auto" w:fill="EEEEEE"/>
          </w:tcPr>
          <w:p>
            <w:pPr>
              <w:jc w:val="center"/>
              <w:ind w:right="40"/>
              <w:spacing w:after="0"/>
              <w:rPr>
                <w:sz w:val="20"/>
                <w:szCs w:val="20"/>
                <w:color w:val="auto"/>
              </w:rPr>
            </w:pPr>
            <w:r>
              <w:rPr>
                <w:rFonts w:ascii="Times New Roman" w:cs="Times New Roman" w:eastAsia="Times New Roman" w:hAnsi="Times New Roman"/>
                <w:sz w:val="18"/>
                <w:szCs w:val="18"/>
                <w:color w:val="auto"/>
              </w:rPr>
              <w:t>March 2029</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760" w:type="dxa"/>
            <w:vAlign w:val="bottom"/>
            <w:gridSpan w:val="3"/>
            <w:shd w:val="clear" w:color="auto" w:fill="EEEEEE"/>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8"/>
              </w:rPr>
              <w:t>Weighted average maturity of May</w:t>
            </w:r>
          </w:p>
        </w:tc>
        <w:tc>
          <w:tcPr>
            <w:tcW w:w="2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720" w:type="dxa"/>
            <w:vAlign w:val="bottom"/>
            <w:gridSpan w:val="3"/>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Weighted average rate of 9.01%</w:t>
            </w:r>
          </w:p>
        </w:tc>
        <w:tc>
          <w:tcPr>
            <w:tcW w:w="2760" w:type="dxa"/>
            <w:vAlign w:val="bottom"/>
            <w:gridSpan w:val="3"/>
            <w:shd w:val="clear" w:color="auto" w:fill="EEEEEE"/>
          </w:tcPr>
          <w:p>
            <w:pPr>
              <w:jc w:val="center"/>
              <w:ind w:right="20"/>
              <w:spacing w:after="0"/>
              <w:rPr>
                <w:sz w:val="20"/>
                <w:szCs w:val="20"/>
                <w:color w:val="auto"/>
              </w:rPr>
            </w:pPr>
            <w:r>
              <w:rPr>
                <w:rFonts w:ascii="Times New Roman" w:cs="Times New Roman" w:eastAsia="Times New Roman" w:hAnsi="Times New Roman"/>
                <w:sz w:val="18"/>
                <w:szCs w:val="18"/>
                <w:color w:val="auto"/>
              </w:rPr>
              <w:t>2026 and February 2026 at March</w:t>
            </w: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720" w:type="dxa"/>
            <w:vAlign w:val="bottom"/>
            <w:gridSpan w:val="3"/>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and 8.45% at March 31, 2024 and</w:t>
            </w:r>
          </w:p>
        </w:tc>
        <w:tc>
          <w:tcPr>
            <w:tcW w:w="2760" w:type="dxa"/>
            <w:vAlign w:val="bottom"/>
            <w:gridSpan w:val="3"/>
            <w:shd w:val="clear" w:color="auto" w:fill="EEEEEE"/>
          </w:tcPr>
          <w:p>
            <w:pPr>
              <w:jc w:val="center"/>
              <w:ind w:right="40"/>
              <w:spacing w:after="0"/>
              <w:rPr>
                <w:sz w:val="20"/>
                <w:szCs w:val="20"/>
                <w:color w:val="auto"/>
              </w:rPr>
            </w:pPr>
            <w:r>
              <w:rPr>
                <w:rFonts w:ascii="Times New Roman" w:cs="Times New Roman" w:eastAsia="Times New Roman" w:hAnsi="Times New Roman"/>
                <w:sz w:val="18"/>
                <w:szCs w:val="18"/>
                <w:color w:val="auto"/>
                <w:w w:val="99"/>
              </w:rPr>
              <w:t>31, 2024 and December 31, 2023,</w:t>
            </w: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720" w:type="dxa"/>
            <w:vAlign w:val="bottom"/>
            <w:gridSpan w:val="3"/>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December 31, 2023, respectively</w:t>
            </w:r>
          </w:p>
        </w:tc>
        <w:tc>
          <w:tcPr>
            <w:tcW w:w="2760" w:type="dxa"/>
            <w:vAlign w:val="bottom"/>
            <w:gridSpan w:val="3"/>
            <w:shd w:val="clear" w:color="auto" w:fill="EEEEEE"/>
          </w:tcPr>
          <w:p>
            <w:pPr>
              <w:jc w:val="center"/>
              <w:ind w:right="20"/>
              <w:spacing w:after="0"/>
              <w:rPr>
                <w:sz w:val="20"/>
                <w:szCs w:val="20"/>
                <w:color w:val="auto"/>
              </w:rPr>
            </w:pPr>
            <w:r>
              <w:rPr>
                <w:rFonts w:ascii="Times New Roman" w:cs="Times New Roman" w:eastAsia="Times New Roman" w:hAnsi="Times New Roman"/>
                <w:sz w:val="18"/>
                <w:szCs w:val="18"/>
                <w:color w:val="auto"/>
                <w:w w:val="98"/>
              </w:rPr>
              <w:t>respectively</w:t>
            </w:r>
          </w:p>
        </w:tc>
        <w:tc>
          <w:tcPr>
            <w:tcW w:w="240" w:type="dxa"/>
            <w:vAlign w:val="bottom"/>
            <w:shd w:val="clear" w:color="auto" w:fill="EEEEEE"/>
          </w:tcPr>
          <w:p>
            <w:pPr>
              <w:spacing w:after="0"/>
              <w:rPr>
                <w:sz w:val="21"/>
                <w:szCs w:val="21"/>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22,140</w:t>
            </w:r>
          </w:p>
        </w:tc>
        <w:tc>
          <w:tcPr>
            <w:tcW w:w="180" w:type="dxa"/>
            <w:vAlign w:val="bottom"/>
            <w:shd w:val="clear" w:color="auto" w:fill="EEEEEE"/>
          </w:tcPr>
          <w:p>
            <w:pPr>
              <w:spacing w:after="0"/>
              <w:rPr>
                <w:sz w:val="21"/>
                <w:szCs w:val="21"/>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740" w:type="dxa"/>
            <w:vAlign w:val="bottom"/>
            <w:shd w:val="clear" w:color="auto" w:fill="EEEEEE"/>
          </w:tcPr>
          <w:p>
            <w:pPr>
              <w:spacing w:after="0"/>
              <w:rPr>
                <w:sz w:val="21"/>
                <w:szCs w:val="21"/>
                <w:color w:val="auto"/>
              </w:rPr>
            </w:pPr>
          </w:p>
        </w:tc>
        <w:tc>
          <w:tcPr>
            <w:tcW w:w="920" w:type="dxa"/>
            <w:vAlign w:val="bottom"/>
            <w:shd w:val="clear" w:color="auto" w:fill="EEEEEE"/>
          </w:tcPr>
          <w:p>
            <w:pPr>
              <w:spacing w:after="0"/>
              <w:rPr>
                <w:sz w:val="21"/>
                <w:szCs w:val="21"/>
                <w:color w:val="auto"/>
              </w:rPr>
            </w:pPr>
          </w:p>
        </w:tc>
        <w:tc>
          <w:tcPr>
            <w:tcW w:w="92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1060" w:type="dxa"/>
            <w:vAlign w:val="bottom"/>
            <w:shd w:val="clear" w:color="auto" w:fill="EEEEEE"/>
          </w:tcPr>
          <w:p>
            <w:pPr>
              <w:spacing w:after="0"/>
              <w:rPr>
                <w:sz w:val="21"/>
                <w:szCs w:val="21"/>
                <w:color w:val="auto"/>
              </w:rPr>
            </w:pPr>
          </w:p>
        </w:tc>
        <w:tc>
          <w:tcPr>
            <w:tcW w:w="62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373,940</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301,813</w:t>
            </w:r>
          </w:p>
        </w:tc>
        <w:tc>
          <w:tcPr>
            <w:tcW w:w="0" w:type="dxa"/>
            <w:vAlign w:val="bottom"/>
          </w:tcPr>
          <w:p>
            <w:pPr>
              <w:spacing w:after="0"/>
              <w:rPr>
                <w:sz w:val="1"/>
                <w:szCs w:val="1"/>
                <w:color w:val="auto"/>
              </w:rPr>
            </w:pPr>
          </w:p>
        </w:tc>
      </w:tr>
      <w:tr>
        <w:trPr>
          <w:trHeight w:val="20"/>
        </w:trPr>
        <w:tc>
          <w:tcPr>
            <w:tcW w:w="7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March 29, 2024, we renewed our two-year $200 million revolving credit agreement with Ares Agent Services, L.P. The revolving period for this facility was extended to March 2026 followed by an amortization period through March 2028 for any receivables pledged at the end of the revolving period. There was $67.7 million outstanding under this facility at March 31, 2024.</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22, 2024, we completed a $50 million securitization of residual interests from previously issued securitizations. In the transaction, a qualified institutional buyer purchased $50.0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At March 31, 2024 there was $50.0 million outstanding under this facility.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15, 2022, we renewed our two-year revolving credit agreement with Citibank, N.A., and doubled the capacity from $100 million to $200 million. The revolving period for this facility was extended to July 2024 followed by an amortization period through July 2025 for any receivables pledged at the end of the revolving period. There was $184.1 million outstanding under this facility at March 31, 2024.</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Unamortized debt issuance costs of $1.0 million and $125,000 as of March 31, 2024 and December 31, 2023, respectively, have been excluded from the amount reported above for residual interest financing. Similarly, unamortized debt issuance costs of $2.3 million and $599,000 as of March 31, 2024 and December 31, 2023,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b w:val="1"/>
                <w:bCs w:val="1"/>
                <w:i w:val="1"/>
                <w:iCs w:val="1"/>
                <w:color w:val="auto"/>
              </w:rPr>
              <w:t>Interest Income and Interest Expense</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280" w:type="dxa"/>
            <w:vAlign w:val="bottom"/>
          </w:tcPr>
          <w:p>
            <w:pPr>
              <w:spacing w:after="0"/>
              <w:rPr>
                <w:sz w:val="24"/>
                <w:szCs w:val="24"/>
                <w:color w:val="auto"/>
              </w:rPr>
            </w:pPr>
          </w:p>
        </w:tc>
        <w:tc>
          <w:tcPr>
            <w:tcW w:w="2920" w:type="dxa"/>
            <w:vAlign w:val="bottom"/>
            <w:gridSpan w:val="4"/>
          </w:tcPr>
          <w:p>
            <w:pPr>
              <w:jc w:val="center"/>
              <w:ind w:left="47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1020" w:type="dxa"/>
            <w:vAlign w:val="bottom"/>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2,337</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10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80,505</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02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1,446</w:t>
            </w:r>
          </w:p>
        </w:tc>
        <w:tc>
          <w:tcPr>
            <w:tcW w:w="106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84,288</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1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EEEEEE"/>
              <w:bottom w:val="single" w:sz="8" w:color="EEEEEE"/>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280" w:type="dxa"/>
            <w:vAlign w:val="bottom"/>
          </w:tcPr>
          <w:p>
            <w:pPr>
              <w:spacing w:after="0"/>
              <w:rPr>
                <w:sz w:val="24"/>
                <w:szCs w:val="24"/>
                <w:color w:val="auto"/>
              </w:rPr>
            </w:pPr>
          </w:p>
        </w:tc>
        <w:tc>
          <w:tcPr>
            <w:tcW w:w="2920" w:type="dxa"/>
            <w:vAlign w:val="bottom"/>
            <w:gridSpan w:val="4"/>
          </w:tcPr>
          <w:p>
            <w:pPr>
              <w:jc w:val="center"/>
              <w:ind w:left="47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020" w:type="dxa"/>
            <w:vAlign w:val="bottom"/>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35,932</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4,321</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0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1,209</w:t>
            </w:r>
          </w:p>
        </w:tc>
        <w:tc>
          <w:tcPr>
            <w:tcW w:w="10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02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506</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41,968</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periods ended March 31, 2024 and 2023 were calculated using the weighted average number of shares outstanding for the related period. The following table reconciles the number of shares used in the computations of basic and diluted earnings per share for the three-month periods ended March 31, 2024 and 2023:</w:t>
      </w:r>
    </w:p>
    <w:p>
      <w:pPr>
        <w:spacing w:after="0" w:line="172"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during the</w:t>
            </w:r>
          </w:p>
        </w:tc>
        <w:tc>
          <w:tcPr>
            <w:tcW w:w="5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period used to compute basic earnings per share</w:t>
            </w:r>
          </w:p>
        </w:tc>
        <w:tc>
          <w:tcPr>
            <w:tcW w:w="86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21,143</w:t>
            </w:r>
          </w:p>
        </w:tc>
        <w:tc>
          <w:tcPr>
            <w:tcW w:w="52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20,418</w:t>
            </w:r>
          </w:p>
        </w:tc>
        <w:tc>
          <w:tcPr>
            <w:tcW w:w="0" w:type="dxa"/>
            <w:vAlign w:val="bottom"/>
          </w:tcPr>
          <w:p>
            <w:pPr>
              <w:spacing w:after="0"/>
              <w:rPr>
                <w:sz w:val="1"/>
                <w:szCs w:val="1"/>
                <w:color w:val="auto"/>
              </w:rPr>
            </w:pPr>
          </w:p>
        </w:tc>
      </w:tr>
      <w:tr>
        <w:trPr>
          <w:trHeight w:val="198"/>
        </w:trPr>
        <w:tc>
          <w:tcPr>
            <w:tcW w:w="6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Incremental common shares attributable to exercise of outstanding</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and warrants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used to compute diluted</w:t>
            </w: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80" w:type="dxa"/>
            <w:vAlign w:val="bottom"/>
            <w:vMerge w:val="continue"/>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56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24,602</w:t>
            </w:r>
          </w:p>
        </w:tc>
        <w:tc>
          <w:tcPr>
            <w:tcW w:w="300" w:type="dxa"/>
            <w:vAlign w:val="bottom"/>
            <w:vMerge w:val="restart"/>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2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25,392</w:t>
            </w:r>
          </w:p>
        </w:tc>
        <w:tc>
          <w:tcPr>
            <w:tcW w:w="0" w:type="dxa"/>
            <w:vAlign w:val="bottom"/>
          </w:tcPr>
          <w:p>
            <w:pPr>
              <w:spacing w:after="0"/>
              <w:rPr>
                <w:sz w:val="1"/>
                <w:szCs w:val="1"/>
                <w:color w:val="auto"/>
              </w:rPr>
            </w:pPr>
          </w:p>
        </w:tc>
      </w:tr>
      <w:tr>
        <w:trPr>
          <w:trHeight w:val="221"/>
        </w:trPr>
        <w:tc>
          <w:tcPr>
            <w:tcW w:w="63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560" w:type="dxa"/>
            <w:vAlign w:val="bottom"/>
            <w:vMerge w:val="continue"/>
            <w:shd w:val="clear" w:color="auto" w:fill="EEEEEE"/>
          </w:tcPr>
          <w:p>
            <w:pPr>
              <w:spacing w:after="0"/>
              <w:rPr>
                <w:sz w:val="19"/>
                <w:szCs w:val="19"/>
                <w:color w:val="auto"/>
              </w:rPr>
            </w:pPr>
          </w:p>
        </w:tc>
        <w:tc>
          <w:tcPr>
            <w:tcW w:w="300" w:type="dxa"/>
            <w:vAlign w:val="bottom"/>
            <w:vMerge w:val="continue"/>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200" w:type="dxa"/>
            <w:vAlign w:val="bottom"/>
            <w:gridSpan w:val="2"/>
            <w:vMerge w:val="continue"/>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three-months ended March 31, 2024 and 2023 would have included an additional 1.7 million shares attributable to the exercise of outstanding options and warrants.</w:t>
      </w:r>
    </w:p>
    <w:p>
      <w:pPr>
        <w:spacing w:after="0" w:line="172"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31,2024 and December 31, 2023,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$3.5 million as of March 31, 2024 is more likely than not based on forecasted future net earnings. Our net deferred tax asset of $3.5 million consists of approximately $2.2 million of net U.S. federal deferred tax assets and $1.3 million of net state deferred tax assets.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was $2.0 million for the three months ended March 31, 2024, representing effective income tax rates of 30%. For the prior year period, income tax expense was $4.6 million for the three months ended March 31, 2023 representing an effective tax rate of 25%.</w:t>
      </w:r>
    </w:p>
    <w:p>
      <w:pPr>
        <w:spacing w:after="0" w:line="158"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Consumer Litigation. We are routinely involved in various legal proceedings resulting from our consumer finance activities and practices, both continuing 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2024, a motion for certification of a class was filed but has not been ruled upon. It is reasonable to expect that resolution of these claims will be on a class basis.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Wage and Hour Claim. On September 24, 2018, a former employee filed a lawsuit against us in the Superior Court of Orange County, California, 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We believe that our compensation practices with respect to our sales representatives are compliant with applicable law. In August 2023, the parties settled by agreement the claims of the plaintiff and a California settlement class for $1.1 million. The settlement was preliminarily approved by the court on March 1, 2024 and remains subject to final court approval.</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Massachusetts Civil Investigative Demand. In September 2021, we received a civil investigative demand from the Office of the Attorney General of the Commonwealth of Massachusetts relating to the Company’s communications with and repossession notices sent to Massachusetts customers. On December 28, 2023 and without admitting any wrongdoing, the Company entered into an assurance of discontinuance with the Office of the Attorney General of the Commonwealth of Massachusetts, reflecting the parties’ agreements to settle and fully resolve allegations of the Company’s noncompliance with Massachusetts law. Under the settlement the Company paid, after March 31, 2024, $1.24 million to an independent trust for the purposes of making payments to eligible consumers, paying costs of implementation, and paying the Attorney General’s costs of investigation. In addition, the Company agreed to pay $75,000 for the fees and costs of a trustee to oversee the trust.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General. There can be no assurance as to the outcomes of the matters described or referenced above. We record at each measurement date, most recently as of March 31, 2024, our best estimate of probable incurred losses for legal contingencies, including the matters identified above. The amount of losses that may ultimately be incurred cannot be estimated with certainty. However, based on such information as is available to us, we believe that the total of probable incurred losses for legal contingencies as of March 31, 2024 is $3.6 million, and that the range of reasonably possible losses for the legal proceedings and contingencies we face, including those described or identified above, as of March 31, 2024 does not exceed $5.6 million.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Times New Roman" w:cs="Times New Roman" w:eastAsia="Times New Roman" w:hAnsi="Times New Roman"/>
          <w:sz w:val="18"/>
          <w:szCs w:val="18"/>
          <w:color w:val="323232"/>
        </w:rPr>
        <w:t>Significant changes in any of those inputs in isolation would have a significant effect on our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23232"/>
        </w:rPr>
        <w:t>measurement.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2024,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60" w:type="dxa"/>
            <w:vAlign w:val="bottom"/>
          </w:tcPr>
          <w:p>
            <w:pPr>
              <w:spacing w:after="0"/>
              <w:rPr>
                <w:sz w:val="19"/>
                <w:szCs w:val="19"/>
                <w:color w:val="auto"/>
              </w:rPr>
            </w:pPr>
          </w:p>
        </w:tc>
      </w:tr>
      <w:tr>
        <w:trPr>
          <w:trHeight w:val="238"/>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2,722,662</w:t>
            </w:r>
          </w:p>
        </w:tc>
        <w:tc>
          <w:tcPr>
            <w:tcW w:w="66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2,476,617</w:t>
            </w:r>
          </w:p>
        </w:tc>
        <w:tc>
          <w:tcPr>
            <w:tcW w:w="236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328,893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352,598</w:t>
            </w:r>
          </w:p>
        </w:tc>
        <w:tc>
          <w:tcPr>
            <w:tcW w:w="236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(210,935)</w:t>
            </w: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(206,626)</w:t>
            </w:r>
          </w:p>
        </w:tc>
        <w:tc>
          <w:tcPr>
            <w:tcW w:w="236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(54,247)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(47,472)</w:t>
            </w:r>
          </w:p>
        </w:tc>
        <w:tc>
          <w:tcPr>
            <w:tcW w:w="2360" w:type="dxa"/>
            <w:vAlign w:val="bottom"/>
          </w:tcPr>
          <w:p>
            <w:pPr>
              <w:spacing w:after="0"/>
              <w:rPr>
                <w:sz w:val="18"/>
                <w:szCs w:val="18"/>
                <w:color w:val="auto"/>
              </w:rPr>
            </w:pPr>
          </w:p>
        </w:tc>
      </w:tr>
      <w:tr>
        <w:trPr>
          <w:trHeight w:val="229"/>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1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2,791,373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2,575,117</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736"/>
        </w:trPr>
        <w:tc>
          <w:tcPr>
            <w:tcW w:w="5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3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660" w:type="dxa"/>
            <w:vAlign w:val="bottom"/>
          </w:tcPr>
          <w:p>
            <w:pPr>
              <w:spacing w:after="0"/>
              <w:rPr>
                <w:sz w:val="17"/>
                <w:szCs w:val="17"/>
                <w:color w:val="auto"/>
              </w:rPr>
            </w:pPr>
          </w:p>
        </w:tc>
        <w:tc>
          <w:tcPr>
            <w:tcW w:w="1080" w:type="dxa"/>
            <w:vAlign w:val="bottom"/>
          </w:tcPr>
          <w:p>
            <w:pPr>
              <w:jc w:val="center"/>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right="2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740" w:type="dxa"/>
            <w:vAlign w:val="bottom"/>
          </w:tcPr>
          <w:p>
            <w:pPr>
              <w:spacing w:after="0"/>
              <w:rPr>
                <w:sz w:val="17"/>
                <w:szCs w:val="17"/>
                <w:color w:val="auto"/>
              </w:rPr>
            </w:pPr>
          </w:p>
        </w:tc>
        <w:tc>
          <w:tcPr>
            <w:tcW w:w="1000" w:type="dxa"/>
            <w:vAlign w:val="bottom"/>
          </w:tcPr>
          <w:p>
            <w:pPr>
              <w:jc w:val="center"/>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r>
      <w:tr>
        <w:trPr>
          <w:trHeight w:val="238"/>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60" w:type="dxa"/>
            <w:vAlign w:val="bottom"/>
          </w:tcPr>
          <w:p>
            <w:pPr>
              <w:spacing w:after="0"/>
              <w:rPr>
                <w:sz w:val="20"/>
                <w:szCs w:val="20"/>
                <w:color w:val="auto"/>
              </w:rPr>
            </w:pPr>
          </w:p>
        </w:tc>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Pr>
          <w:p>
            <w:pPr>
              <w:spacing w:after="0"/>
              <w:rPr>
                <w:sz w:val="20"/>
                <w:szCs w:val="20"/>
                <w:color w:val="auto"/>
              </w:rPr>
            </w:pPr>
          </w:p>
        </w:tc>
        <w:tc>
          <w:tcPr>
            <w:tcW w:w="15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740" w:type="dxa"/>
            <w:vAlign w:val="bottom"/>
          </w:tcPr>
          <w:p>
            <w:pPr>
              <w:spacing w:after="0"/>
              <w:rPr>
                <w:sz w:val="20"/>
                <w:szCs w:val="20"/>
                <w:color w:val="auto"/>
              </w:rPr>
            </w:pPr>
          </w:p>
        </w:tc>
        <w:tc>
          <w:tcPr>
            <w:tcW w:w="11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38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gridSpan w:val="4"/>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3,001,859</w:t>
            </w:r>
          </w:p>
        </w:tc>
        <w:tc>
          <w:tcPr>
            <w:tcW w:w="66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2,791,373</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2,941,915</w:t>
            </w:r>
          </w:p>
        </w:tc>
        <w:tc>
          <w:tcPr>
            <w:tcW w:w="74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2,722,662</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9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Fair Values as of</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Inputs as of</w:t>
            </w:r>
          </w:p>
        </w:tc>
        <w:tc>
          <w:tcPr>
            <w:tcW w:w="0" w:type="dxa"/>
            <w:vAlign w:val="bottom"/>
          </w:tcPr>
          <w:p>
            <w:pPr>
              <w:spacing w:after="0"/>
              <w:rPr>
                <w:sz w:val="1"/>
                <w:szCs w:val="1"/>
                <w:color w:val="auto"/>
              </w:rPr>
            </w:pPr>
          </w:p>
        </w:tc>
      </w:tr>
      <w:tr>
        <w:trPr>
          <w:trHeight w:val="34"/>
        </w:trPr>
        <w:tc>
          <w:tcPr>
            <w:tcW w:w="164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2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3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28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720" w:type="dxa"/>
            <w:vAlign w:val="bottom"/>
            <w:tcBorders>
              <w:top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0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42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2,791,373</w:t>
            </w: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2,722,662</w:t>
            </w:r>
          </w:p>
        </w:tc>
        <w:tc>
          <w:tcPr>
            <w:tcW w:w="19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 - 11.9%</w:t>
            </w: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 - 11.7%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- 22.4%</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- 21.7%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delinquency status of these finance receivables measured at fair value as of March 31,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540" w:type="dxa"/>
            <w:vAlign w:val="bottom"/>
            <w:gridSpan w:val="2"/>
            <w:vMerge w:val="continue"/>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336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2,634,116</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2,520,158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168,807</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3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83,273</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101,057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43,348</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49,541</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Repo</w:t>
            </w:r>
          </w:p>
        </w:tc>
        <w:tc>
          <w:tcPr>
            <w:tcW w:w="3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72,315</w:t>
            </w:r>
          </w:p>
        </w:tc>
        <w:tc>
          <w:tcPr>
            <w:tcW w:w="1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66,585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3,001,859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2,941,915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Repossessed vehicle inventory, which is included in Other assets on our consolidated balance sheet, is measured at fair value using level 2 assumptions based on our actual loss experience on sale of repossessed vehicles. At March 31, 2024, the finance receivables related to the repossessed vehicles in inventory totaled $546,000. We have applied a valuation adjustment, or loss allowance, of $429,000, which is based on a recovery rate of approximately 21%, resulting in an estimated fair value and carrying amount of $117,000. The fair value and carrying amount of the repossessed inventory at December 31, 2023 was $597,000 after applying a valuation adjustment of $472,000.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March 31, 2024 and December 31,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8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13,249</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4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13,249</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137,706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137,706</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16,891</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15,034</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15,034</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249,522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249,522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249,522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98,968</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98,968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98,968</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8,423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2,277,676</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2,252,211</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2,252,211</w:t>
            </w: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22,140</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22,140</w:t>
            </w:r>
          </w:p>
        </w:tc>
        <w:tc>
          <w:tcPr>
            <w:tcW w:w="0" w:type="dxa"/>
            <w:vAlign w:val="bottom"/>
          </w:tcPr>
          <w:p>
            <w:pPr>
              <w:spacing w:after="0"/>
              <w:rPr>
                <w:sz w:val="1"/>
                <w:szCs w:val="1"/>
                <w:color w:val="auto"/>
              </w:rPr>
            </w:pPr>
          </w:p>
        </w:tc>
      </w:tr>
      <w:tr>
        <w:trPr>
          <w:trHeight w:val="670"/>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6,174</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4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119,257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119,257</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24,684</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20,848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20,848</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234,025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7,928</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7,928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7,928</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2,265,446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2,183,331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2,183,331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17,188</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Subsequent Events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23, 2024 we executed our second securitization of 2024. In the transaction, qualified institutional buyers purchased $319.9 million of asset-backed notes secured by $337.2 million in automobile receivables originated by CPS. The sold notes, issued by CPS Auto Receivables Trust 2024-B,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6.69%.</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2024-B transaction has initial credit enhancement consisting of a cash deposit equal to 1.00% of the original receivable pool balance and overcollateralization of 5.15%. The transaction agreements require accelerated payment of principal on the notes to reach overcollateralization of the lesser of 8.40% of the original receivable pool balance, or 23.15% of the then outstanding pool balance. The transaction was a private offering of securities, not registered under the Securities Act of 1933, or any state securities law.</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10, 2024, our Compensation Committee evaluated and determined the non-equity incentive plan payment amounts earned under the Executive Management Bonus Plan for each of our executive officers for fiscal year ended December 2023. The Company thereafter paid those amounts in April 2024, including $3,005,000 for Charles E. Bradley, Jr., $582,063 for Michael T. Lavin, $385,655 for Danny Bharwani, $413,406 for Teri L. Robinson, and $367,472 for Laurie A. Straten.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“assume,” “plans,” “goals, “strategy,” “future,” “likely,” “should” or other similar expressions.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forward-looking statements include, among others, statements we make regarding:</w:t>
      </w:r>
    </w:p>
    <w:p>
      <w:pPr>
        <w:spacing w:after="0" w:line="225" w:lineRule="exact"/>
        <w:rPr>
          <w:sz w:val="20"/>
          <w:szCs w:val="20"/>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 and recovery rates;</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obligors to pay pursuant to contractual terms;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rights under contracts;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and rates at which we plan to acquire automobile contracts;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levels of recoveries upon sale of repossessed vehicles;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or expenses;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credit losses;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industry and general economic trends;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losses for legal contingencies;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deferred tax assets;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taxable income;</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and repay our debt;</w:t>
      </w:r>
    </w:p>
    <w:p>
      <w:pPr>
        <w:spacing w:after="0" w:line="9" w:lineRule="exact"/>
        <w:rPr>
          <w:rFonts w:ascii="Times New Roman" w:cs="Times New Roman" w:eastAsia="Times New Roman" w:hAnsi="Times New Roman"/>
          <w:sz w:val="18"/>
          <w:szCs w:val="18"/>
          <w:color w:val="auto"/>
        </w:rPr>
      </w:pPr>
    </w:p>
    <w:p>
      <w:pPr>
        <w:ind w:left="920" w:hanging="345"/>
        <w:spacing w:after="0" w:line="250"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structuring of securitization transactions as secured financings and the effects of such structures on financial items and future profitability; or</w:t>
      </w:r>
    </w:p>
    <w:p>
      <w:pPr>
        <w:ind w:left="920" w:right="20" w:hanging="345"/>
        <w:spacing w:after="0" w:line="260"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change in structure on our profitability and the duration of the period in which our profitability would be affected by the change in securitization structure.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spacing w:after="0" w:line="162" w:lineRule="exact"/>
        <w:rPr>
          <w:sz w:val="20"/>
          <w:szCs w:val="20"/>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performance of our automobile contracts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losses incurred on contracts in our managed portfolio;</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courts or regulators;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with respect to consumer finance;</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used vehicles;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cash releases from existing pools of contracts;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finance contract purchases;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in the security of our systems; and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through the “Risk Factors” section of this report.</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originated vehicle purchase money loans by lending directly to consumers,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March 31, 2024, we have originated a total of approximately $21.5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6"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7160" w:type="dxa"/>
            <w:vAlign w:val="bottom"/>
            <w:gridSpan w:val="4"/>
          </w:tcPr>
          <w:p>
            <w:pPr>
              <w:ind w:left="2260"/>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ind w:left="120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1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w:t>
            </w:r>
          </w:p>
        </w:tc>
        <w:tc>
          <w:tcPr>
            <w:tcW w:w="100" w:type="dxa"/>
            <w:vAlign w:val="bottom"/>
          </w:tcPr>
          <w:p>
            <w:pPr>
              <w:spacing w:after="0"/>
              <w:rPr>
                <w:sz w:val="16"/>
                <w:szCs w:val="16"/>
                <w:color w:val="auto"/>
              </w:rPr>
            </w:pPr>
          </w:p>
        </w:tc>
      </w:tr>
      <w:tr>
        <w:trPr>
          <w:trHeight w:val="238"/>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 in Period</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at Period End</w:t>
            </w:r>
          </w:p>
        </w:tc>
      </w:tr>
      <w:tr>
        <w:trPr>
          <w:trHeight w:val="210"/>
        </w:trPr>
        <w:tc>
          <w:tcPr>
            <w:tcW w:w="50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2018</w:t>
            </w:r>
          </w:p>
        </w:tc>
        <w:tc>
          <w:tcPr>
            <w:tcW w:w="2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902,416</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2,380,847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1,002,782</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2,416,042</w:t>
            </w: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742,584</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2,174,972</w:t>
            </w:r>
          </w:p>
        </w:tc>
        <w:tc>
          <w:tcPr>
            <w:tcW w:w="100" w:type="dxa"/>
            <w:vAlign w:val="bottom"/>
            <w:shd w:val="clear" w:color="auto" w:fill="EEEEEE"/>
          </w:tcPr>
          <w:p>
            <w:pPr>
              <w:spacing w:after="0"/>
              <w:rPr>
                <w:sz w:val="18"/>
                <w:szCs w:val="18"/>
                <w:color w:val="auto"/>
              </w:rPr>
            </w:pPr>
          </w:p>
        </w:tc>
      </w:tr>
      <w:tr>
        <w:trPr>
          <w:trHeight w:val="216"/>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2,249,069</w:t>
            </w: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2022</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1,854,385</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3,001,308</w:t>
            </w:r>
          </w:p>
        </w:tc>
        <w:tc>
          <w:tcPr>
            <w:tcW w:w="100" w:type="dxa"/>
            <w:vAlign w:val="bottom"/>
            <w:shd w:val="clear" w:color="auto" w:fill="EEEEEE"/>
          </w:tcPr>
          <w:p>
            <w:pPr>
              <w:spacing w:after="0"/>
              <w:rPr>
                <w:sz w:val="18"/>
                <w:szCs w:val="18"/>
                <w:color w:val="auto"/>
              </w:rPr>
            </w:pPr>
          </w:p>
        </w:tc>
      </w:tr>
      <w:tr>
        <w:trPr>
          <w:trHeight w:val="216"/>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1,357,752</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3,194,623</w:t>
            </w: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March 31, 2024</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346,305</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3,243,390</w:t>
            </w:r>
          </w:p>
        </w:tc>
        <w:tc>
          <w:tcPr>
            <w:tcW w:w="100" w:type="dxa"/>
            <w:vAlign w:val="bottom"/>
            <w:shd w:val="clear" w:color="auto" w:fill="EEEEEE"/>
          </w:tcPr>
          <w:p>
            <w:pPr>
              <w:spacing w:after="0"/>
              <w:rPr>
                <w:sz w:val="18"/>
                <w:szCs w:val="18"/>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three months ended March 31, 2024, we originated $16.1 million under this third-party program. As of March 31, 2024, our managed portfolio includes $222.2 million of such third-party receivables.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Nevada, and Virginia branches. We service our automobile contracts from our California, Nevada, Virginia, Florida and Illinois branches.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Since 1994 we have conducted 100 term securitizations of automobile contracts that we originated. As of March 31, 2024, 18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April 2024.</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860" w:type="dxa"/>
            <w:vAlign w:val="bottom"/>
          </w:tcPr>
          <w:p>
            <w:pPr>
              <w:spacing w:after="0"/>
              <w:rPr>
                <w:sz w:val="24"/>
                <w:szCs w:val="24"/>
                <w:color w:val="auto"/>
              </w:rPr>
            </w:pPr>
          </w:p>
        </w:tc>
        <w:tc>
          <w:tcPr>
            <w:tcW w:w="6720" w:type="dxa"/>
            <w:vAlign w:val="bottom"/>
            <w:gridSpan w:val="3"/>
          </w:tcPr>
          <w:p>
            <w:pPr>
              <w:ind w:left="280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8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5"/>
          </w:tcPr>
          <w:p>
            <w:pPr>
              <w:ind w:left="120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8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Receivables Pledged</w:t>
            </w:r>
          </w:p>
        </w:tc>
        <w:tc>
          <w:tcPr>
            <w:tcW w:w="100" w:type="dxa"/>
            <w:vAlign w:val="bottom"/>
          </w:tcPr>
          <w:p>
            <w:pPr>
              <w:spacing w:after="0"/>
              <w:rPr>
                <w:sz w:val="16"/>
                <w:szCs w:val="16"/>
                <w:color w:val="auto"/>
              </w:rPr>
            </w:pPr>
          </w:p>
        </w:tc>
      </w:tr>
      <w:tr>
        <w:trPr>
          <w:trHeight w:val="216"/>
        </w:trPr>
        <w:tc>
          <w:tcPr>
            <w:tcW w:w="8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Number of Term</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Term</w:t>
            </w:r>
          </w:p>
        </w:tc>
      </w:tr>
      <w:tr>
        <w:trPr>
          <w:trHeight w:val="238"/>
        </w:trPr>
        <w:tc>
          <w:tcPr>
            <w:tcW w:w="860" w:type="dxa"/>
            <w:vAlign w:val="bottom"/>
          </w:tcPr>
          <w:p>
            <w:pPr>
              <w:spacing w:after="0"/>
              <w:rPr>
                <w:sz w:val="20"/>
                <w:szCs w:val="20"/>
                <w:color w:val="auto"/>
              </w:rPr>
            </w:pPr>
          </w:p>
        </w:tc>
        <w:tc>
          <w:tcPr>
            <w:tcW w:w="5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09"/>
        </w:trPr>
        <w:tc>
          <w:tcPr>
            <w:tcW w:w="860" w:type="dxa"/>
            <w:vAlign w:val="bottom"/>
          </w:tcPr>
          <w:p>
            <w:pPr>
              <w:spacing w:after="0"/>
              <w:rPr>
                <w:sz w:val="18"/>
                <w:szCs w:val="18"/>
                <w:color w:val="auto"/>
              </w:rPr>
            </w:pPr>
          </w:p>
        </w:tc>
        <w:tc>
          <w:tcPr>
            <w:tcW w:w="50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2018</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883,452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1,014,124</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741,867</w:t>
            </w:r>
          </w:p>
        </w:tc>
        <w:tc>
          <w:tcPr>
            <w:tcW w:w="100" w:type="dxa"/>
            <w:vAlign w:val="bottom"/>
            <w:shd w:val="clear" w:color="auto" w:fill="EEEEEE"/>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1,145,002</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2022</w:t>
            </w: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1,537,383</w:t>
            </w:r>
          </w:p>
        </w:tc>
        <w:tc>
          <w:tcPr>
            <w:tcW w:w="100" w:type="dxa"/>
            <w:vAlign w:val="bottom"/>
            <w:shd w:val="clear" w:color="auto" w:fill="EEEEEE"/>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2023</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1,352,114</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2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333333"/>
                <w:w w:val="99"/>
              </w:rPr>
              <w:t>Three months ended March 31, 2024</w:t>
            </w:r>
          </w:p>
        </w:tc>
        <w:tc>
          <w:tcPr>
            <w:tcW w:w="14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300,614</w:t>
            </w:r>
          </w:p>
        </w:tc>
        <w:tc>
          <w:tcPr>
            <w:tcW w:w="100" w:type="dxa"/>
            <w:vAlign w:val="bottom"/>
            <w:shd w:val="clear" w:color="auto" w:fill="EEEEEE"/>
          </w:tcPr>
          <w:p>
            <w:pPr>
              <w:spacing w:after="0"/>
              <w:rPr>
                <w:sz w:val="18"/>
                <w:szCs w:val="18"/>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We currently have short-term funding capacity of $400 million over two credit facilities. The first credit facility was established in May 2012. This facility was most recently renewed in July 2022, extending the revolving period to July 2024, with an optional amortization period through July 2025. In addition, the capacity was doubled from $100 million to $200 million at the July 2022 renewal.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This facility was most recently renewed in March 2024, extending the revolving period to March 2026, followed by an amortization period to March 2028. In June 2022, we doubled the capacity for this facility from $100 million to $200 million.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2024, we were in compliance with all such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March 31, 2024 with the three months ended March 31, 2023</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March 31, 2024, our revenues were $91.7 million, an increase of $8.6 million, or 10.4%,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$83.1 million. The primary reason for the increase in revenues is the increase in interest income resulting from the increase in the average outstanding balance of finance receivables measured at fair value. Revenues for the three months ended March 31, 2024 include a $5.0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$5.0 million. Based on this evaluation, there was no mark up or mark down to the fair value portfolio in the prior year period.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income for the three months ended March 31, 2024 increased $4.2 million, or 5.3%, to $84.3 million from $80.1 million in the prior year. The primary reason for the increase in interest income is the 4.8% increase in the average balance of our loan portfolio over the prior year period. The interest yield on our total loan portfolio increased from 11.2% in the prior year period to 11.3% in the current year period. The receivables measured at fair value make up a larger portion of our total loan portfolio in the current year period.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March 31, 2024 and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3"/>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4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EEEEEE"/>
            </w:tcBorders>
          </w:tcPr>
          <w:p>
            <w:pPr>
              <w:spacing w:after="0"/>
              <w:rPr>
                <w:sz w:val="18"/>
                <w:szCs w:val="18"/>
                <w:color w:val="auto"/>
              </w:rPr>
            </w:pPr>
          </w:p>
        </w:tc>
        <w:tc>
          <w:tcPr>
            <w:tcW w:w="104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2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2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20" w:type="dxa"/>
            <w:vAlign w:val="bottom"/>
            <w:tcBorders>
              <w:top w:val="single" w:sz="8" w:color="auto"/>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2,993,816</w:t>
            </w:r>
          </w:p>
        </w:tc>
        <w:tc>
          <w:tcPr>
            <w:tcW w:w="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84,288</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11.3%   $</w:t>
            </w:r>
          </w:p>
        </w:tc>
        <w:tc>
          <w:tcPr>
            <w:tcW w:w="122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2,856,598</w:t>
            </w:r>
          </w:p>
        </w:tc>
        <w:tc>
          <w:tcPr>
            <w:tcW w:w="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80,062</w:t>
            </w: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ind w:firstLine="324"/>
        <w:spacing w:after="0" w:line="271" w:lineRule="auto"/>
        <w:rPr>
          <w:sz w:val="20"/>
          <w:szCs w:val="20"/>
          <w:color w:val="auto"/>
        </w:rPr>
      </w:pPr>
      <w:r>
        <w:rPr>
          <w:rFonts w:ascii="Times New Roman" w:cs="Times New Roman" w:eastAsia="Times New Roman" w:hAnsi="Times New Roman"/>
          <w:sz w:val="22"/>
          <w:szCs w:val="22"/>
          <w:color w:val="auto"/>
        </w:rPr>
        <w:t xml:space="preserve">Other income was $2.5 million for </w:t>
      </w:r>
      <w:r>
        <w:rPr>
          <w:rFonts w:ascii="Times New Roman" w:cs="Times New Roman" w:eastAsia="Times New Roman" w:hAnsi="Times New Roman"/>
          <w:sz w:val="17"/>
          <w:szCs w:val="17"/>
          <w:color w:val="auto"/>
        </w:rPr>
        <w:t>the three months ended March 31, 2024 compared to $3.0 million for the comparable period in 2023.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19.2% decrease was primarily driven by the decrease in origination and servicing fees we earned from third party receivables. These fees were $2.1 million for the quarter ended March 31, 2024 compared to $2.7 million in the prior year period.</w:t>
      </w:r>
    </w:p>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operating expenses were $85.2 million for the three months ended March 31, 2024, compared to $64.7 million for the prior period, an increase of $20.5 million, or 31.7%. The increase is primarily due to increases in interest expense and general and administrative expenses.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Employee costs were $24.4 million during the three months ended March 31, 2024 compared to $22.0 million for the same quarter in the prior year. The table below summarizes our employees by category as well as contract purchases and units in our managed portfolio as of, and for the three-month periods ended, March 31,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360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5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5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960" w:type="dxa"/>
            <w:vAlign w:val="bottom"/>
            <w:shd w:val="clear" w:color="auto" w:fill="EEEEEE"/>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346.3</w:t>
            </w:r>
          </w:p>
        </w:tc>
        <w:tc>
          <w:tcPr>
            <w:tcW w:w="116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9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16,414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20,175</w:t>
            </w: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960" w:type="dxa"/>
            <w:vAlign w:val="bottom"/>
            <w:shd w:val="clear" w:color="auto" w:fill="EEEEEE"/>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3,021.2</w:t>
            </w:r>
          </w:p>
        </w:tc>
        <w:tc>
          <w:tcPr>
            <w:tcW w:w="116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2,881.8</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9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181,650</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175,197</w:t>
            </w: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9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9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9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9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$13.8 million, an increase of $2.4 million from $11.4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0" w:name="page31"/>
    <w:bookmarkEnd w:id="3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2024 was $42.0 million and represented 49.3% of total operating expenses, compared to $32.8 million in the previous year, when it was 50.7% of total operating expenses.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$9.6 million for the three months ended March 31, 2024 compared to the prior period. The average balance of securitization trust debt increased to $2,388.1 million for the three months ended March 31, 2024 compared to $2,283.3 million for the three months ended March 31, 2023. The annualized average rate on our securitization trust debt was 6.0% for the three months ended March 31, 2024 compared to 4.6%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right"/>
        <w:ind w:right="2980"/>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31" w:lineRule="exact"/>
        <w:rPr>
          <w:sz w:val="20"/>
          <w:szCs w:val="20"/>
          <w:color w:val="auto"/>
        </w:rPr>
      </w:pPr>
    </w:p>
    <w:p>
      <w:pPr>
        <w:jc w:val="right"/>
        <w:ind w:right="2940"/>
        <w:spacing w:after="0"/>
        <w:rPr>
          <w:sz w:val="20"/>
          <w:szCs w:val="20"/>
          <w:color w:val="auto"/>
        </w:rPr>
      </w:pPr>
      <w:r>
        <w:rPr>
          <w:rFonts w:ascii="Times New Roman" w:cs="Times New Roman" w:eastAsia="Times New Roman" w:hAnsi="Times New Roman"/>
          <w:sz w:val="18"/>
          <w:szCs w:val="18"/>
          <w:b w:val="1"/>
          <w:bCs w:val="1"/>
          <w:color w:val="auto"/>
        </w:rPr>
        <w:t>Blended Cost of</w:t>
      </w:r>
    </w:p>
    <w:p>
      <w:pPr>
        <w:spacing w:after="0" w:line="9" w:lineRule="exact"/>
        <w:rPr>
          <w:sz w:val="20"/>
          <w:szCs w:val="20"/>
          <w:color w:val="auto"/>
        </w:rPr>
      </w:pPr>
    </w:p>
    <w:tbl>
      <w:tblPr>
        <w:tblLayout w:type="fixed"/>
        <w:tblInd w:w="2700" w:type="dxa"/>
        <w:tblCellMar>
          <w:top w:w="0" w:type="dxa"/>
          <w:left w:w="0" w:type="dxa"/>
          <w:bottom w:w="0" w:type="dxa"/>
          <w:right w:w="0" w:type="dxa"/>
        </w:tblCellMar>
      </w:tblPr>
      <w:tr>
        <w:trPr>
          <w:trHeight w:val="216"/>
        </w:trPr>
        <w:tc>
          <w:tcPr>
            <w:tcW w:w="4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Funds</w:t>
            </w:r>
          </w:p>
        </w:tc>
      </w:tr>
      <w:tr>
        <w:trPr>
          <w:trHeight w:val="209"/>
        </w:trPr>
        <w:tc>
          <w:tcPr>
            <w:tcW w:w="39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4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June 2020</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416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September 2020</w:t>
            </w:r>
          </w:p>
        </w:tc>
        <w:tc>
          <w:tcPr>
            <w:tcW w:w="168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4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2021</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16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2021</w:t>
            </w:r>
          </w:p>
        </w:tc>
        <w:tc>
          <w:tcPr>
            <w:tcW w:w="168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2021</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416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2021</w:t>
            </w:r>
          </w:p>
        </w:tc>
        <w:tc>
          <w:tcPr>
            <w:tcW w:w="168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4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2022</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416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2022</w:t>
            </w:r>
          </w:p>
        </w:tc>
        <w:tc>
          <w:tcPr>
            <w:tcW w:w="168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4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2022</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416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168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4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2023</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416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2023</w:t>
            </w:r>
          </w:p>
        </w:tc>
        <w:tc>
          <w:tcPr>
            <w:tcW w:w="168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4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2023</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416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2023</w:t>
            </w:r>
          </w:p>
        </w:tc>
        <w:tc>
          <w:tcPr>
            <w:tcW w:w="168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7.89%</w:t>
            </w:r>
          </w:p>
        </w:tc>
      </w:tr>
      <w:tr>
        <w:trPr>
          <w:trHeight w:val="234"/>
        </w:trPr>
        <w:tc>
          <w:tcPr>
            <w:tcW w:w="4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2024</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6.51%</w:t>
            </w:r>
          </w:p>
        </w:tc>
      </w:tr>
    </w:tbl>
    <w:p>
      <w:pPr>
        <w:spacing w:after="0" w:line="1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on warehouse credit line debt decreased by $528,000 to $4.3 million for the three months ended March 31, 2024 compared to $4.8 million in the prior year period. The decrease was due to the lower utilization of our credit lines during the quarter compared to last year. The average balance of our warehouse debt was $164.9 million during the three months ended March 31, 2024 compared to $194.9 million for the same period in 2023. The annualized average rate on our credit line debt was 10.5% for the three months ended March 31, 2024 compared to 9.9% in the prior year period.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$506,000 for the three months ended March 31, 2024. The average balance of the outstanding subordinated debt decreased by $3.3 million to $20.8 million for the three months ended March 31, 2024 compared to $24.1 million for the prior year. The average yield of subordinated notes increased to 9.7% compared to 8.4% in the prior period.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2021, we completed a residual interest financing of our residual interests from previously issued securitizations in the amount of $50.0 million. In March 2024, we completed a new residual interest financing of our residual interests from previously issued securitizations in the amount of $50.0 million. Interest expense on the residual interest financing was $1.2 million for the three months ended March 31, 2024 compared to $1.1 for the same period in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2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2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2,993,816</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84,288</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2,856,598</w:t>
            </w:r>
          </w:p>
        </w:tc>
        <w:tc>
          <w:tcPr>
            <w:tcW w:w="300" w:type="dxa"/>
            <w:vAlign w:val="bottom"/>
            <w:gridSpan w:val="2"/>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80,062</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80" w:type="dxa"/>
            <w:vAlign w:val="bottom"/>
            <w:gridSpan w:val="5"/>
            <w:shd w:val="clear" w:color="auto" w:fill="EEEEEE"/>
          </w:tcPr>
          <w:p>
            <w:pPr>
              <w:ind w:left="22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0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10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2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8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5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164,883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194,918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4,848</w:t>
            </w:r>
          </w:p>
        </w:tc>
        <w:tc>
          <w:tcPr>
            <w:tcW w:w="15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67,033</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1,209</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2,388,146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2,283,258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24,119</w:t>
            </w:r>
          </w:p>
        </w:tc>
        <w:tc>
          <w:tcPr>
            <w:tcW w:w="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2,640,904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41,968</w:t>
            </w:r>
          </w:p>
        </w:tc>
        <w:tc>
          <w:tcPr>
            <w:tcW w:w="220" w:type="dxa"/>
            <w:vAlign w:val="bottom"/>
            <w:vMerge w:val="continue"/>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2,552,295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100" w:type="dxa"/>
            <w:vAlign w:val="bottom"/>
            <w:vMerge w:val="continue"/>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auto"/>
            </w:tcBorders>
            <w:shd w:val="clear" w:color="auto" w:fill="EEEEEE"/>
          </w:tcPr>
          <w:p>
            <w:pPr>
              <w:spacing w:after="0"/>
              <w:rPr>
                <w:sz w:val="18"/>
                <w:szCs w:val="18"/>
                <w:color w:val="auto"/>
              </w:rPr>
            </w:pPr>
          </w:p>
        </w:tc>
        <w:tc>
          <w:tcPr>
            <w:tcW w:w="1020" w:type="dxa"/>
            <w:vAlign w:val="bottom"/>
            <w:tcBorders>
              <w:top w:val="single" w:sz="8" w:color="EEEEEE"/>
              <w:bottom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auto"/>
            </w:tcBorders>
            <w:shd w:val="clear" w:color="auto" w:fill="EEEEEE"/>
          </w:tcPr>
          <w:p>
            <w:pPr>
              <w:spacing w:after="0"/>
              <w:rPr>
                <w:sz w:val="18"/>
                <w:szCs w:val="18"/>
                <w:color w:val="auto"/>
              </w:rPr>
            </w:pPr>
          </w:p>
        </w:tc>
        <w:tc>
          <w:tcPr>
            <w:tcW w:w="1040" w:type="dxa"/>
            <w:vAlign w:val="bottom"/>
            <w:tcBorders>
              <w:top w:val="single" w:sz="8" w:color="EEEEEE"/>
              <w:bottom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480" w:type="dxa"/>
            <w:vAlign w:val="bottom"/>
            <w:tcBorders>
              <w:bottom w:val="single" w:sz="8" w:color="EEEEEE"/>
            </w:tcBorders>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1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42,320</w:t>
            </w:r>
          </w:p>
        </w:tc>
        <w:tc>
          <w:tcPr>
            <w:tcW w:w="220" w:type="dxa"/>
            <w:vAlign w:val="bottom"/>
            <w:tcBorders>
              <w:bottom w:val="single" w:sz="8" w:color="EEEEEE"/>
            </w:tcBorders>
          </w:tcPr>
          <w:p>
            <w:pPr>
              <w:spacing w:after="0"/>
              <w:rPr>
                <w:sz w:val="22"/>
                <w:szCs w:val="22"/>
                <w:color w:val="auto"/>
              </w:rPr>
            </w:pPr>
          </w:p>
        </w:tc>
        <w:tc>
          <w:tcPr>
            <w:tcW w:w="12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08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47,303</w:t>
            </w:r>
          </w:p>
        </w:tc>
        <w:tc>
          <w:tcPr>
            <w:tcW w:w="10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440" w:type="dxa"/>
            <w:vAlign w:val="bottom"/>
            <w:tcBorders>
              <w:bottom w:val="single" w:sz="8" w:color="EEEEEE"/>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480" w:type="dxa"/>
            <w:vAlign w:val="bottom"/>
            <w:gridSpan w:val="5"/>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Net interest yield (2)</w:t>
            </w: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540" w:type="dxa"/>
            <w:vAlign w:val="bottom"/>
            <w:gridSpan w:val="2"/>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assets to average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bearing liabilities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ind w:left="480" w:hanging="29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9" w:lineRule="exact"/>
        <w:rPr>
          <w:rFonts w:ascii="Times New Roman" w:cs="Times New Roman" w:eastAsia="Times New Roman" w:hAnsi="Times New Roman"/>
          <w:sz w:val="18"/>
          <w:szCs w:val="18"/>
          <w:color w:val="auto"/>
        </w:rPr>
      </w:pPr>
    </w:p>
    <w:p>
      <w:pPr>
        <w:ind w:left="480" w:hanging="29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Compared to March 31, 2023</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80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7"/>
                <w:szCs w:val="17"/>
                <w:color w:val="auto"/>
              </w:rPr>
            </w:pPr>
          </w:p>
        </w:tc>
        <w:tc>
          <w:tcPr>
            <w:tcW w:w="140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Due</w:t>
            </w: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 Volume</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940" w:type="dxa"/>
            <w:vAlign w:val="bottom"/>
          </w:tcPr>
          <w:p>
            <w:pPr>
              <w:spacing w:after="0"/>
              <w:rPr>
                <w:sz w:val="20"/>
                <w:szCs w:val="20"/>
                <w:color w:val="auto"/>
              </w:rPr>
            </w:pPr>
          </w:p>
        </w:tc>
        <w:tc>
          <w:tcPr>
            <w:tcW w:w="2640" w:type="dxa"/>
            <w:vAlign w:val="bottom"/>
            <w:gridSpan w:val="4"/>
            <w:vMerge w:val="restart"/>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FFFFFF"/>
              </w:rPr>
              <w:t>$</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2640" w:type="dxa"/>
            <w:vAlign w:val="bottom"/>
            <w:gridSpan w:val="4"/>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8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3,478</w:t>
            </w:r>
          </w:p>
        </w:tc>
        <w:tc>
          <w:tcPr>
            <w:tcW w:w="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80" w:type="dxa"/>
            <w:vAlign w:val="bottom"/>
            <w:gridSpan w:val="5"/>
            <w:shd w:val="clear" w:color="auto" w:fill="EEEEEE"/>
          </w:tcPr>
          <w:p>
            <w:pPr>
              <w:jc w:val="center"/>
              <w:ind w:left="2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58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2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2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9,579</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5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580" w:type="dxa"/>
            <w:vAlign w:val="bottom"/>
            <w:tcBorders>
              <w:bottom w:val="single" w:sz="8" w:color="EEEEEE"/>
            </w:tcBorders>
          </w:tcPr>
          <w:p>
            <w:pPr>
              <w:spacing w:after="0"/>
              <w:rPr>
                <w:sz w:val="18"/>
                <w:szCs w:val="18"/>
                <w:color w:val="auto"/>
              </w:rPr>
            </w:pPr>
          </w:p>
        </w:tc>
        <w:tc>
          <w:tcPr>
            <w:tcW w:w="58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32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00" w:type="dxa"/>
            <w:vAlign w:val="bottom"/>
            <w:tcBorders>
              <w:bottom w:val="single" w:sz="8" w:color="EEEEEE"/>
            </w:tcBorders>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(7,725)</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32" w:name="page33"/>
    <w:bookmarkEnd w:id="3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we recorded a reduction to provision for credit losses on finance receivables in the amount of $1.6 million. The reserve decrease was primarily due to a decrease in lifetime expected credit losses resulting from improved credit performance as our previous estimates for future losses exceeded actual incurred losses. This compares to $9.0 million in reductions to provision for credit losses for the three months ended March 31, 2023.</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evaluation of the allowance for credit losses indicated that the reserves against future losses are adequate as of March 31, 2024.</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commissions based on volume of contract purchases and sales of ancillary products and services that we offer our dealers. Sales expense decreased to $4.9 million during the three months ended March 31, 2024 from $5.7 million in the same quarter in 2023. We purchased $346.3 million of new contracts during the three months ended March 31, 2024 compared to $415.2 million in the prior year period.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Occupancy expenses was $1.6 million for the three months ending March 31, 2024, which is up from the $1.5 million in the first quarter of 2023.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expenses decreased to $215,000 compared to $231,000 in the previous year.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we recorded income tax expense of $2.0 million, representing a 30% effective tax rate. In the prior period, our income tax expense was $4.6 million, representing a 25%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ind w:left="3460"/>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740" w:type="dxa"/>
            <w:vAlign w:val="bottom"/>
            <w:gridSpan w:val="5"/>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8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5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7"/>
        </w:trPr>
        <w:tc>
          <w:tcPr>
            <w:tcW w:w="3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3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Delinquency Experience</w:t>
            </w: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Gross servicing portfolio (1)</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181,650</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3,021,185</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175,197</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2,881,844</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179,198</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2,970,066</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Period of delinquency (2)</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31-60 days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10,992</w:t>
            </w:r>
          </w:p>
        </w:tc>
        <w:tc>
          <w:tcPr>
            <w:tcW w:w="180" w:type="dxa"/>
            <w:vAlign w:val="bottom"/>
            <w:shd w:val="clear" w:color="auto" w:fill="EEEEEE"/>
          </w:tcPr>
          <w:p>
            <w:pPr>
              <w:spacing w:after="0"/>
              <w:rPr>
                <w:sz w:val="17"/>
                <w:szCs w:val="17"/>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172,425</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10,057</w:t>
            </w:r>
          </w:p>
        </w:tc>
        <w:tc>
          <w:tcPr>
            <w:tcW w:w="18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151,743</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13,337</w:t>
            </w:r>
          </w:p>
        </w:tc>
        <w:tc>
          <w:tcPr>
            <w:tcW w:w="180" w:type="dxa"/>
            <w:vAlign w:val="bottom"/>
            <w:shd w:val="clear" w:color="auto" w:fill="EEEEEE"/>
          </w:tcPr>
          <w:p>
            <w:pPr>
              <w:spacing w:after="0"/>
              <w:rPr>
                <w:sz w:val="17"/>
                <w:szCs w:val="17"/>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210,200</w:t>
            </w:r>
          </w:p>
        </w:tc>
        <w:tc>
          <w:tcPr>
            <w:tcW w:w="0" w:type="dxa"/>
            <w:vAlign w:val="bottom"/>
          </w:tcPr>
          <w:p>
            <w:pPr>
              <w:spacing w:after="0"/>
              <w:rPr>
                <w:sz w:val="1"/>
                <w:szCs w:val="1"/>
                <w:color w:val="auto"/>
              </w:rPr>
            </w:pPr>
          </w:p>
        </w:tc>
      </w:tr>
      <w:tr>
        <w:trPr>
          <w:trHeight w:val="20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61-90 days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5,443</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85,338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4,306</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62,557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6,717</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104,144</w:t>
            </w: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91+ days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2,792</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43,816</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1,660</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23,839</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3,252</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50,610</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Total delinquencies (2)</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19,227</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301,579</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16,023</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238,139</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23,306</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Amount in repossession (3)</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5,020</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72,861</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3,246</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47,710</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4,653</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67,182</w:t>
            </w:r>
          </w:p>
        </w:tc>
        <w:tc>
          <w:tcPr>
            <w:tcW w:w="0" w:type="dxa"/>
            <w:vAlign w:val="bottom"/>
          </w:tcPr>
          <w:p>
            <w:pPr>
              <w:spacing w:after="0"/>
              <w:rPr>
                <w:sz w:val="1"/>
                <w:szCs w:val="1"/>
                <w:color w:val="auto"/>
              </w:rPr>
            </w:pPr>
          </w:p>
        </w:tc>
      </w:tr>
      <w:tr>
        <w:trPr>
          <w:trHeight w:val="169"/>
        </w:trPr>
        <w:tc>
          <w:tcPr>
            <w:tcW w:w="3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delinquencies and amount in repossession</w:t>
            </w:r>
          </w:p>
        </w:tc>
        <w:tc>
          <w:tcPr>
            <w:tcW w:w="11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24,247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374,440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19,269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285,849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27,959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432,136</w:t>
            </w:r>
          </w:p>
        </w:tc>
        <w:tc>
          <w:tcPr>
            <w:tcW w:w="0" w:type="dxa"/>
            <w:vAlign w:val="bottom"/>
          </w:tcPr>
          <w:p>
            <w:pPr>
              <w:spacing w:after="0"/>
              <w:rPr>
                <w:sz w:val="1"/>
                <w:szCs w:val="1"/>
                <w:color w:val="auto"/>
              </w:rPr>
            </w:pPr>
          </w:p>
        </w:tc>
      </w:tr>
      <w:tr>
        <w:trPr>
          <w:trHeight w:val="145"/>
        </w:trPr>
        <w:tc>
          <w:tcPr>
            <w:tcW w:w="3280" w:type="dxa"/>
            <w:vAlign w:val="bottom"/>
            <w:tcBorders>
              <w:top w:val="single" w:sz="8" w:color="EEEEEE"/>
            </w:tcBorders>
            <w:shd w:val="clear" w:color="auto" w:fill="EEEEEE"/>
          </w:tcPr>
          <w:p>
            <w:pPr>
              <w:spacing w:after="0" w:line="145" w:lineRule="exact"/>
              <w:rPr>
                <w:sz w:val="20"/>
                <w:szCs w:val="20"/>
                <w:color w:val="auto"/>
              </w:rPr>
            </w:pPr>
            <w:r>
              <w:rPr>
                <w:rFonts w:ascii="Times New Roman" w:cs="Times New Roman" w:eastAsia="Times New Roman" w:hAnsi="Times New Roman"/>
                <w:sz w:val="16"/>
                <w:szCs w:val="16"/>
                <w:color w:val="auto"/>
              </w:rPr>
              <w:t>Delinquencies as a percentage of gross</w:t>
            </w:r>
          </w:p>
        </w:tc>
        <w:tc>
          <w:tcPr>
            <w:tcW w:w="1120" w:type="dxa"/>
            <w:vAlign w:val="bottom"/>
            <w:tcBorders>
              <w:top w:val="single" w:sz="8" w:color="auto"/>
            </w:tcBorders>
            <w:shd w:val="clear" w:color="auto" w:fill="EEEEEE"/>
          </w:tcPr>
          <w:p>
            <w:pPr>
              <w:spacing w:after="0"/>
              <w:rPr>
                <w:sz w:val="12"/>
                <w:szCs w:val="12"/>
                <w:color w:val="auto"/>
              </w:rPr>
            </w:pPr>
          </w:p>
        </w:tc>
        <w:tc>
          <w:tcPr>
            <w:tcW w:w="26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spacing w:after="0"/>
              <w:rPr>
                <w:sz w:val="12"/>
                <w:szCs w:val="12"/>
                <w:color w:val="auto"/>
              </w:rPr>
            </w:pPr>
          </w:p>
        </w:tc>
        <w:tc>
          <w:tcPr>
            <w:tcW w:w="24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10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servicing portfolio</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10.0%</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9.1%</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8.3%</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13.0%</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Total delinquencies and amount in repossession</w:t>
            </w:r>
          </w:p>
        </w:tc>
        <w:tc>
          <w:tcPr>
            <w:tcW w:w="11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as a percentage of gross servicing portfolio</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12.4%</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11.0%</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9.9%</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402"/>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Extension Experience</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one extension, accruing</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33,481</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593,699</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30,126</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530,950</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33,920</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610,617</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two or more extensions, accruing</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43,748</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601,574</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38,838</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431,936</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42,462</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563,308</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77,229</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1,195,273</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68,964</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962,886</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76,382</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1,173,925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one extension, non-accrual (4)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2,628</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42,315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1,072</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2,367</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38,933</w:t>
            </w:r>
          </w:p>
        </w:tc>
        <w:tc>
          <w:tcPr>
            <w:tcW w:w="0" w:type="dxa"/>
            <w:vAlign w:val="bottom"/>
          </w:tcPr>
          <w:p>
            <w:pPr>
              <w:spacing w:after="0"/>
              <w:rPr>
                <w:sz w:val="1"/>
                <w:szCs w:val="1"/>
                <w:color w:val="auto"/>
              </w:rPr>
            </w:pPr>
          </w:p>
        </w:tc>
      </w:tr>
      <w:tr>
        <w:trPr>
          <w:trHeight w:val="203"/>
        </w:trPr>
        <w:tc>
          <w:tcPr>
            <w:tcW w:w="3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two or more extensions, non-</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accrual (4)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28,015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1,167</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12,641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2,081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27,497</w:t>
            </w:r>
          </w:p>
        </w:tc>
        <w:tc>
          <w:tcPr>
            <w:tcW w:w="0" w:type="dxa"/>
            <w:vAlign w:val="bottom"/>
          </w:tcPr>
          <w:p>
            <w:pPr>
              <w:spacing w:after="0"/>
              <w:rPr>
                <w:sz w:val="1"/>
                <w:szCs w:val="1"/>
                <w:color w:val="auto"/>
              </w:rPr>
            </w:pPr>
          </w:p>
        </w:tc>
      </w:tr>
      <w:tr>
        <w:trPr>
          <w:trHeight w:val="199"/>
        </w:trPr>
        <w:tc>
          <w:tcPr>
            <w:tcW w:w="328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2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70,330</w:t>
            </w:r>
          </w:p>
        </w:tc>
        <w:tc>
          <w:tcPr>
            <w:tcW w:w="24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29,411</w:t>
            </w:r>
          </w:p>
        </w:tc>
        <w:tc>
          <w:tcPr>
            <w:tcW w:w="220" w:type="dxa"/>
            <w:vAlign w:val="bottom"/>
            <w:tcBorders>
              <w:top w:val="single" w:sz="8" w:color="EEEEEE"/>
            </w:tcBorders>
            <w:shd w:val="clear" w:color="auto" w:fill="EEEEEE"/>
          </w:tcPr>
          <w:p>
            <w:pPr>
              <w:spacing w:after="0"/>
              <w:rPr>
                <w:sz w:val="17"/>
                <w:szCs w:val="17"/>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66,430</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Total contracts with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81,879</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1,265,603</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71,203</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992,297</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80,830</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1,240,355</w:t>
            </w:r>
          </w:p>
        </w:tc>
        <w:tc>
          <w:tcPr>
            <w:tcW w:w="0" w:type="dxa"/>
            <w:vAlign w:val="bottom"/>
          </w:tcPr>
          <w:p>
            <w:pPr>
              <w:spacing w:after="0"/>
              <w:rPr>
                <w:sz w:val="1"/>
                <w:szCs w:val="1"/>
                <w:color w:val="auto"/>
              </w:rPr>
            </w:pPr>
          </w:p>
        </w:tc>
      </w:tr>
      <w:tr>
        <w:trPr>
          <w:trHeight w:val="20"/>
        </w:trPr>
        <w:tc>
          <w:tcPr>
            <w:tcW w:w="328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460" w:hanging="452"/>
        <w:spacing w:after="0" w:line="250" w:lineRule="auto"/>
        <w:tabs>
          <w:tab w:leader="none" w:pos="4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Times New Roman" w:cs="Times New Roman" w:eastAsia="Times New Roman" w:hAnsi="Times New Roman"/>
          <w:sz w:val="18"/>
          <w:szCs w:val="18"/>
          <w:i w:val="1"/>
          <w:iCs w:val="1"/>
          <w:color w:val="auto"/>
        </w:rPr>
      </w:pPr>
    </w:p>
    <w:p>
      <w:pPr>
        <w:jc w:val="both"/>
        <w:ind w:left="460" w:hanging="452"/>
        <w:spacing w:after="0" w:line="250" w:lineRule="auto"/>
        <w:tabs>
          <w:tab w:leader="none" w:pos="4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r>
      <w:tr>
        <w:trPr>
          <w:trHeight w:val="229"/>
        </w:trPr>
        <w:tc>
          <w:tcPr>
            <w:tcW w:w="6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0" w:type="dxa"/>
            <w:vAlign w:val="bottom"/>
          </w:tcPr>
          <w:p>
            <w:pPr>
              <w:spacing w:after="0"/>
              <w:rPr>
                <w:sz w:val="19"/>
                <w:szCs w:val="19"/>
                <w:color w:val="auto"/>
              </w:rPr>
            </w:pPr>
          </w:p>
        </w:tc>
        <w:tc>
          <w:tcPr>
            <w:tcW w:w="1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2,993,816</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2,856,598</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2,913,571</w:t>
            </w:r>
          </w:p>
        </w:tc>
      </w:tr>
      <w:tr>
        <w:trPr>
          <w:trHeight w:val="196"/>
        </w:trPr>
        <w:tc>
          <w:tcPr>
            <w:tcW w:w="66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Annualized net charge-offs as a percentage of average servicing portfolio (2)</w:t>
            </w:r>
          </w:p>
        </w:tc>
        <w:tc>
          <w:tcPr>
            <w:tcW w:w="200" w:type="dxa"/>
            <w:vAlign w:val="bottom"/>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spacing w:after="0"/>
              <w:rPr>
                <w:sz w:val="17"/>
                <w:szCs w:val="17"/>
                <w:color w:val="auto"/>
              </w:rPr>
            </w:pPr>
          </w:p>
        </w:tc>
        <w:tc>
          <w:tcPr>
            <w:tcW w:w="1340" w:type="dxa"/>
            <w:vAlign w:val="bottom"/>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7"/>
                <w:szCs w:val="17"/>
                <w:color w:val="auto"/>
              </w:rPr>
            </w:pPr>
          </w:p>
        </w:tc>
        <w:tc>
          <w:tcPr>
            <w:tcW w:w="13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6.5%</w:t>
            </w:r>
          </w:p>
        </w:tc>
      </w:tr>
      <w:tr>
        <w:trPr>
          <w:trHeight w:val="236"/>
        </w:trPr>
        <w:tc>
          <w:tcPr>
            <w:tcW w:w="6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460" w:hanging="452"/>
        <w:spacing w:after="0"/>
        <w:tabs>
          <w:tab w:leader="none" w:pos="4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w:t>
      </w:r>
    </w:p>
    <w:p>
      <w:pPr>
        <w:spacing w:after="0" w:line="9" w:lineRule="exact"/>
        <w:rPr>
          <w:rFonts w:ascii="Times New Roman" w:cs="Times New Roman" w:eastAsia="Times New Roman" w:hAnsi="Times New Roman"/>
          <w:sz w:val="18"/>
          <w:szCs w:val="18"/>
          <w:i w:val="1"/>
          <w:iCs w:val="1"/>
          <w:color w:val="auto"/>
        </w:rPr>
      </w:pPr>
    </w:p>
    <w:p>
      <w:pPr>
        <w:jc w:val="both"/>
        <w:ind w:left="460" w:hanging="452"/>
        <w:spacing w:after="0" w:line="253" w:lineRule="auto"/>
        <w:tabs>
          <w:tab w:leader="none" w:pos="4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2024 and March 31, 2023 percentages represent three months ended March 31, 2024 and March 31, 2023 annualized. December 31, 2022 represents 12 months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 The table below summarizes the status, as of March 31, 2024, for accounts that received extensions from 2010 through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Active or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Charged Off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Charged Off</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Active or Paid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Paid Off at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Charged Off &gt;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&gt; 6 Months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&lt;= 6 Months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&lt;= 6 Months</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Avg Months to</w:t>
            </w: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Period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 Extensions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Off at March</w:t>
            </w:r>
          </w:p>
        </w:tc>
        <w:tc>
          <w:tcPr>
            <w:tcW w:w="24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March 31,    6 Months After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After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After</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Charge Off</w:t>
            </w:r>
          </w:p>
        </w:tc>
        <w:tc>
          <w:tcPr>
            <w:tcW w:w="0" w:type="dxa"/>
            <w:vAlign w:val="bottom"/>
          </w:tcPr>
          <w:p>
            <w:pPr>
              <w:spacing w:after="0"/>
              <w:rPr>
                <w:sz w:val="1"/>
                <w:szCs w:val="1"/>
                <w:color w:val="auto"/>
              </w:rPr>
            </w:pPr>
          </w:p>
        </w:tc>
      </w:tr>
      <w:tr>
        <w:trPr>
          <w:trHeight w:val="234"/>
        </w:trPr>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Granted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31, 2024</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Extension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Post Extension</w:t>
            </w:r>
          </w:p>
        </w:tc>
        <w:tc>
          <w:tcPr>
            <w:tcW w:w="0" w:type="dxa"/>
            <w:vAlign w:val="bottom"/>
          </w:tcPr>
          <w:p>
            <w:pPr>
              <w:spacing w:after="0"/>
              <w:rPr>
                <w:sz w:val="1"/>
                <w:szCs w:val="1"/>
                <w:color w:val="auto"/>
              </w:rPr>
            </w:pPr>
          </w:p>
        </w:tc>
      </w:tr>
      <w:tr>
        <w:trPr>
          <w:trHeight w:val="210"/>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26,167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12,159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12,006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1,999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18,786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10,972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6,882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932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18,783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11,320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6,667</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796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23,398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11,138</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11,277</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979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25,773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10,460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14,477</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53,319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22,153</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30,027</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1,139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80,897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35,856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42,810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2,231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133,847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58,289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67,566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7,992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121,531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61,646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52,364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7,521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71,548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46,719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21,554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3,275</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83,170</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59,151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21,470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2,549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47,010</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35,369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10,405</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1,236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56,142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43,918</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10,270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1,954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83,113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76,279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4,042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2,792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2019, 65.3% were either paid in full or active and performing as of March 31, 2024.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5"/>
              </w:rPr>
              <w:t>Year Ended</w:t>
            </w:r>
          </w:p>
        </w:tc>
      </w:tr>
      <w:tr>
        <w:trPr>
          <w:trHeight w:val="230"/>
        </w:trPr>
        <w:tc>
          <w:tcPr>
            <w:tcW w:w="3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March 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7"/>
          </w:tcPr>
          <w:p>
            <w:pPr>
              <w:jc w:val="center"/>
              <w:ind w:right="600"/>
              <w:spacing w:after="0"/>
              <w:rPr>
                <w:sz w:val="20"/>
                <w:szCs w:val="20"/>
                <w:color w:val="auto"/>
              </w:rPr>
            </w:pPr>
            <w:r>
              <w:rPr>
                <w:rFonts w:ascii="Times New Roman" w:cs="Times New Roman" w:eastAsia="Times New Roman" w:hAnsi="Times New Roman"/>
                <w:sz w:val="18"/>
                <w:szCs w:val="18"/>
                <w:color w:val="auto"/>
                <w:w w:val="99"/>
              </w:rPr>
              <w:t>March 31,</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center"/>
              <w:ind w:left="638"/>
              <w:spacing w:after="0"/>
              <w:rPr>
                <w:sz w:val="20"/>
                <w:szCs w:val="20"/>
                <w:color w:val="auto"/>
              </w:rPr>
            </w:pPr>
            <w:r>
              <w:rPr>
                <w:rFonts w:ascii="Times New Roman" w:cs="Times New Roman" w:eastAsia="Times New Roman" w:hAnsi="Times New Roman"/>
                <w:sz w:val="18"/>
                <w:szCs w:val="18"/>
                <w:color w:val="auto"/>
                <w:w w:val="99"/>
              </w:rPr>
              <w:t>2023</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516"/>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6,760</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39"/>
              <w:spacing w:after="0"/>
              <w:rPr>
                <w:sz w:val="20"/>
                <w:szCs w:val="20"/>
                <w:color w:val="auto"/>
              </w:rPr>
            </w:pPr>
            <w:r>
              <w:rPr>
                <w:rFonts w:ascii="Times New Roman" w:cs="Times New Roman" w:eastAsia="Times New Roman" w:hAnsi="Times New Roman"/>
                <w:sz w:val="18"/>
                <w:szCs w:val="18"/>
                <w:color w:val="auto"/>
              </w:rPr>
              <w:t>6,089</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6,926</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180,332</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39"/>
              <w:spacing w:after="0"/>
              <w:rPr>
                <w:sz w:val="20"/>
                <w:szCs w:val="20"/>
                <w:color w:val="auto"/>
              </w:rPr>
            </w:pPr>
            <w:r>
              <w:rPr>
                <w:rFonts w:ascii="Times New Roman" w:cs="Times New Roman" w:eastAsia="Times New Roman" w:hAnsi="Times New Roman"/>
                <w:sz w:val="18"/>
                <w:szCs w:val="18"/>
                <w:color w:val="auto"/>
                <w:w w:val="99"/>
              </w:rPr>
              <w:t>173,731</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176,438</w:t>
            </w:r>
          </w:p>
        </w:tc>
      </w:tr>
      <w:tr>
        <w:trPr>
          <w:trHeight w:val="216"/>
        </w:trPr>
        <w:tc>
          <w:tcPr>
            <w:tcW w:w="4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39"/>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196"/>
        </w:trPr>
        <w:tc>
          <w:tcPr>
            <w:tcW w:w="32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____________________</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0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3280" w:type="dxa"/>
            <w:vAlign w:val="bottom"/>
          </w:tcPr>
          <w:p>
            <w:pPr>
              <w:spacing w:after="0"/>
              <w:rPr>
                <w:sz w:val="24"/>
                <w:szCs w:val="24"/>
                <w:color w:val="auto"/>
              </w:rPr>
            </w:pPr>
          </w:p>
        </w:tc>
        <w:tc>
          <w:tcPr>
            <w:tcW w:w="2740" w:type="dxa"/>
            <w:vAlign w:val="bottom"/>
            <w:gridSpan w:val="6"/>
          </w:tcPr>
          <w:p>
            <w:pPr>
              <w:jc w:val="right"/>
              <w:ind w:right="980"/>
              <w:spacing w:after="0"/>
              <w:rPr>
                <w:sz w:val="20"/>
                <w:szCs w:val="20"/>
                <w:color w:val="auto"/>
              </w:rPr>
            </w:pPr>
            <w:r>
              <w:rPr>
                <w:rFonts w:ascii="Times New Roman" w:cs="Times New Roman" w:eastAsia="Times New Roman" w:hAnsi="Times New Roman"/>
                <w:sz w:val="16"/>
                <w:szCs w:val="16"/>
                <w:color w:val="auto"/>
              </w:rPr>
              <w:t>March 31, 2024</w:t>
            </w:r>
          </w:p>
        </w:tc>
        <w:tc>
          <w:tcPr>
            <w:tcW w:w="2620" w:type="dxa"/>
            <w:vAlign w:val="bottom"/>
            <w:gridSpan w:val="7"/>
          </w:tcPr>
          <w:p>
            <w:pPr>
              <w:jc w:val="right"/>
              <w:ind w:right="860"/>
              <w:spacing w:after="0"/>
              <w:rPr>
                <w:sz w:val="20"/>
                <w:szCs w:val="20"/>
                <w:color w:val="auto"/>
              </w:rPr>
            </w:pPr>
            <w:r>
              <w:rPr>
                <w:rFonts w:ascii="Times New Roman" w:cs="Times New Roman" w:eastAsia="Times New Roman" w:hAnsi="Times New Roman"/>
                <w:sz w:val="16"/>
                <w:szCs w:val="16"/>
                <w:color w:val="auto"/>
              </w:rPr>
              <w:t>March 31, 2023</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185"/>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Number of</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Number of</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top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Number of</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2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Contracts</w:t>
            </w:r>
          </w:p>
        </w:tc>
        <w:tc>
          <w:tcPr>
            <w:tcW w:w="18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Amount</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Contracts</w:t>
            </w:r>
          </w:p>
        </w:tc>
        <w:tc>
          <w:tcPr>
            <w:tcW w:w="18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Amount</w:t>
            </w:r>
          </w:p>
        </w:tc>
        <w:tc>
          <w:tcPr>
            <w:tcW w:w="60" w:type="dxa"/>
            <w:vAlign w:val="bottom"/>
          </w:tcPr>
          <w:p>
            <w:pPr>
              <w:spacing w:after="0"/>
              <w:rPr>
                <w:sz w:val="18"/>
                <w:szCs w:val="18"/>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Contracts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Amount</w:t>
            </w:r>
          </w:p>
        </w:tc>
      </w:tr>
      <w:tr>
        <w:trPr>
          <w:trHeight w:val="210"/>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Borders>
              <w:top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36,109</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636,014</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31,198</w:t>
            </w:r>
          </w:p>
        </w:tc>
        <w:tc>
          <w:tcPr>
            <w:tcW w:w="40" w:type="dxa"/>
            <w:vAlign w:val="bottom"/>
            <w:shd w:val="clear" w:color="auto" w:fill="EEEEEE"/>
          </w:tcPr>
          <w:p>
            <w:pPr>
              <w:spacing w:after="0"/>
              <w:rPr>
                <w:sz w:val="17"/>
                <w:szCs w:val="17"/>
                <w:color w:val="auto"/>
              </w:rPr>
            </w:pP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547,720</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36,287</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649,551</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two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20,228</w:t>
            </w:r>
          </w:p>
        </w:tc>
        <w:tc>
          <w:tcPr>
            <w:tcW w:w="18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345,488</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14,365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201,960</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19,335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326,552</w:t>
            </w: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10,758</w:t>
            </w:r>
          </w:p>
        </w:tc>
        <w:tc>
          <w:tcPr>
            <w:tcW w:w="180" w:type="dxa"/>
            <w:vAlign w:val="bottom"/>
            <w:shd w:val="clear" w:color="auto" w:fill="EEEEEE"/>
          </w:tcPr>
          <w:p>
            <w:pPr>
              <w:spacing w:after="0"/>
              <w:rPr>
                <w:sz w:val="17"/>
                <w:szCs w:val="17"/>
                <w:color w:val="auto"/>
              </w:rPr>
            </w:pPr>
          </w:p>
        </w:tc>
        <w:tc>
          <w:tcPr>
            <w:tcW w:w="11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153,331</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9,557</w:t>
            </w:r>
          </w:p>
        </w:tc>
        <w:tc>
          <w:tcPr>
            <w:tcW w:w="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105,955</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10,109</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133,207</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four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6,648</w:t>
            </w:r>
          </w:p>
        </w:tc>
        <w:tc>
          <w:tcPr>
            <w:tcW w:w="18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69,027</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7,672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72,951</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6,784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67,735</w:t>
            </w: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5,017</w:t>
            </w:r>
          </w:p>
        </w:tc>
        <w:tc>
          <w:tcPr>
            <w:tcW w:w="180" w:type="dxa"/>
            <w:vAlign w:val="bottom"/>
            <w:shd w:val="clear" w:color="auto" w:fill="EEEEEE"/>
          </w:tcPr>
          <w:p>
            <w:pPr>
              <w:spacing w:after="0"/>
              <w:rPr>
                <w:sz w:val="17"/>
                <w:szCs w:val="17"/>
                <w:color w:val="auto"/>
              </w:rPr>
            </w:pPr>
          </w:p>
        </w:tc>
        <w:tc>
          <w:tcPr>
            <w:tcW w:w="11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40,981</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5,295</w:t>
            </w:r>
          </w:p>
        </w:tc>
        <w:tc>
          <w:tcPr>
            <w:tcW w:w="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43,085</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5,197</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42,734</w:t>
            </w: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six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3,119</w:t>
            </w:r>
          </w:p>
        </w:tc>
        <w:tc>
          <w:tcPr>
            <w:tcW w:w="18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20,762</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3,116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20,626</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3,118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20,576</w:t>
            </w:r>
          </w:p>
        </w:tc>
      </w:tr>
      <w:tr>
        <w:trPr>
          <w:trHeight w:val="209"/>
        </w:trPr>
        <w:tc>
          <w:tcPr>
            <w:tcW w:w="3280" w:type="dxa"/>
            <w:vAlign w:val="bottom"/>
            <w:tcBorders>
              <w:top w:val="single" w:sz="8" w:color="EEEEEE"/>
              <w:bottom w:val="single" w:sz="8" w:color="EEEEEE"/>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81,879</w:t>
            </w:r>
          </w:p>
        </w:tc>
        <w:tc>
          <w:tcPr>
            <w:tcW w:w="26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1,265,603</w:t>
            </w: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71,203</w:t>
            </w: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4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992,297</w:t>
            </w:r>
          </w:p>
        </w:tc>
        <w:tc>
          <w:tcPr>
            <w:tcW w:w="16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80,830</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1,240,355</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Managed portfolio (excluding originated and</w:t>
            </w:r>
          </w:p>
        </w:tc>
        <w:tc>
          <w:tcPr>
            <w:tcW w:w="11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8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6"/>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owned by 3rd parties)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181,650</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3,021,185</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175,197</w:t>
            </w: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2,881,844</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179,198</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2,970,066</w:t>
            </w: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three-month period ended March 31, 2024 was $52.7 million, a decrease of $12.4 million, compared to net cash provided by operating activities for the three-month period ended March 31, 2023 of $65.1 million. Net cash from operating activities is generally provided by net income from operations adjusted for significant non-cash items such as our provision for credit losses and marks to finance receivables measured at fair value.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$108.6 million for the three months ended March 31, 2024 compared to $121.2 million in the prior year period. Net cash used in investing activities generally relates to new purchases of automobile contracts net of principal payments and other proceeds received during the period. Purchases of finance receivables excluding acquisition fees were $353.9 million and $353.9 million during the first three months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$81.5 million compared to $62.3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2024, we issued $280.9 million in new securitization trust debt compared to $324.8 million for the same period in 2023. We repaid $268.7 million in securitization trust debt in the three months ended March 31, 2024 compared to repayments of securitization trust debt of $258.2 million in the prior year period. In the three months ended March 31, 2024, we had net repayments on warehouse lines of credit of $17.2 million, compared to net proceeds from warehouse lines of credit of $7,000 in the prior year’s period.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March 31, 2024, we had unrestricted cash of $13.2 million and $150.5 million aggregate available borrowings under our two warehouse credit facilities (assuming the availability of sufficient eligible collateral). As of March 31, 2024, we had approximately $39.5 million of such eligible collateral. Our plans to manage our liquidity include maintaining our rate of automobile contract purchases at a level that matches our available capital, and, as appropriate, minimizing our operating costs. During the three-month period ended March 31, 2024, we completed one securitization aggregating $280.9 million of notes sold.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2024,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2024, we had approximately $2,648.3 million of debt outstanding. Such debt consisted primarily of $2,277.7 million of securitization trust debt and $249.5 million of debt from warehouse lines of credit. Our securitization trust debt has increased by $12.2 million while our warehouse lines of credit debt has increased by $15.5 million since December 31, 2023 (each net of deferred financing costs). Since 2005, we have offered renewable subordinated notes to the public on a continuous basis, and such notes have maturities that range from six months to 10 years. We had $22.1 million and $17.2 million in subordinated renewable notes outstanding at March 31, 2024 and December 31, 2023, respectively. On June 30, 2021, we completed a $50.0 million securitization of residual interests from other previously issued securitizations. On March 2024, we completed a new residual interest financing of our residual interests from previously issued securitizations in the amount of $50.0 million. As of March 31, 2024, all $100.0 million of this debt remains outstanding.</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15, 2024.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2024, we had approximately $2,648.3 million of debt outstanding. Such debt consisted primarily of $2,277.7 million of securitization trust debt and $249.5 million of debt from warehouse lines of credit. Our securitization trust debt has increased by $12.2 million while our warehouse lines of credit debt has increased by $15.5 million since December 31, 2023 (each net of deferred financing costs). Since 2005, we have offered renewable subordinated notes to the public on a continuous basis, and such notes have maturities that range from six months to 10 years. We had $22.1 million and $17.2 million in subordinated renewable notes outstanding at March 31, 2024 and December 31, 2023, respectively. On June 30, 2021, we completed a $50.0 million securitization of residual interests from other previously issued securitizations. On March 2024, we completed a new residual interest financing of our residual interests from previously issued securitizations in the amount of $50.0 million. As of March 31, 2024, all $100.0 million of this debt remains outstanding.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780" w:hanging="259"/>
        <w:spacing w:after="0" w:line="282"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61"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we repurchased 101,355 shares from existing shareholders, as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6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6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6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6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238"/>
        </w:trPr>
        <w:tc>
          <w:tcPr>
            <w:tcW w:w="47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Period (1)</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60" w:type="dxa"/>
            <w:vAlign w:val="bottom"/>
          </w:tcPr>
          <w:p>
            <w:pPr>
              <w:spacing w:after="0"/>
              <w:rPr>
                <w:sz w:val="20"/>
                <w:szCs w:val="20"/>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Programs (2)</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5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17,718</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8.83</w:t>
            </w:r>
          </w:p>
        </w:tc>
        <w:tc>
          <w:tcPr>
            <w:tcW w:w="15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17,718</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1,343,845</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9.05</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1,098,333</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March 2024</w:t>
            </w:r>
          </w:p>
        </w:tc>
        <w:tc>
          <w:tcPr>
            <w:tcW w:w="15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56,518</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8.15</w:t>
            </w:r>
          </w:p>
        </w:tc>
        <w:tc>
          <w:tcPr>
            <w:tcW w:w="15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56,518</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637,823</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101,355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4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460" w:hanging="452"/>
        <w:spacing w:after="0" w:line="255" w:lineRule="auto"/>
        <w:tabs>
          <w:tab w:leader="none" w:pos="4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March 31, 2024, our board of directors had authorized the purchase of up to $103.2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 director or officer adopted or terminated any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4.14</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provide copies of such instruments to the United States Securities and Exchange Commission upon request.</w:t>
            </w:r>
          </w:p>
        </w:tc>
      </w:tr>
      <w:tr>
        <w:trPr>
          <w:trHeight w:val="194"/>
        </w:trPr>
        <w:tc>
          <w:tcPr>
            <w:tcW w:w="1360" w:type="dxa"/>
            <w:vAlign w:val="bottom"/>
          </w:tcPr>
          <w:p>
            <w:pPr>
              <w:jc w:val="right"/>
              <w:ind w:right="950"/>
              <w:spacing w:after="0" w:line="194" w:lineRule="exact"/>
              <w:rPr>
                <w:sz w:val="20"/>
                <w:szCs w:val="20"/>
                <w:color w:val="auto"/>
              </w:rPr>
            </w:pPr>
            <w:r>
              <w:rPr>
                <w:rFonts w:ascii="Times New Roman" w:cs="Times New Roman" w:eastAsia="Times New Roman" w:hAnsi="Times New Roman"/>
                <w:sz w:val="18"/>
                <w:szCs w:val="18"/>
                <w:color w:val="auto"/>
                <w:w w:val="95"/>
              </w:rPr>
              <w:t>31.1</w:t>
            </w:r>
          </w:p>
        </w:tc>
        <w:tc>
          <w:tcPr>
            <w:tcW w:w="55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Rule 13a-14(a) Certification of the Chief Executive Officer of the registrant.</w:t>
            </w:r>
          </w:p>
        </w:tc>
        <w:tc>
          <w:tcPr>
            <w:tcW w:w="4380" w:type="dxa"/>
            <w:vAlign w:val="bottom"/>
          </w:tcPr>
          <w:p>
            <w:pPr>
              <w:spacing w:after="0"/>
              <w:rPr>
                <w:sz w:val="16"/>
                <w:szCs w:val="16"/>
                <w:color w:val="auto"/>
              </w:rPr>
            </w:pPr>
          </w:p>
        </w:tc>
      </w:tr>
      <w:tr>
        <w:trPr>
          <w:trHeight w:val="196"/>
        </w:trPr>
        <w:tc>
          <w:tcPr>
            <w:tcW w:w="136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Rule 13a-14(a) Certification of the Chief Financial Officer of the registrant.</w:t>
            </w:r>
          </w:p>
        </w:tc>
      </w:tr>
      <w:tr>
        <w:trPr>
          <w:trHeight w:val="20"/>
        </w:trPr>
        <w:tc>
          <w:tcPr>
            <w:tcW w:w="136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r>
        <w:rPr>
          <w:rFonts w:ascii="Times New Roman" w:cs="Times New Roman" w:eastAsia="Times New Roman" w:hAnsi="Times New Roman"/>
          <w:sz w:val="18"/>
          <w:szCs w:val="18"/>
          <w:color w:val="000000"/>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16"/>
        </w:trPr>
        <w:tc>
          <w:tcPr>
            <w:tcW w:w="1020" w:type="dxa"/>
            <w:vAlign w:val="bottom"/>
          </w:tcPr>
          <w:p>
            <w:pPr>
              <w:spacing w:after="0"/>
              <w:rPr>
                <w:sz w:val="18"/>
                <w:szCs w:val="18"/>
                <w:color w:val="auto"/>
              </w:rPr>
            </w:pP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60" w:hanging="1352"/>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6" w:lineRule="exact"/>
        <w:rPr>
          <w:rFonts w:ascii="Times New Roman" w:cs="Times New Roman" w:eastAsia="Times New Roman" w:hAnsi="Times New Roman"/>
          <w:sz w:val="18"/>
          <w:szCs w:val="18"/>
          <w:color w:val="auto"/>
        </w:rPr>
      </w:pPr>
    </w:p>
    <w:p>
      <w:pPr>
        <w:jc w:val="both"/>
        <w:ind w:firstLine="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7" w:lineRule="exact"/>
        <w:rPr>
          <w:sz w:val="20"/>
          <w:szCs w:val="20"/>
          <w:color w:val="auto"/>
        </w:rPr>
      </w:pPr>
    </w:p>
    <w:p>
      <w:pPr>
        <w:ind w:left="2820"/>
        <w:spacing w:after="0"/>
        <w:tabs>
          <w:tab w:leader="none" w:pos="3260" w:val="left"/>
        </w:tabs>
        <w:rPr>
          <w:sz w:val="20"/>
          <w:szCs w:val="20"/>
          <w:color w:val="auto"/>
        </w:rPr>
      </w:pPr>
      <w:r>
        <w:rPr>
          <w:rFonts w:ascii="Times New Roman" w:cs="Times New Roman" w:eastAsia="Times New Roman" w:hAnsi="Times New Roman"/>
          <w:sz w:val="18"/>
          <w:szCs w:val="18"/>
          <w:color w:val="auto"/>
        </w:rPr>
        <w:t>By:</w:t>
        <w:tab/>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5715</wp:posOffset>
            </wp:positionV>
            <wp:extent cx="2846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7" w:lineRule="exact"/>
        <w:rPr>
          <w:sz w:val="20"/>
          <w:szCs w:val="20"/>
          <w:color w:val="auto"/>
        </w:rPr>
      </w:pPr>
    </w:p>
    <w:p>
      <w:pPr>
        <w:ind w:left="2820"/>
        <w:spacing w:after="0"/>
        <w:tabs>
          <w:tab w:leader="none" w:pos="3260" w:val="left"/>
        </w:tabs>
        <w:rPr>
          <w:sz w:val="20"/>
          <w:szCs w:val="20"/>
          <w:color w:val="auto"/>
        </w:rPr>
      </w:pPr>
      <w:r>
        <w:rPr>
          <w:rFonts w:ascii="Times New Roman" w:cs="Times New Roman" w:eastAsia="Times New Roman" w:hAnsi="Times New Roman"/>
          <w:sz w:val="18"/>
          <w:szCs w:val="18"/>
          <w:color w:val="auto"/>
        </w:rPr>
        <w:t>By:</w:t>
        <w:tab/>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5715</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Denesh Bharwani</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March 31, 2024,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680" w:hanging="348"/>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20" w:firstLine="332"/>
        <w:spacing w:after="0" w:line="500" w:lineRule="auto"/>
        <w:tabs>
          <w:tab w:leader="none" w:pos="6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10,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lowerRoman"/>
      <w:start w:val="3"/>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1"/>
      <w:numFmt w:val="decimal"/>
      <w:start w:val="104"/>
    </w:lvl>
    <w:lvl w:ilvl="1">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2024-05-10T16:02:32Z</dcterms:created>
  <dcterms:modified xsi:type="dcterms:W3CDTF">2024-05-10T16:02:32Z</dcterms:modified>
</cp:coreProperties>
</file>