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hyperlink w:anchor="page2">
        <w:r>
          <w:rPr>
            <w:rFonts w:ascii="Arial" w:cs="Arial" w:eastAsia="Arial" w:hAnsi="Arial"/>
            <w:sz w:val="13"/>
            <w:szCs w:val="13"/>
            <w:b w:val="1"/>
            <w:bCs w:val="1"/>
            <w:u w:val="single" w:color="auto"/>
            <w:color w:val="0000EE"/>
          </w:rPr>
          <w:t>Table of Contents</w:t>
        </w:r>
      </w:hyperlink>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5" w:lineRule="exact"/>
        <w:rPr>
          <w:sz w:val="24"/>
          <w:szCs w:val="24"/>
          <w:color w:val="auto"/>
        </w:rPr>
      </w:pPr>
    </w:p>
    <w:p>
      <w:pPr>
        <w:ind w:left="1660" w:hanging="213"/>
        <w:spacing w:after="0"/>
        <w:tabs>
          <w:tab w:leader="none" w:pos="1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929005</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 w:lineRule="exact"/>
        <w:rPr>
          <w:sz w:val="24"/>
          <w:szCs w:val="24"/>
          <w:color w:val="auto"/>
        </w:rPr>
      </w:pPr>
    </w:p>
    <w:p>
      <w:pPr>
        <w:ind w:left="1380" w:hanging="206"/>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1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001-14116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CONSUMER PORTFOLIO SERVICES,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72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6"/>
              </w:rPr>
              <w:t>California</w:t>
            </w:r>
          </w:p>
        </w:tc>
        <w:tc>
          <w:tcPr>
            <w:tcW w:w="900" w:type="dxa"/>
            <w:vAlign w:val="bottom"/>
          </w:tcPr>
          <w:p>
            <w:pPr>
              <w:spacing w:after="0"/>
              <w:rPr>
                <w:sz w:val="19"/>
                <w:szCs w:val="19"/>
                <w:color w:val="auto"/>
              </w:rPr>
            </w:pPr>
          </w:p>
        </w:tc>
        <w:tc>
          <w:tcPr>
            <w:tcW w:w="3620" w:type="dxa"/>
            <w:vAlign w:val="bottom"/>
          </w:tcPr>
          <w:p>
            <w:pPr>
              <w:jc w:val="right"/>
              <w:ind w:right="2290"/>
              <w:spacing w:after="0"/>
              <w:rPr>
                <w:sz w:val="20"/>
                <w:szCs w:val="20"/>
                <w:color w:val="auto"/>
              </w:rPr>
            </w:pPr>
            <w:r>
              <w:rPr>
                <w:rFonts w:ascii="Arial" w:cs="Arial" w:eastAsia="Arial" w:hAnsi="Arial"/>
                <w:sz w:val="18"/>
                <w:szCs w:val="18"/>
                <w:b w:val="1"/>
                <w:bCs w:val="1"/>
                <w:color w:val="auto"/>
              </w:rPr>
              <w:t>33-0459135</w:t>
            </w:r>
          </w:p>
        </w:tc>
      </w:tr>
      <w:tr>
        <w:trPr>
          <w:trHeight w:val="230"/>
        </w:trPr>
        <w:tc>
          <w:tcPr>
            <w:tcW w:w="6720" w:type="dxa"/>
            <w:vAlign w:val="bottom"/>
            <w:gridSpan w:val="2"/>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520" w:type="dxa"/>
            <w:vAlign w:val="bottom"/>
            <w:gridSpan w:val="2"/>
          </w:tcPr>
          <w:p>
            <w:pPr>
              <w:ind w:left="400"/>
              <w:spacing w:after="0"/>
              <w:rPr>
                <w:sz w:val="20"/>
                <w:szCs w:val="20"/>
                <w:color w:val="auto"/>
              </w:rPr>
            </w:pPr>
            <w:r>
              <w:rPr>
                <w:rFonts w:ascii="Arial" w:cs="Arial" w:eastAsia="Arial" w:hAnsi="Arial"/>
                <w:sz w:val="18"/>
                <w:szCs w:val="18"/>
                <w:color w:val="auto"/>
              </w:rPr>
              <w:t>(I.R.S. Employer Identification No.)</w:t>
            </w:r>
          </w:p>
        </w:tc>
      </w:tr>
      <w:tr>
        <w:trPr>
          <w:trHeight w:val="418"/>
        </w:trPr>
        <w:tc>
          <w:tcPr>
            <w:tcW w:w="6720" w:type="dxa"/>
            <w:vAlign w:val="bottom"/>
            <w:gridSpan w:val="2"/>
          </w:tcPr>
          <w:p>
            <w:pPr>
              <w:jc w:val="center"/>
              <w:ind w:right="1010"/>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900" w:type="dxa"/>
            <w:vAlign w:val="bottom"/>
          </w:tcPr>
          <w:p>
            <w:pPr>
              <w:spacing w:after="0"/>
              <w:rPr>
                <w:sz w:val="24"/>
                <w:szCs w:val="24"/>
                <w:color w:val="auto"/>
              </w:rPr>
            </w:pPr>
          </w:p>
        </w:tc>
        <w:tc>
          <w:tcPr>
            <w:tcW w:w="3620" w:type="dxa"/>
            <w:vAlign w:val="bottom"/>
          </w:tcPr>
          <w:p>
            <w:pPr>
              <w:jc w:val="right"/>
              <w:ind w:right="2490"/>
              <w:spacing w:after="0"/>
              <w:rPr>
                <w:sz w:val="20"/>
                <w:szCs w:val="20"/>
                <w:color w:val="auto"/>
              </w:rPr>
            </w:pPr>
            <w:r>
              <w:rPr>
                <w:rFonts w:ascii="Arial" w:cs="Arial" w:eastAsia="Arial" w:hAnsi="Arial"/>
                <w:sz w:val="18"/>
                <w:szCs w:val="18"/>
                <w:b w:val="1"/>
                <w:bCs w:val="1"/>
                <w:color w:val="auto"/>
              </w:rPr>
              <w:t>89169</w:t>
            </w:r>
          </w:p>
        </w:tc>
      </w:tr>
      <w:tr>
        <w:trPr>
          <w:trHeight w:val="230"/>
        </w:trPr>
        <w:tc>
          <w:tcPr>
            <w:tcW w:w="6720" w:type="dxa"/>
            <w:vAlign w:val="bottom"/>
            <w:gridSpan w:val="2"/>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20"/>
                <w:szCs w:val="20"/>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(Zip Code)</w:t>
            </w:r>
          </w:p>
        </w:tc>
      </w:tr>
      <w:tr>
        <w:trPr>
          <w:trHeight w:val="432"/>
        </w:trPr>
        <w:tc>
          <w:tcPr>
            <w:tcW w:w="2980" w:type="dxa"/>
            <w:vAlign w:val="bottom"/>
          </w:tcPr>
          <w:p>
            <w:pPr>
              <w:spacing w:after="0"/>
              <w:rPr>
                <w:sz w:val="24"/>
                <w:szCs w:val="24"/>
                <w:color w:val="auto"/>
              </w:rPr>
            </w:pPr>
          </w:p>
        </w:tc>
        <w:tc>
          <w:tcPr>
            <w:tcW w:w="826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89"/>
              </w:rPr>
              <w:t>Registrant’s telephone number, including area code: (949) 753-6800</w:t>
            </w:r>
          </w:p>
        </w:tc>
      </w:tr>
      <w:tr>
        <w:trPr>
          <w:trHeight w:val="432"/>
        </w:trPr>
        <w:tc>
          <w:tcPr>
            <w:tcW w:w="2980" w:type="dxa"/>
            <w:vAlign w:val="bottom"/>
          </w:tcPr>
          <w:p>
            <w:pPr>
              <w:spacing w:after="0"/>
              <w:rPr>
                <w:sz w:val="24"/>
                <w:szCs w:val="24"/>
                <w:color w:val="auto"/>
              </w:rPr>
            </w:pPr>
          </w:p>
        </w:tc>
        <w:tc>
          <w:tcPr>
            <w:tcW w:w="826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64"/>
        </w:trPr>
        <w:tc>
          <w:tcPr>
            <w:tcW w:w="29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0"/>
              </w:rPr>
              <w:t>Title of each class</w:t>
            </w:r>
          </w:p>
        </w:tc>
        <w:tc>
          <w:tcPr>
            <w:tcW w:w="3740" w:type="dxa"/>
            <w:vAlign w:val="bottom"/>
            <w:tcBorders>
              <w:bottom w:val="single" w:sz="8" w:color="auto"/>
            </w:tcBorders>
          </w:tcPr>
          <w:p>
            <w:pPr>
              <w:jc w:val="center"/>
              <w:ind w:left="1470"/>
              <w:spacing w:after="0"/>
              <w:rPr>
                <w:sz w:val="20"/>
                <w:szCs w:val="20"/>
                <w:color w:val="auto"/>
              </w:rPr>
            </w:pPr>
            <w:r>
              <w:rPr>
                <w:rFonts w:ascii="Arial" w:cs="Arial" w:eastAsia="Arial" w:hAnsi="Arial"/>
                <w:sz w:val="18"/>
                <w:szCs w:val="18"/>
                <w:color w:val="auto"/>
                <w:w w:val="91"/>
              </w:rPr>
              <w:t>Trading Symbol(s)</w:t>
            </w:r>
          </w:p>
        </w:tc>
        <w:tc>
          <w:tcPr>
            <w:tcW w:w="9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Name of each exchange on which registered</w:t>
            </w:r>
          </w:p>
        </w:tc>
      </w:tr>
      <w:tr>
        <w:trPr>
          <w:trHeight w:val="224"/>
        </w:trPr>
        <w:tc>
          <w:tcPr>
            <w:tcW w:w="2980" w:type="dxa"/>
            <w:vAlign w:val="bottom"/>
          </w:tcPr>
          <w:p>
            <w:pPr>
              <w:jc w:val="center"/>
              <w:ind w:left="670"/>
              <w:spacing w:after="0"/>
              <w:rPr>
                <w:sz w:val="20"/>
                <w:szCs w:val="20"/>
                <w:color w:val="auto"/>
              </w:rPr>
            </w:pPr>
            <w:r>
              <w:rPr>
                <w:rFonts w:ascii="Arial" w:cs="Arial" w:eastAsia="Arial" w:hAnsi="Arial"/>
                <w:sz w:val="18"/>
                <w:szCs w:val="18"/>
                <w:color w:val="auto"/>
                <w:w w:val="90"/>
              </w:rPr>
              <w:t>Common Stock, no par value</w:t>
            </w:r>
          </w:p>
        </w:tc>
        <w:tc>
          <w:tcPr>
            <w:tcW w:w="3740" w:type="dxa"/>
            <w:vAlign w:val="bottom"/>
          </w:tcPr>
          <w:p>
            <w:pPr>
              <w:jc w:val="center"/>
              <w:ind w:left="1470"/>
              <w:spacing w:after="0"/>
              <w:rPr>
                <w:sz w:val="20"/>
                <w:szCs w:val="20"/>
                <w:color w:val="auto"/>
              </w:rPr>
            </w:pPr>
            <w:r>
              <w:rPr>
                <w:rFonts w:ascii="Arial" w:cs="Arial" w:eastAsia="Arial" w:hAnsi="Arial"/>
                <w:sz w:val="18"/>
                <w:szCs w:val="18"/>
                <w:color w:val="auto"/>
                <w:w w:val="85"/>
              </w:rPr>
              <w:t>CPSS</w:t>
            </w:r>
          </w:p>
        </w:tc>
        <w:tc>
          <w:tcPr>
            <w:tcW w:w="90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w w:val="95"/>
              </w:rPr>
              <w:t>The Nasdaq Stock Market LLC (Global Market)</w:t>
            </w:r>
          </w:p>
        </w:tc>
      </w:tr>
      <w:tr>
        <w:trPr>
          <w:trHeight w:val="350"/>
        </w:trPr>
        <w:tc>
          <w:tcPr>
            <w:tcW w:w="2980" w:type="dxa"/>
            <w:vAlign w:val="bottom"/>
          </w:tcPr>
          <w:p>
            <w:pPr>
              <w:spacing w:after="0"/>
              <w:rPr>
                <w:sz w:val="24"/>
                <w:szCs w:val="24"/>
                <w:color w:val="auto"/>
              </w:rPr>
            </w:pPr>
          </w:p>
        </w:tc>
        <w:tc>
          <w:tcPr>
            <w:tcW w:w="826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385"/>
        </w:trPr>
        <w:tc>
          <w:tcPr>
            <w:tcW w:w="11240" w:type="dxa"/>
            <w:vAlign w:val="bottom"/>
            <w:gridSpan w:val="4"/>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83"/>
        </w:trPr>
        <w:tc>
          <w:tcPr>
            <w:tcW w:w="2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00" w:type="dxa"/>
            <w:vAlign w:val="bottom"/>
          </w:tcPr>
          <w:p>
            <w:pPr>
              <w:ind w:left="42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36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65"/>
        </w:trPr>
        <w:tc>
          <w:tcPr>
            <w:tcW w:w="11240" w:type="dxa"/>
            <w:vAlign w:val="bottom"/>
            <w:gridSpan w:val="4"/>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p>
        </w:tc>
      </w:tr>
      <w:tr>
        <w:trPr>
          <w:trHeight w:val="283"/>
        </w:trPr>
        <w:tc>
          <w:tcPr>
            <w:tcW w:w="2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00" w:type="dxa"/>
            <w:vAlign w:val="bottom"/>
          </w:tcPr>
          <w:p>
            <w:pPr>
              <w:ind w:left="42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36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2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w:t>
      </w:r>
    </w:p>
    <w:p>
      <w:pPr>
        <w:ind w:left="7140"/>
        <w:spacing w:after="0" w:line="207" w:lineRule="exact"/>
        <w:tabs>
          <w:tab w:leader="none" w:pos="77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7140"/>
        <w:spacing w:after="0" w:line="207" w:lineRule="exact"/>
        <w:tabs>
          <w:tab w:leader="none" w:pos="77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rFonts w:ascii="MS PGothic" w:cs="MS PGothic" w:eastAsia="MS PGothic" w:hAnsi="MS PGothic"/>
          <w:sz w:val="16"/>
          <w:szCs w:val="16"/>
          <w:color w:val="auto"/>
        </w:rPr>
        <w:t>☐</w:t>
      </w:r>
    </w:p>
    <w:p>
      <w:pPr>
        <w:spacing w:after="0" w:line="216"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364" w:right="339" w:bottom="619" w:gutter="0" w:footer="0" w:header="0"/>
        </w:sectPr>
      </w:pPr>
    </w:p>
    <w:p>
      <w:pPr>
        <w:spacing w:after="0" w:line="6"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3"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920" w:space="720"/>
            <w:col w:w="3600"/>
          </w:cols>
          <w:pgMar w:left="320" w:top="364" w:right="339" w:bottom="619"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w:t>
      </w:r>
      <w:r>
        <w:rPr>
          <w:rFonts w:ascii="MS PGothic" w:cs="MS PGothic" w:eastAsia="MS PGothic" w:hAnsi="MS PGothic"/>
          <w:sz w:val="16"/>
          <w:szCs w:val="16"/>
          <w:color w:val="auto"/>
        </w:rPr>
        <w:t>☒</w:t>
      </w:r>
    </w:p>
    <w:p>
      <w:pPr>
        <w:spacing w:after="0" w:line="269"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The aggregate market value of the 16,289,020 shares of the registrant’s common stock held by non-affiliates as of the date of filing of this report, based upon the closing price of the registrant’s common stock of $2.83 per share reported by Nasdaq as of June 30, 2020, was approximately $46,097,927.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3, 2021 was 22,763,433.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2020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64" w:right="339" w:bottom="61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74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TABLE OF CONTENTS</w:t>
            </w:r>
          </w:p>
        </w:tc>
        <w:tc>
          <w:tcPr>
            <w:tcW w:w="1440" w:type="dxa"/>
            <w:vAlign w:val="bottom"/>
          </w:tcPr>
          <w:p>
            <w:pPr>
              <w:spacing w:after="0"/>
              <w:rPr>
                <w:sz w:val="20"/>
                <w:szCs w:val="20"/>
                <w:color w:val="auto"/>
              </w:rPr>
            </w:pPr>
          </w:p>
        </w:tc>
      </w:tr>
      <w:tr>
        <w:trPr>
          <w:trHeight w:val="540"/>
        </w:trPr>
        <w:tc>
          <w:tcPr>
            <w:tcW w:w="900" w:type="dxa"/>
            <w:vAlign w:val="bottom"/>
          </w:tcPr>
          <w:p>
            <w:pPr>
              <w:spacing w:after="0"/>
              <w:rPr>
                <w:sz w:val="24"/>
                <w:szCs w:val="24"/>
                <w:color w:val="auto"/>
              </w:rPr>
            </w:pPr>
          </w:p>
        </w:tc>
        <w:tc>
          <w:tcPr>
            <w:tcW w:w="8740" w:type="dxa"/>
            <w:vAlign w:val="bottom"/>
          </w:tcPr>
          <w:p>
            <w:pPr>
              <w:jc w:val="center"/>
              <w:ind w:left="63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1440" w:type="dxa"/>
            <w:vAlign w:val="bottom"/>
          </w:tcPr>
          <w:p>
            <w:pPr>
              <w:spacing w:after="0"/>
              <w:rPr>
                <w:sz w:val="24"/>
                <w:szCs w:val="24"/>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99"/>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8740" w:type="dxa"/>
            <w:vAlign w:val="bottom"/>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16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8740" w:type="dxa"/>
            <w:vAlign w:val="bottom"/>
          </w:tcPr>
          <w:p>
            <w:pPr>
              <w:ind w:left="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Unresolved Staff Comments</w:t>
              </w:r>
            </w:hyperlink>
          </w:p>
        </w:tc>
        <w:tc>
          <w:tcPr>
            <w:tcW w:w="1440" w:type="dxa"/>
            <w:vAlign w:val="bottom"/>
          </w:tcPr>
          <w:p>
            <w:pPr>
              <w:ind w:left="420"/>
              <w:spacing w:after="0"/>
              <w:rPr>
                <w:sz w:val="20"/>
                <w:szCs w:val="20"/>
                <w:color w:val="auto"/>
              </w:rPr>
            </w:pPr>
            <w:r>
              <w:rPr>
                <w:rFonts w:ascii="Arial" w:cs="Arial" w:eastAsia="Arial" w:hAnsi="Arial"/>
                <w:sz w:val="18"/>
                <w:szCs w:val="18"/>
                <w:color w:val="auto"/>
                <w:w w:val="89"/>
              </w:rPr>
              <w:t>not applicable</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740" w:type="dxa"/>
            <w:vAlign w:val="bottom"/>
          </w:tcPr>
          <w:p>
            <w:pPr>
              <w:ind w:left="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Properties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30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8740" w:type="dxa"/>
            <w:vAlign w:val="bottom"/>
          </w:tcPr>
          <w:p>
            <w:pPr>
              <w:ind w:left="2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30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874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1440" w:type="dxa"/>
            <w:vAlign w:val="bottom"/>
          </w:tcPr>
          <w:p>
            <w:pPr>
              <w:ind w:left="420"/>
              <w:spacing w:after="0"/>
              <w:rPr>
                <w:sz w:val="20"/>
                <w:szCs w:val="20"/>
                <w:color w:val="auto"/>
              </w:rPr>
            </w:pPr>
            <w:r>
              <w:rPr>
                <w:rFonts w:ascii="Arial" w:cs="Arial" w:eastAsia="Arial" w:hAnsi="Arial"/>
                <w:sz w:val="18"/>
                <w:szCs w:val="18"/>
                <w:color w:val="auto"/>
                <w:w w:val="89"/>
              </w:rPr>
              <w:t>not applicable</w:t>
            </w:r>
          </w:p>
        </w:tc>
      </w:tr>
      <w:tr>
        <w:trPr>
          <w:trHeight w:val="230"/>
        </w:trPr>
        <w:tc>
          <w:tcPr>
            <w:tcW w:w="900" w:type="dxa"/>
            <w:vAlign w:val="bottom"/>
          </w:tcPr>
          <w:p>
            <w:pPr>
              <w:spacing w:after="0"/>
              <w:rPr>
                <w:sz w:val="20"/>
                <w:szCs w:val="20"/>
                <w:color w:val="auto"/>
              </w:rPr>
            </w:pPr>
          </w:p>
        </w:tc>
        <w:tc>
          <w:tcPr>
            <w:tcW w:w="8740" w:type="dxa"/>
            <w:vAlign w:val="bottom"/>
          </w:tcPr>
          <w:p>
            <w:pPr>
              <w:ind w:left="2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Officers of the Registrant</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30</w:t>
            </w:r>
          </w:p>
        </w:tc>
      </w:tr>
      <w:tr>
        <w:trPr>
          <w:trHeight w:val="324"/>
        </w:trPr>
        <w:tc>
          <w:tcPr>
            <w:tcW w:w="900" w:type="dxa"/>
            <w:vAlign w:val="bottom"/>
          </w:tcPr>
          <w:p>
            <w:pPr>
              <w:spacing w:after="0"/>
              <w:rPr>
                <w:sz w:val="24"/>
                <w:szCs w:val="24"/>
                <w:color w:val="auto"/>
              </w:rPr>
            </w:pPr>
          </w:p>
        </w:tc>
        <w:tc>
          <w:tcPr>
            <w:tcW w:w="8740" w:type="dxa"/>
            <w:vAlign w:val="bottom"/>
          </w:tcPr>
          <w:p>
            <w:pPr>
              <w:jc w:val="center"/>
              <w:ind w:left="63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w:t>
              </w:r>
            </w:hyperlink>
          </w:p>
        </w:tc>
        <w:tc>
          <w:tcPr>
            <w:tcW w:w="1440" w:type="dxa"/>
            <w:vAlign w:val="bottom"/>
          </w:tcPr>
          <w:p>
            <w:pPr>
              <w:spacing w:after="0"/>
              <w:rPr>
                <w:sz w:val="24"/>
                <w:szCs w:val="24"/>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8740" w:type="dxa"/>
            <w:vAlign w:val="bottom"/>
          </w:tcPr>
          <w:p>
            <w:pPr>
              <w:ind w:left="240"/>
              <w:spacing w:after="0"/>
              <w:rPr>
                <w:rFonts w:ascii="Arial" w:cs="Arial" w:eastAsia="Arial" w:hAnsi="Arial"/>
                <w:sz w:val="18"/>
                <w:szCs w:val="18"/>
                <w:u w:val="single" w:color="auto"/>
                <w:color w:val="0000EE"/>
                <w:w w:val="95"/>
              </w:rPr>
            </w:pPr>
            <w:hyperlink w:anchor="page34">
              <w:r>
                <w:rPr>
                  <w:rFonts w:ascii="Arial" w:cs="Arial" w:eastAsia="Arial" w:hAnsi="Arial"/>
                  <w:sz w:val="18"/>
                  <w:szCs w:val="18"/>
                  <w:u w:val="single" w:color="auto"/>
                  <w:color w:val="0000EE"/>
                  <w:w w:val="95"/>
                </w:rPr>
                <w:t>Market for Registrant’s Common Equity, Related Stockholder Matters and Issuer Purchases of Equity Securities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32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874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Selected Financial Data</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34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8740" w:type="dxa"/>
            <w:vAlign w:val="bottom"/>
          </w:tcPr>
          <w:p>
            <w:pPr>
              <w:ind w:left="2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Management’s Discussion and Analysis of Financial Condition and Results of Operations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36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8740" w:type="dxa"/>
            <w:vAlign w:val="bottom"/>
          </w:tcPr>
          <w:p>
            <w:pPr>
              <w:ind w:left="2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Quantitative and Qualitative Disclosures About Market Risk</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8740" w:type="dxa"/>
            <w:vAlign w:val="bottom"/>
          </w:tcPr>
          <w:p>
            <w:pPr>
              <w:ind w:left="2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Financial Statements and Supplementary Data</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8740" w:type="dxa"/>
            <w:vAlign w:val="bottom"/>
          </w:tcPr>
          <w:p>
            <w:pPr>
              <w:ind w:left="2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Changes in and Disagreements With Accountants on Accounting and Financial Disclosure</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8740" w:type="dxa"/>
            <w:vAlign w:val="bottom"/>
          </w:tcPr>
          <w:p>
            <w:pPr>
              <w:ind w:left="2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Controls and Procedures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58</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8740" w:type="dxa"/>
            <w:vAlign w:val="bottom"/>
          </w:tcPr>
          <w:p>
            <w:pPr>
              <w:ind w:left="2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Other Information</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58</w:t>
            </w:r>
          </w:p>
        </w:tc>
      </w:tr>
      <w:tr>
        <w:trPr>
          <w:trHeight w:val="324"/>
        </w:trPr>
        <w:tc>
          <w:tcPr>
            <w:tcW w:w="900" w:type="dxa"/>
            <w:vAlign w:val="bottom"/>
          </w:tcPr>
          <w:p>
            <w:pPr>
              <w:spacing w:after="0"/>
              <w:rPr>
                <w:sz w:val="24"/>
                <w:szCs w:val="24"/>
                <w:color w:val="auto"/>
              </w:rPr>
            </w:pPr>
          </w:p>
        </w:tc>
        <w:tc>
          <w:tcPr>
            <w:tcW w:w="8740" w:type="dxa"/>
            <w:vAlign w:val="bottom"/>
          </w:tcPr>
          <w:p>
            <w:pPr>
              <w:jc w:val="center"/>
              <w:ind w:left="610"/>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PART III</w:t>
              </w:r>
            </w:hyperlink>
          </w:p>
        </w:tc>
        <w:tc>
          <w:tcPr>
            <w:tcW w:w="1440" w:type="dxa"/>
            <w:vAlign w:val="bottom"/>
          </w:tcPr>
          <w:p>
            <w:pPr>
              <w:spacing w:after="0"/>
              <w:rPr>
                <w:sz w:val="24"/>
                <w:szCs w:val="24"/>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8740" w:type="dxa"/>
            <w:vAlign w:val="bottom"/>
          </w:tcPr>
          <w:p>
            <w:pPr>
              <w:ind w:left="2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Directors, Executive Officers and Corporate Governance</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8740" w:type="dxa"/>
            <w:vAlign w:val="bottom"/>
          </w:tcPr>
          <w:p>
            <w:pPr>
              <w:ind w:left="2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Executive Compensation</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8740" w:type="dxa"/>
            <w:vAlign w:val="bottom"/>
          </w:tcPr>
          <w:p>
            <w:pPr>
              <w:ind w:left="2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Security Ownership of Certain Beneficial Owners and Management and Related Stockholder Matters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8740" w:type="dxa"/>
            <w:vAlign w:val="bottom"/>
          </w:tcPr>
          <w:p>
            <w:pPr>
              <w:ind w:left="2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Certain Relationships and Related Transactions, and Director Independence</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59</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8740" w:type="dxa"/>
            <w:vAlign w:val="bottom"/>
          </w:tcPr>
          <w:p>
            <w:pPr>
              <w:ind w:left="2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Principal Accounting Fees and Services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59</w:t>
            </w:r>
          </w:p>
        </w:tc>
      </w:tr>
      <w:tr>
        <w:trPr>
          <w:trHeight w:val="324"/>
        </w:trPr>
        <w:tc>
          <w:tcPr>
            <w:tcW w:w="900" w:type="dxa"/>
            <w:vAlign w:val="bottom"/>
          </w:tcPr>
          <w:p>
            <w:pPr>
              <w:spacing w:after="0"/>
              <w:rPr>
                <w:sz w:val="24"/>
                <w:szCs w:val="24"/>
                <w:color w:val="auto"/>
              </w:rPr>
            </w:pPr>
          </w:p>
        </w:tc>
        <w:tc>
          <w:tcPr>
            <w:tcW w:w="8740" w:type="dxa"/>
            <w:vAlign w:val="bottom"/>
          </w:tcPr>
          <w:p>
            <w:pPr>
              <w:jc w:val="center"/>
              <w:ind w:left="61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PART IV</w:t>
              </w:r>
            </w:hyperlink>
          </w:p>
        </w:tc>
        <w:tc>
          <w:tcPr>
            <w:tcW w:w="144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8740" w:type="dxa"/>
            <w:vAlign w:val="bottom"/>
          </w:tcPr>
          <w:p>
            <w:pPr>
              <w:ind w:left="2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Exhibits, Financial Statement Schedules</w:t>
              </w:r>
            </w:hyperlink>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89"/>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Our primary business is to purchase and service retail automobile contracts originated primarily by franchised automobile dealers and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We also offer financing directly to sub-prime consumers to facilitate their purchase of a new or used automobile, light truck, or passenger van. In this report, we refer to all such contracts and loans as "automobile contracts" and all such purchases or acquisitions as “originations” or “acquisitions”.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were incorporated and began our operations in March 1991. We consist of Consumer Portfolio Services, Inc. and subsidiaries (collectively, “we,” “us,” “CPS” or “the Company”). From inception through December 31, 2020, we have purchased a total of approximately $17.0 billion of automobile contracts from dealers. In addition, we acquired a total of approximately $822.3 million of automobile contracts in mergers and acquisitions in 2002, 2003, 2004 and 2011. Contract purchase volumes and managed portfolio levels for the five years ended December 31, 2020 are shown in the table below. Managed portfolio comprises both contracts we owned and those we were servicing for non-affiliates.</w:t>
      </w:r>
    </w:p>
    <w:p>
      <w:pPr>
        <w:spacing w:after="0" w:line="17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191"/>
        </w:trPr>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Contracts</w:t>
            </w: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00" w:type="dxa"/>
            <w:vAlign w:val="bottom"/>
          </w:tcPr>
          <w:p>
            <w:pPr>
              <w:spacing w:after="0"/>
              <w:rPr>
                <w:sz w:val="16"/>
                <w:szCs w:val="16"/>
                <w:color w:val="auto"/>
              </w:rPr>
            </w:pPr>
          </w:p>
        </w:tc>
      </w:tr>
      <w:tr>
        <w:trPr>
          <w:trHeight w:val="234"/>
        </w:trPr>
        <w:tc>
          <w:tcPr>
            <w:tcW w:w="2820" w:type="dxa"/>
            <w:vAlign w:val="bottom"/>
          </w:tcPr>
          <w:p>
            <w:pPr>
              <w:ind w:left="122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Purchased in Period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at Period End</w:t>
            </w:r>
          </w:p>
        </w:tc>
      </w:tr>
      <w:tr>
        <w:trPr>
          <w:trHeight w:val="210"/>
        </w:trPr>
        <w:tc>
          <w:tcPr>
            <w:tcW w:w="2820" w:type="dxa"/>
            <w:vAlign w:val="bottom"/>
            <w:tcBorders>
              <w:top w:val="single" w:sz="8" w:color="auto"/>
            </w:tcBorders>
            <w:shd w:val="clear" w:color="auto" w:fill="EEEEEE"/>
          </w:tcPr>
          <w:p>
            <w:pPr>
              <w:ind w:left="1220"/>
              <w:spacing w:after="0"/>
              <w:rPr>
                <w:sz w:val="20"/>
                <w:szCs w:val="20"/>
                <w:color w:val="auto"/>
              </w:rPr>
            </w:pPr>
            <w:r>
              <w:rPr>
                <w:rFonts w:ascii="Arial" w:cs="Arial" w:eastAsia="Arial" w:hAnsi="Arial"/>
                <w:sz w:val="18"/>
                <w:szCs w:val="18"/>
                <w:color w:val="333333"/>
              </w:rPr>
              <w:t>2016</w:t>
            </w:r>
          </w:p>
        </w:tc>
        <w:tc>
          <w:tcPr>
            <w:tcW w:w="2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2,308,070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820" w:type="dxa"/>
            <w:vAlign w:val="bottom"/>
          </w:tcPr>
          <w:p>
            <w:pPr>
              <w:ind w:left="1220"/>
              <w:spacing w:after="0"/>
              <w:rPr>
                <w:sz w:val="20"/>
                <w:szCs w:val="20"/>
                <w:color w:val="auto"/>
              </w:rPr>
            </w:pPr>
            <w:r>
              <w:rPr>
                <w:rFonts w:ascii="Arial" w:cs="Arial" w:eastAsia="Arial" w:hAnsi="Arial"/>
                <w:sz w:val="18"/>
                <w:szCs w:val="18"/>
                <w:color w:val="333333"/>
              </w:rPr>
              <w:t>2017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859,069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2,333,530</w:t>
            </w:r>
          </w:p>
        </w:tc>
        <w:tc>
          <w:tcPr>
            <w:tcW w:w="100" w:type="dxa"/>
            <w:vAlign w:val="bottom"/>
          </w:tcPr>
          <w:p>
            <w:pPr>
              <w:spacing w:after="0"/>
              <w:rPr>
                <w:sz w:val="18"/>
                <w:szCs w:val="18"/>
                <w:color w:val="auto"/>
              </w:rPr>
            </w:pPr>
          </w:p>
        </w:tc>
      </w:tr>
      <w:tr>
        <w:trPr>
          <w:trHeight w:val="216"/>
        </w:trPr>
        <w:tc>
          <w:tcPr>
            <w:tcW w:w="2820" w:type="dxa"/>
            <w:vAlign w:val="bottom"/>
            <w:shd w:val="clear" w:color="auto" w:fill="EEEEEE"/>
          </w:tcPr>
          <w:p>
            <w:pPr>
              <w:ind w:left="1220"/>
              <w:spacing w:after="0"/>
              <w:rPr>
                <w:sz w:val="20"/>
                <w:szCs w:val="20"/>
                <w:color w:val="auto"/>
              </w:rPr>
            </w:pPr>
            <w:r>
              <w:rPr>
                <w:rFonts w:ascii="Arial" w:cs="Arial" w:eastAsia="Arial" w:hAnsi="Arial"/>
                <w:sz w:val="18"/>
                <w:szCs w:val="18"/>
                <w:color w:val="333333"/>
              </w:rPr>
              <w:t>2018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100" w:type="dxa"/>
            <w:vAlign w:val="bottom"/>
            <w:shd w:val="clear" w:color="auto" w:fill="EEEEEE"/>
          </w:tcPr>
          <w:p>
            <w:pPr>
              <w:spacing w:after="0"/>
              <w:rPr>
                <w:sz w:val="18"/>
                <w:szCs w:val="18"/>
                <w:color w:val="auto"/>
              </w:rPr>
            </w:pPr>
          </w:p>
        </w:tc>
      </w:tr>
      <w:tr>
        <w:trPr>
          <w:trHeight w:val="216"/>
        </w:trPr>
        <w:tc>
          <w:tcPr>
            <w:tcW w:w="2820" w:type="dxa"/>
            <w:vAlign w:val="bottom"/>
          </w:tcPr>
          <w:p>
            <w:pPr>
              <w:ind w:left="1220"/>
              <w:spacing w:after="0"/>
              <w:rPr>
                <w:sz w:val="20"/>
                <w:szCs w:val="20"/>
                <w:color w:val="auto"/>
              </w:rPr>
            </w:pPr>
            <w:r>
              <w:rPr>
                <w:rFonts w:ascii="Arial" w:cs="Arial" w:eastAsia="Arial" w:hAnsi="Arial"/>
                <w:sz w:val="18"/>
                <w:szCs w:val="18"/>
                <w:color w:val="333333"/>
              </w:rPr>
              <w:t>2019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1,002,782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2,416,042</w:t>
            </w:r>
          </w:p>
        </w:tc>
        <w:tc>
          <w:tcPr>
            <w:tcW w:w="100" w:type="dxa"/>
            <w:vAlign w:val="bottom"/>
          </w:tcPr>
          <w:p>
            <w:pPr>
              <w:spacing w:after="0"/>
              <w:rPr>
                <w:sz w:val="18"/>
                <w:szCs w:val="18"/>
                <w:color w:val="auto"/>
              </w:rPr>
            </w:pPr>
          </w:p>
        </w:tc>
      </w:tr>
      <w:tr>
        <w:trPr>
          <w:trHeight w:val="216"/>
        </w:trPr>
        <w:tc>
          <w:tcPr>
            <w:tcW w:w="2820" w:type="dxa"/>
            <w:vAlign w:val="bottom"/>
            <w:shd w:val="clear" w:color="auto" w:fill="EEEEEE"/>
          </w:tcPr>
          <w:p>
            <w:pPr>
              <w:ind w:left="1220"/>
              <w:spacing w:after="0"/>
              <w:rPr>
                <w:sz w:val="20"/>
                <w:szCs w:val="20"/>
                <w:color w:val="auto"/>
              </w:rPr>
            </w:pPr>
            <w:r>
              <w:rPr>
                <w:rFonts w:ascii="Arial" w:cs="Arial" w:eastAsia="Arial" w:hAnsi="Arial"/>
                <w:sz w:val="18"/>
                <w:szCs w:val="18"/>
                <w:color w:val="333333"/>
              </w:rPr>
              <w:t>2020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742,584</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2,174,972</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Most of our contract acquisitions volume results from our purchases of retail installment sales contracts from franchised or independent automobile dealers. We establish relationships with dealers through our employee sales representatives, who contact prospective dealers to explain our automobile contract purchase programs, and thereafter provide dealer training and support services. Our sales representatives represent us exclusively. They may work from our Irvine branch, our Las Vegas branch, or in the field, in which case they work from their homes and support dealers in their geographic area. Our sales representatives present dealers with a sales package, which includes our promotional material containing the terms offered by us for the purchase of automobile contracts, a copy of our standard-form dealer agreement, and required documentation relating to automobile contracts. As of December 31, 2020, we had 59 sales representatives, and in that month, we received applications from 6,937 dealers in 46 states. As of December 31, 2020, approximately 77% of our active dealers were franchised new car dealers that sell both new and used vehicles, and the remainder were independent used car dealers.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both"/>
        <w:ind w:firstLine="648"/>
        <w:spacing w:after="0" w:line="254" w:lineRule="auto"/>
        <w:rPr>
          <w:sz w:val="20"/>
          <w:szCs w:val="20"/>
          <w:color w:val="auto"/>
        </w:rPr>
      </w:pPr>
      <w:r>
        <w:rPr>
          <w:rFonts w:ascii="Arial" w:cs="Arial" w:eastAsia="Arial" w:hAnsi="Arial"/>
          <w:sz w:val="18"/>
          <w:szCs w:val="18"/>
          <w:color w:val="auto"/>
        </w:rPr>
        <w:t>We also solicit credit applications directly from prospective automobile consumers through the internet under a program we refer to as our direct lending platform. For qualified applicants we offer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 into a note and security agreement directly with the consumer. During the year ended December 31, 2020 automobile contracts originated under the direct lending platform represented 2.8% of our total acquisitions and represented 2.4% of our outstanding managed portfolio as of December 31, 2020. Regardless of whether an automobile contract is originated from one of our dealers or through our direct lending platform, the discussion that follows regarding our acquisitions guidelines, procedures and demographic statistics applies to all of our originated contracts.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2020 and 2019, approximately 76% of the automobile contracts originated under our programs consisted of financing for used cars and 24% consisted of financing for new cars.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87 term securitizations of approximately $14.9 billion in automobile contracts. We depend upon the availability of short-term warehouse credit facilities as interim financing for our contract purchases prior to the time we pool those contracts for a securitization. As of December 31, 2020, we had three such short-term warehouse facilities, each with a maximum borrowing amount of $100 million. In February 2021, we repaid in full one of the facilities at maturity, leaving us with two facilities of $100 million each thereafter.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 In March 2020 at the outset of the pandemic we complied with government mandated shutdown orders in the five locations we operate by arranging for many of our staff to work from home and invoking various safety protocols for workers who remained in our offices. In April 2020, we laid off approximately 100 workers, or about 10% of our workforce, throughout our offices because of significant reductions in new contract originations. As of December 31, 2020, most of our staff who work in the Irvine location were working from home, while most of our staff from our other locations were working from our offices. Other effects of the pandemic on our operations are referred to throughout this report.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Contract Acquisitions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For the year ended December 31, 2020, we received 1.6 million applications. Approximately 68% of all applications came through DealerTrack (the industry leading dealership application aggregator), 29% via another aggregator, Route One and 3% via our website. A portion of the DealerTrack and Route One volume are applications from our pass-through arrangements with other lenders who send us applications from their dealers in cases where those lenders choose not to approve those applications. For the year ended December 31, 2020, such pass-through applications represented 15% of our total applications. For the year ended December 31, 2020, our automated application decisioning system produced our initial decision within seconds on approximately 99% of those applications.</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Upon receipt an application, if the application meets certain minimum criteria, we immediately order two credit reports to document the buyer's credit history and an alternative data credit score provided by a major credit reporting bureau. If, upon review by our proprietary automated decisioning system, or in some cases, one of our credit analysts, we determine that the applicant and structure of the automobile financing contract meets our criteria, we advise the dealer of our decision to approve the contract and the terms under which we will purchase it. In some cases where we don’t grant an approval, we may discuss with the dealer alternatives from the terms proposed or request and review further information from the dealer.</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2020, no dealer accounted for as much as 1% of the total number of automobile contracts we purchased.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our direct lending platform, the applicant submits a credit application directly to us via our website, or in some cases, through a third-party who accepts such applications and refers them to us for a fee. In either case, we process the application with the same automated application decisioning process as described above for applications from dealers. We then advise the applicant as to whether we would grant them credit and on what terms.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geographical sources of the automobile contracts we originated (based on the addresses of the customers as stated on our records) during the years ended December 31, 2020 and 2019.</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2"/>
              </w:rPr>
              <w:t>Contracts Purchased During the Year Ended</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33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December 31, 2020</w:t>
            </w:r>
          </w:p>
        </w:tc>
        <w:tc>
          <w:tcPr>
            <w:tcW w:w="30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4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Number</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340" w:type="dxa"/>
            <w:vAlign w:val="bottom"/>
          </w:tcPr>
          <w:p>
            <w:pPr>
              <w:spacing w:after="0"/>
              <w:rPr>
                <w:sz w:val="19"/>
                <w:szCs w:val="19"/>
                <w:color w:val="auto"/>
              </w:rPr>
            </w:pPr>
          </w:p>
        </w:tc>
        <w:tc>
          <w:tcPr>
            <w:tcW w:w="168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333333"/>
              </w:rPr>
              <w:t>California</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5,370</w:t>
            </w:r>
          </w:p>
        </w:tc>
        <w:tc>
          <w:tcPr>
            <w:tcW w:w="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7,056</w:t>
            </w:r>
          </w:p>
        </w:tc>
        <w:tc>
          <w:tcPr>
            <w:tcW w:w="3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333333"/>
              </w:rPr>
              <w:t>Ohio</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4,425</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11.1%</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6,067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333333"/>
              </w:rPr>
              <w:t>Indiana</w:t>
            </w: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2,149</w:t>
            </w:r>
          </w:p>
        </w:tc>
        <w:tc>
          <w:tcPr>
            <w:tcW w:w="19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5.4%</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3,524</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333333"/>
              </w:rPr>
              <w:t>North Carolina</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2,121</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5.3%</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333333"/>
              </w:rPr>
              <w:t>Texas</w:t>
            </w: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2,033</w:t>
            </w:r>
          </w:p>
        </w:tc>
        <w:tc>
          <w:tcPr>
            <w:tcW w:w="19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5.1%</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2,371</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333333"/>
              </w:rPr>
              <w:t>Florida</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1,784</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2,739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333333"/>
              </w:rPr>
              <w:t>Kentucky</w:t>
            </w: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1,481</w:t>
            </w:r>
          </w:p>
        </w:tc>
        <w:tc>
          <w:tcPr>
            <w:tcW w:w="19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3.7%</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2,612</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333333"/>
              </w:rPr>
              <w:t>Other States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20,524</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51.5%</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28,534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3600" w:type="dxa"/>
            <w:vAlign w:val="bottom"/>
            <w:tcBorders>
              <w:top w:val="single" w:sz="8" w:color="EEEEEE"/>
              <w:bottom w:val="single" w:sz="8" w:color="EEEEEE"/>
            </w:tcBorders>
            <w:shd w:val="clear" w:color="auto" w:fill="EEEEEE"/>
          </w:tcPr>
          <w:p>
            <w:pPr>
              <w:ind w:left="1520"/>
              <w:spacing w:after="0"/>
              <w:rPr>
                <w:sz w:val="20"/>
                <w:szCs w:val="20"/>
                <w:color w:val="auto"/>
              </w:rPr>
            </w:pPr>
            <w:r>
              <w:rPr>
                <w:rFonts w:ascii="Arial" w:cs="Arial" w:eastAsia="Arial" w:hAnsi="Arial"/>
                <w:sz w:val="18"/>
                <w:szCs w:val="18"/>
                <w:color w:val="333333"/>
              </w:rPr>
              <w:t>Total</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333333"/>
              </w:rPr>
              <w:t>39,887</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333333"/>
              </w:rPr>
              <w:t>55,919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333333"/>
              </w:rPr>
              <w:t>____________________</w:t>
            </w: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Arial" w:cs="Arial" w:eastAsia="Arial" w:hAnsi="Arial"/>
          <w:sz w:val="18"/>
          <w:szCs w:val="18"/>
          <w:i w:val="1"/>
          <w:iCs w:val="1"/>
          <w:color w:val="333333"/>
        </w:rPr>
        <w:t>(1)  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7"/>
          <w:szCs w:val="17"/>
          <w:color w:val="auto"/>
        </w:rPr>
        <w:t>The following table sets forth the geographic concentrations of our outstanding managed portfolio as of December 31, 2020 and 2019.</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0"/>
              </w:rPr>
              <w:t>Outstanding Managed Portfolio as of</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Pr>
          <w:p>
            <w:pPr>
              <w:spacing w:after="0"/>
              <w:rPr>
                <w:sz w:val="19"/>
                <w:szCs w:val="19"/>
                <w:color w:val="auto"/>
              </w:rPr>
            </w:pPr>
          </w:p>
        </w:tc>
        <w:tc>
          <w:tcPr>
            <w:tcW w:w="28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3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r>
      <w:tr>
        <w:trPr>
          <w:trHeight w:val="210"/>
        </w:trPr>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 in millions)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20" w:type="dxa"/>
            <w:vAlign w:val="bottom"/>
            <w:shd w:val="clear" w:color="auto" w:fill="EEEEEE"/>
          </w:tcPr>
          <w:p>
            <w:pPr>
              <w:jc w:val="center"/>
              <w:ind w:left="390"/>
              <w:spacing w:after="0"/>
              <w:rPr>
                <w:sz w:val="20"/>
                <w:szCs w:val="20"/>
                <w:color w:val="auto"/>
              </w:rPr>
            </w:pPr>
            <w:r>
              <w:rPr>
                <w:rFonts w:ascii="Arial" w:cs="Arial" w:eastAsia="Arial" w:hAnsi="Arial"/>
                <w:sz w:val="18"/>
                <w:szCs w:val="18"/>
                <w:color w:val="auto"/>
                <w:w w:val="94"/>
              </w:rPr>
              <w:t>California</w:t>
            </w:r>
          </w:p>
        </w:tc>
        <w:tc>
          <w:tcPr>
            <w:tcW w:w="90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251.5</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250.2</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10.4%</w:t>
            </w:r>
          </w:p>
        </w:tc>
      </w:tr>
      <w:tr>
        <w:trPr>
          <w:trHeight w:val="216"/>
        </w:trPr>
        <w:tc>
          <w:tcPr>
            <w:tcW w:w="2920" w:type="dxa"/>
            <w:vAlign w:val="bottom"/>
          </w:tcPr>
          <w:p>
            <w:pPr>
              <w:jc w:val="center"/>
              <w:ind w:left="390"/>
              <w:spacing w:after="0"/>
              <w:rPr>
                <w:sz w:val="20"/>
                <w:szCs w:val="20"/>
                <w:color w:val="auto"/>
              </w:rPr>
            </w:pPr>
            <w:r>
              <w:rPr>
                <w:rFonts w:ascii="Arial" w:cs="Arial" w:eastAsia="Arial" w:hAnsi="Arial"/>
                <w:sz w:val="18"/>
                <w:szCs w:val="18"/>
                <w:color w:val="auto"/>
                <w:w w:val="94"/>
              </w:rPr>
              <w:t>Ohio</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199.9</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203.0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r>
      <w:tr>
        <w:trPr>
          <w:trHeight w:val="216"/>
        </w:trPr>
        <w:tc>
          <w:tcPr>
            <w:tcW w:w="292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5"/>
              </w:rPr>
              <w:t>Texas</w:t>
            </w: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126.3</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144.6</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2920" w:type="dxa"/>
            <w:vAlign w:val="bottom"/>
          </w:tcPr>
          <w:p>
            <w:pPr>
              <w:jc w:val="center"/>
              <w:ind w:left="390"/>
              <w:spacing w:after="0"/>
              <w:rPr>
                <w:sz w:val="20"/>
                <w:szCs w:val="20"/>
                <w:color w:val="auto"/>
              </w:rPr>
            </w:pPr>
            <w:r>
              <w:rPr>
                <w:rFonts w:ascii="Arial" w:cs="Arial" w:eastAsia="Arial" w:hAnsi="Arial"/>
                <w:sz w:val="18"/>
                <w:szCs w:val="18"/>
                <w:color w:val="auto"/>
                <w:w w:val="93"/>
              </w:rPr>
              <w:t>North Carolina</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125.9</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139.9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2920" w:type="dxa"/>
            <w:vAlign w:val="bottom"/>
            <w:shd w:val="clear" w:color="auto" w:fill="EEEEEE"/>
          </w:tcPr>
          <w:p>
            <w:pPr>
              <w:jc w:val="center"/>
              <w:ind w:left="390"/>
              <w:spacing w:after="0"/>
              <w:rPr>
                <w:sz w:val="20"/>
                <w:szCs w:val="20"/>
                <w:color w:val="auto"/>
              </w:rPr>
            </w:pPr>
            <w:r>
              <w:rPr>
                <w:rFonts w:ascii="Arial" w:cs="Arial" w:eastAsia="Arial" w:hAnsi="Arial"/>
                <w:sz w:val="18"/>
                <w:szCs w:val="18"/>
                <w:color w:val="auto"/>
                <w:w w:val="94"/>
              </w:rPr>
              <w:t>Florida</w:t>
            </w: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112.3</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133.9</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5.5%</w:t>
            </w:r>
          </w:p>
        </w:tc>
      </w:tr>
      <w:tr>
        <w:trPr>
          <w:trHeight w:val="229"/>
        </w:trPr>
        <w:tc>
          <w:tcPr>
            <w:tcW w:w="2920" w:type="dxa"/>
            <w:vAlign w:val="bottom"/>
          </w:tcPr>
          <w:p>
            <w:pPr>
              <w:jc w:val="center"/>
              <w:ind w:left="390"/>
              <w:spacing w:after="0"/>
              <w:rPr>
                <w:sz w:val="20"/>
                <w:szCs w:val="20"/>
                <w:color w:val="auto"/>
              </w:rPr>
            </w:pPr>
            <w:r>
              <w:rPr>
                <w:rFonts w:ascii="Arial" w:cs="Arial" w:eastAsia="Arial" w:hAnsi="Arial"/>
                <w:sz w:val="18"/>
                <w:szCs w:val="18"/>
                <w:color w:val="auto"/>
                <w:w w:val="95"/>
              </w:rPr>
              <w:t>All others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1,359.1</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1,544.4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r>
      <w:tr>
        <w:trPr>
          <w:trHeight w:val="223"/>
        </w:trPr>
        <w:tc>
          <w:tcPr>
            <w:tcW w:w="2920" w:type="dxa"/>
            <w:vAlign w:val="bottom"/>
            <w:tcBorders>
              <w:top w:val="single" w:sz="8" w:color="EEEEEE"/>
              <w:bottom w:val="single" w:sz="8" w:color="EEEEEE"/>
            </w:tcBorders>
            <w:shd w:val="clear" w:color="auto" w:fill="EEEEEE"/>
          </w:tcPr>
          <w:p>
            <w:pPr>
              <w:jc w:val="center"/>
              <w:ind w:left="390"/>
              <w:spacing w:after="0"/>
              <w:rPr>
                <w:sz w:val="20"/>
                <w:szCs w:val="20"/>
                <w:color w:val="auto"/>
              </w:rPr>
            </w:pPr>
            <w:r>
              <w:rPr>
                <w:rFonts w:ascii="Arial" w:cs="Arial" w:eastAsia="Arial" w:hAnsi="Arial"/>
                <w:sz w:val="18"/>
                <w:szCs w:val="18"/>
                <w:color w:val="auto"/>
                <w:w w:val="89"/>
              </w:rPr>
              <w:t>Total</w:t>
            </w:r>
          </w:p>
        </w:tc>
        <w:tc>
          <w:tcPr>
            <w:tcW w:w="6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2,175.0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2,416.0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62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purchase automobile contracts from dealers at a price generally computed as the total amount financed under the automobile contracts, adjusted for an acquisition fee, which may be comprised of multiple components and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92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EEEEEE"/>
            </w:tcBorders>
          </w:tcPr>
          <w:p>
            <w:pPr>
              <w:spacing w:after="0"/>
              <w:rPr>
                <w:sz w:val="20"/>
                <w:szCs w:val="20"/>
                <w:color w:val="auto"/>
              </w:rPr>
            </w:pPr>
          </w:p>
        </w:tc>
      </w:tr>
      <w:tr>
        <w:trPr>
          <w:trHeight w:val="182"/>
        </w:trPr>
        <w:tc>
          <w:tcPr>
            <w:tcW w:w="3920" w:type="dxa"/>
            <w:vAlign w:val="bottom"/>
            <w:shd w:val="clear" w:color="auto" w:fill="EEEEEE"/>
          </w:tcPr>
          <w:p>
            <w:pPr>
              <w:spacing w:after="0" w:line="182" w:lineRule="exact"/>
              <w:rPr>
                <w:sz w:val="20"/>
                <w:szCs w:val="20"/>
                <w:color w:val="auto"/>
              </w:rPr>
            </w:pPr>
            <w:r>
              <w:rPr>
                <w:rFonts w:ascii="Arial" w:cs="Arial" w:eastAsia="Arial" w:hAnsi="Arial"/>
                <w:sz w:val="18"/>
                <w:szCs w:val="18"/>
                <w:color w:val="auto"/>
                <w:w w:val="92"/>
              </w:rPr>
              <w:t>Average net acquisition fee charged (paid) to dealers</w:t>
            </w:r>
          </w:p>
        </w:tc>
        <w:tc>
          <w:tcPr>
            <w:tcW w:w="1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r>
      <w:tr>
        <w:trPr>
          <w:trHeight w:val="230"/>
        </w:trPr>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(238)</w:t>
            </w: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(34)</w:t>
            </w:r>
          </w:p>
        </w:tc>
        <w:tc>
          <w:tcPr>
            <w:tcW w:w="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EEEEEE"/>
          </w:tcPr>
          <w:p>
            <w:pPr>
              <w:spacing w:after="0"/>
              <w:rPr>
                <w:sz w:val="20"/>
                <w:szCs w:val="20"/>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w w:val="92"/>
              </w:rPr>
              <w:t>Average net acquisition fee as % of amount financed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r>
      <w:tr>
        <w:trPr>
          <w:trHeight w:val="216"/>
        </w:trPr>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w w:val="97"/>
              </w:rPr>
              <w:t>Weighted average annual percentage interest rate</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EEEEEE"/>
          </w:tcPr>
          <w:p>
            <w:pPr>
              <w:spacing w:after="0"/>
              <w:rPr>
                <w:sz w:val="18"/>
                <w:szCs w:val="18"/>
                <w:color w:val="auto"/>
              </w:rPr>
            </w:pPr>
          </w:p>
        </w:tc>
      </w:tr>
    </w:tbl>
    <w:p>
      <w:pPr>
        <w:spacing w:after="0" w:line="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______________________</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(1)  Not applicable to direct lending platform</w:t>
      </w:r>
    </w:p>
    <w:p>
      <w:pPr>
        <w:spacing w:after="0" w:line="2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pricing strategy is driven by our objectives for new contract purchase quantities and yield. We believe that levels of acquisition fees are determined primarily by competition in the marketplace, which has been robust over the periods presented, and by our pricing strategy. The competitive environment in 2017 and 2018 resulted in generally higher fees paid to dealers in conjunction with our contract acquisitions, compared to the years 2016 and earlier when dealers were generally paying us fees. In the fourth quarter of 2018, we recalibrated our risk-based scoring and pricing model. This recalibration, and trends in the competitive environment since then, have resulted in generally higher contract interest rates and lower fees paid to dealers since that time. Paying fees to dealers increases our capital requirements for acquiring contracts.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offered eight different financing programs, and price each program according to the relative credit risk. Our programs cover a wide band of the sub-prime credit spectrum and are labeled as follows:</w:t>
      </w:r>
    </w:p>
    <w:p>
      <w:pPr>
        <w:spacing w:after="0" w:line="170" w:lineRule="exact"/>
        <w:rPr>
          <w:sz w:val="20"/>
          <w:szCs w:val="20"/>
          <w:color w:val="auto"/>
        </w:rPr>
      </w:pPr>
    </w:p>
    <w:p>
      <w:pPr>
        <w:jc w:val="both"/>
        <w:ind w:left="140" w:firstLine="648"/>
        <w:spacing w:after="0" w:line="286" w:lineRule="auto"/>
        <w:rPr>
          <w:sz w:val="20"/>
          <w:szCs w:val="20"/>
          <w:color w:val="auto"/>
        </w:rPr>
      </w:pPr>
      <w:r>
        <w:rPr>
          <w:rFonts w:ascii="Arial" w:cs="Arial" w:eastAsia="Arial" w:hAnsi="Arial"/>
          <w:sz w:val="17"/>
          <w:szCs w:val="17"/>
          <w:u w:val="single" w:color="auto"/>
          <w:color w:val="auto"/>
        </w:rPr>
        <w:t>First Time Buyer</w:t>
      </w:r>
      <w:r>
        <w:rPr>
          <w:rFonts w:ascii="Arial" w:cs="Arial" w:eastAsia="Arial" w:hAnsi="Arial"/>
          <w:sz w:val="17"/>
          <w:szCs w:val="17"/>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both"/>
        <w:ind w:left="140" w:firstLine="648"/>
        <w:spacing w:after="0" w:line="263" w:lineRule="auto"/>
        <w:rPr>
          <w:sz w:val="20"/>
          <w:szCs w:val="20"/>
          <w:color w:val="auto"/>
        </w:rPr>
      </w:pPr>
      <w:r>
        <w:rPr>
          <w:rFonts w:ascii="Arial" w:cs="Arial" w:eastAsia="Arial" w:hAnsi="Arial"/>
          <w:sz w:val="18"/>
          <w:szCs w:val="18"/>
          <w:u w:val="single" w:color="auto"/>
          <w:color w:val="auto"/>
        </w:rPr>
        <w:t>Mercury / Delta</w:t>
      </w:r>
      <w:r>
        <w:rPr>
          <w:rFonts w:ascii="Arial" w:cs="Arial" w:eastAsia="Arial" w:hAnsi="Arial"/>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84" w:lineRule="exact"/>
        <w:rPr>
          <w:sz w:val="20"/>
          <w:szCs w:val="20"/>
          <w:color w:val="auto"/>
        </w:rPr>
      </w:pPr>
    </w:p>
    <w:p>
      <w:pPr>
        <w:jc w:val="both"/>
        <w:ind w:left="140" w:right="20" w:firstLine="648"/>
        <w:spacing w:after="0" w:line="263"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4" w:lineRule="exact"/>
        <w:rPr>
          <w:sz w:val="20"/>
          <w:szCs w:val="20"/>
          <w:color w:val="auto"/>
        </w:rPr>
      </w:pPr>
    </w:p>
    <w:p>
      <w:pPr>
        <w:jc w:val="both"/>
        <w:ind w:left="140" w:firstLine="648"/>
        <w:spacing w:after="0" w:line="311"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9" w:lineRule="exact"/>
        <w:rPr>
          <w:sz w:val="20"/>
          <w:szCs w:val="20"/>
          <w:color w:val="auto"/>
        </w:rPr>
      </w:pPr>
    </w:p>
    <w:p>
      <w:pPr>
        <w:jc w:val="both"/>
        <w:ind w:left="140" w:firstLine="648"/>
        <w:spacing w:after="0" w:line="263"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4" w:lineRule="exact"/>
        <w:rPr>
          <w:sz w:val="20"/>
          <w:szCs w:val="20"/>
          <w:color w:val="auto"/>
        </w:rPr>
      </w:pPr>
    </w:p>
    <w:p>
      <w:pPr>
        <w:jc w:val="both"/>
        <w:ind w:left="140" w:firstLine="648"/>
        <w:spacing w:after="0" w:line="263" w:lineRule="auto"/>
        <w:rPr>
          <w:sz w:val="20"/>
          <w:szCs w:val="20"/>
          <w:color w:val="auto"/>
        </w:rPr>
      </w:pPr>
      <w:r>
        <w:rPr>
          <w:rFonts w:ascii="Arial" w:cs="Arial" w:eastAsia="Arial" w:hAnsi="Arial"/>
          <w:sz w:val="18"/>
          <w:szCs w:val="18"/>
          <w:u w:val="single" w:color="auto"/>
          <w:color w:val="auto"/>
        </w:rPr>
        <w:t>Super Alpha</w:t>
      </w:r>
      <w:r>
        <w:rPr>
          <w:rFonts w:ascii="Arial" w:cs="Arial" w:eastAsia="Arial" w:hAnsi="Arial"/>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84" w:lineRule="exact"/>
        <w:rPr>
          <w:sz w:val="20"/>
          <w:szCs w:val="20"/>
          <w:color w:val="auto"/>
        </w:rPr>
      </w:pPr>
    </w:p>
    <w:p>
      <w:pPr>
        <w:jc w:val="both"/>
        <w:ind w:left="140" w:firstLine="648"/>
        <w:spacing w:after="0" w:line="263"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75% of our new contract acquisitions in 2020, 76% in 2019, and 79% in 2018, measured by aggregate amount financed.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originated automobile contracts during the years ended December 31, 2020 and 2019.</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Contracts Purchased During the Year Ended (1)</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Amount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Amount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240"/>
              <w:spacing w:after="0"/>
              <w:rPr>
                <w:sz w:val="20"/>
                <w:szCs w:val="20"/>
                <w:color w:val="auto"/>
              </w:rPr>
            </w:pPr>
            <w:r>
              <w:rPr>
                <w:rFonts w:ascii="Arial" w:cs="Arial" w:eastAsia="Arial" w:hAnsi="Arial"/>
                <w:sz w:val="18"/>
                <w:szCs w:val="18"/>
                <w:b w:val="1"/>
                <w:bCs w:val="1"/>
                <w:color w:val="auto"/>
              </w:rPr>
              <w:t>Program</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Financed</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Percent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Financed</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 (1)</w:t>
            </w: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Preferred</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59,891</w:t>
            </w:r>
          </w:p>
        </w:tc>
        <w:tc>
          <w:tcPr>
            <w:tcW w:w="3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82,722</w:t>
            </w:r>
          </w:p>
        </w:tc>
        <w:tc>
          <w:tcPr>
            <w:tcW w:w="3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Super Alpha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96,764</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125,113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165,374</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221,125</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Alpha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237,379</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337,814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109,061</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149,531</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Mercury / Delta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46,948</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58,119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First Time Buyer</w:t>
            </w:r>
          </w:p>
        </w:tc>
        <w:tc>
          <w:tcPr>
            <w:tcW w:w="2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27,167</w:t>
            </w:r>
          </w:p>
        </w:tc>
        <w:tc>
          <w:tcPr>
            <w:tcW w:w="300" w:type="dxa"/>
            <w:vAlign w:val="bottom"/>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28,358</w:t>
            </w:r>
          </w:p>
        </w:tc>
        <w:tc>
          <w:tcPr>
            <w:tcW w:w="34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742,584</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1,002,782</w:t>
            </w:r>
          </w:p>
        </w:tc>
        <w:tc>
          <w:tcPr>
            <w:tcW w:w="3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gridSpan w:val="5"/>
          </w:tcPr>
          <w:p>
            <w:pPr>
              <w:spacing w:after="0"/>
              <w:rPr>
                <w:sz w:val="20"/>
                <w:szCs w:val="20"/>
                <w:color w:val="auto"/>
              </w:rPr>
            </w:pPr>
            <w:r>
              <w:rPr>
                <w:rFonts w:ascii="Arial" w:cs="Arial" w:eastAsia="Arial" w:hAnsi="Arial"/>
                <w:sz w:val="18"/>
                <w:szCs w:val="18"/>
                <w:i w:val="1"/>
                <w:iCs w:val="1"/>
                <w:color w:val="auto"/>
              </w:rPr>
              <w:t>(1) Percentages may not total to 100.0% due to rounding.</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jc w:val="both"/>
        <w:ind w:firstLine="648"/>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if the dealer breaches its representations or warranties. There can be no assurance, however, that any dealer will have the willingness or the financial resources to satisfy their repurchase obligations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funding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believe that our funding criteria enable us to effectively evaluate the creditworthiness of sub-prime customers and the adequacy of the financed vehicle as security for an automobile contract. The funding criteria include standards for price, term, amount of down payment, monthly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funding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11 model years old or have more than 150,000 miles. The maximum term of a purchased contract is 75 months, although we consider the loan to value and mileage as significant factors in determining the maximum term of a contract. Automobile contract purchase criteria are subject to change from time to time as circumstances may warrant. Prior to purchasing an automobile contract, our funding staff verify the customer's employment, income, residency,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open-ended questions about his application and the contract, which may uncover potential misrepresentations.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Credit Scoring</w:t>
      </w:r>
      <w:r>
        <w:rPr>
          <w:rFonts w:ascii="Arial" w:cs="Arial" w:eastAsia="Arial" w:hAnsi="Arial"/>
          <w:sz w:val="17"/>
          <w:szCs w:val="17"/>
          <w:color w:val="auto"/>
        </w:rPr>
        <w:t>. We use proprietary scoring models to assign each automobile contract two internal "credit scores" at the time the application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and the customer's credit information is retrieved from the credit reporting agencies. These proprietary scores are used to help determine whether we want to approve the application and, if so, the program and pricing we will offer either to the dealer, or in the case of our direct lending platform, directly to the customer. Our internal credit scores are based on a variety of parameters including the customer's credit history, data derived from alternative sources such as utilities, telecom, and social media, length of employment, residence stability and total income. Once a vehicle is selected by the customer and a proposed deal structure is provided to us, our scores will then consider various deal structure parameters such as down payment amount, loan to value, payment to income and the make and mileage of the vehicle.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table below compares certain characteristics, at the time of origination, of our contract purchases for the years ended December 31, 2020 and 2019:</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Contracts Purchased During the Year Ended</w:t>
            </w:r>
          </w:p>
        </w:tc>
      </w:tr>
      <w:tr>
        <w:trPr>
          <w:trHeight w:val="223"/>
        </w:trPr>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2019</w:t>
            </w:r>
          </w:p>
        </w:tc>
        <w:tc>
          <w:tcPr>
            <w:tcW w:w="120" w:type="dxa"/>
            <w:vAlign w:val="bottom"/>
          </w:tcPr>
          <w:p>
            <w:pPr>
              <w:spacing w:after="0"/>
              <w:rPr>
                <w:sz w:val="19"/>
                <w:szCs w:val="19"/>
                <w:color w:val="auto"/>
              </w:rPr>
            </w:pPr>
          </w:p>
        </w:tc>
      </w:tr>
      <w:tr>
        <w:trPr>
          <w:trHeight w:val="210"/>
        </w:trPr>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Original Amount Financed</w:t>
            </w:r>
          </w:p>
        </w:tc>
        <w:tc>
          <w:tcPr>
            <w:tcW w:w="1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18,617</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17,933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Weighted Average Original Term</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69 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68 months</w:t>
            </w: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Down Payment Percent</w:t>
            </w:r>
          </w:p>
        </w:tc>
        <w:tc>
          <w:tcPr>
            <w:tcW w:w="1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Vehicle Purchase Price</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17,946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17,257</w:t>
            </w: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Age of Vehicle</w:t>
            </w:r>
          </w:p>
        </w:tc>
        <w:tc>
          <w:tcPr>
            <w:tcW w:w="1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 years</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Age of Customer</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42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42 years</w:t>
            </w: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Time in Current Job</w:t>
            </w:r>
          </w:p>
        </w:tc>
        <w:tc>
          <w:tcPr>
            <w:tcW w:w="1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 years</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 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Average Household Annual Income</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59,000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58,000</w:t>
            </w: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to rectify the situation. If these efforts are unsuccessful, we generally will require the dealer to repurchase the automobile contract.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the onset of the pandemic and related shutdowns and interruptions to the economy, we have experienced a decrease in monthly contract purchase volumes compared to the prior year period and compared to our first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and Collections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service all automobile contracts that we own as well as those automobile contracts that are included in portfolios that we have financed in securitizations or service for third parties. We organize our servicing activities based on the tasks performed by our personnel. Our servicing activities consist of mailing monthly billing statements; contacting obligors whose payments are late; accounting for and posting of all payments received; responding to customer inquiries; taking all necessary action to maintain the security interest granted in the financed vehicle or other collateral; skip tracing; repossessing and liquidating the collateral when necessary; collecting deficiency balances; and generally monitoring each automobile contract and the related collateral. For contracts that we securitize, we are typically entitled to receive a base monthly servicing fee equal to 2.5% per annum computed as a percentage of the declining outstanding principal balance of the non-charged-off automobile contracts</w:t>
      </w:r>
      <w:r>
        <w:rPr>
          <w:rFonts w:ascii="Arial" w:cs="Arial" w:eastAsia="Arial" w:hAnsi="Arial"/>
          <w:sz w:val="17"/>
          <w:szCs w:val="17"/>
          <w:b w:val="1"/>
          <w:bCs w:val="1"/>
          <w:color w:val="auto"/>
        </w:rPr>
        <w:t>.</w:t>
      </w:r>
      <w:r>
        <w:rPr>
          <w:rFonts w:ascii="Arial" w:cs="Arial" w:eastAsia="Arial" w:hAnsi="Arial"/>
          <w:sz w:val="17"/>
          <w:szCs w:val="17"/>
          <w:color w:val="auto"/>
        </w:rPr>
        <w:t xml:space="preserve"> The servicing fee is included in interest income for contracts that are pledged to a warehouse credit facility or a securitization transaction.</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Collection Procedures. </w:t>
      </w:r>
      <w:r>
        <w:rPr>
          <w:rFonts w:ascii="Arial" w:cs="Arial" w:eastAsia="Arial" w:hAnsi="Arial"/>
          <w:sz w:val="18"/>
          <w:szCs w:val="18"/>
          <w:color w:val="auto"/>
        </w:rPr>
        <w:t>We believe that our ability to monitor performance and collect payments owed from sub-prime customers is primarily a</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 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We engage a nearshore third-party call center to supplement the efforts the collectors in our five branch locations. As of December 31, 2020, our nearshore partner had approximately 30 agents assigned to our relationship.</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color w:val="auto"/>
        </w:rPr>
        <w:t>We attempt to make telephonic contact with delinquent customers from one to 20 days after their monthly payment due date, depending on our risk-based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customers can contact us via a toll-free number where they may choose to speak with a collector or to use our automated voice response system to access information about their account or to make a payment. They may respond to our collector’s text messages or chat with one of our collectors while logged into our website.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Contracts originated since January 2018 are accounted for at fair value and the economic impact of repossessions is incorporated into the estimated net yield on those contracts. For contracts originated prior to January 2018, which are not accounted for at fair value, we suspend interest accruals on contracts where the vehicle has been repossessed and reclassify the remaining automobile contract balance to other assets. In addition, we apply a specific reserve to such contracts so that the net balance represents the estimated remaining balance after the proceeds of the sale of the vehicle are applied, net of related costs.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elect to repossess the vehicle, we assign the task to an independent national repossession service. Such services are licensed and/or bonded as required by law. Upon repossession it is stored until it is picked up by a wholesale auction that we designate, where it is kept until sold. Prior to sale, the customer has the right to redeem the vehicle by paying the contract in full. In some cases, we may return the vehicle to the customer if they pay all, or what we deem to be a sufficient amount, of the past due amount.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Contracts originated since January 2018 are accounted for at fair value and the economic impact of late payments is incorporated into the estimated net yield on those contracts. For contracts originated prior to January 2018, which are not accounted for at fair value, we suspend interest accruals on contracts once an automobile contract becomes greater than 90 days delinquent. We do not recognize additional interest income until the borrower makes sufficient payments to be less than 90 days delinquent. Any payments received by a borrower, regardless of their stage of delinquency are first applied to outstanding accrued interest and then to principal reduction.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 The weighted average seasoning of our total owned portfolio, represented in the tables below, was 25 months, 23 months, and 23 months as of December 31, 2020, December 31, 2019, and December 31, 2018, respectively. 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were servicing as of the respective dates shown.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3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Contracts</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Delinquency Experience</w:t>
            </w:r>
          </w:p>
        </w:tc>
        <w:tc>
          <w:tcPr>
            <w:tcW w:w="1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163,117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2,174,972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177,604</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2,416,042</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176,042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2,380,847</w:t>
            </w: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Period of delinquency (2)</w:t>
            </w:r>
          </w:p>
        </w:tc>
        <w:tc>
          <w:tcPr>
            <w:tcW w:w="1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31-60 days</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11,357</w:t>
            </w:r>
          </w:p>
        </w:tc>
        <w:tc>
          <w:tcPr>
            <w:tcW w:w="1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152,868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13,737</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189,214</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13,182</w:t>
            </w:r>
          </w:p>
        </w:tc>
        <w:tc>
          <w:tcPr>
            <w:tcW w:w="2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183,974</w:t>
            </w: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61-90 days</w:t>
            </w:r>
          </w:p>
        </w:tc>
        <w:tc>
          <w:tcPr>
            <w:tcW w:w="138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4,525</w:t>
            </w:r>
          </w:p>
        </w:tc>
        <w:tc>
          <w:tcPr>
            <w:tcW w:w="18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59,096</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6,695</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91,675</w:t>
            </w:r>
          </w:p>
        </w:tc>
        <w:tc>
          <w:tcPr>
            <w:tcW w:w="13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5,577</w:t>
            </w:r>
          </w:p>
        </w:tc>
        <w:tc>
          <w:tcPr>
            <w:tcW w:w="2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74,485</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91+ days</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1,290</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14,989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3,530</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46,516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2,858</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35,520</w:t>
            </w:r>
          </w:p>
        </w:tc>
        <w:tc>
          <w:tcPr>
            <w:tcW w:w="0" w:type="dxa"/>
            <w:vAlign w:val="bottom"/>
          </w:tcPr>
          <w:p>
            <w:pPr>
              <w:spacing w:after="0"/>
              <w:rPr>
                <w:sz w:val="1"/>
                <w:szCs w:val="1"/>
                <w:color w:val="auto"/>
              </w:rPr>
            </w:pPr>
          </w:p>
        </w:tc>
      </w:tr>
      <w:tr>
        <w:trPr>
          <w:trHeight w:val="142"/>
        </w:trPr>
        <w:tc>
          <w:tcPr>
            <w:tcW w:w="328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Total delinquencies (2)</w:t>
            </w: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17,172</w:t>
            </w:r>
          </w:p>
        </w:tc>
        <w:tc>
          <w:tcPr>
            <w:tcW w:w="26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226,953</w:t>
            </w:r>
          </w:p>
        </w:tc>
        <w:tc>
          <w:tcPr>
            <w:tcW w:w="24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23,962</w:t>
            </w: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327,405</w:t>
            </w:r>
          </w:p>
        </w:tc>
        <w:tc>
          <w:tcPr>
            <w:tcW w:w="22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21,617</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293,979</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Amount in repossession (3)</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2,979</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35,839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3,779</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46,144</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2,840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36,480</w:t>
            </w:r>
          </w:p>
        </w:tc>
        <w:tc>
          <w:tcPr>
            <w:tcW w:w="0" w:type="dxa"/>
            <w:vAlign w:val="bottom"/>
          </w:tcPr>
          <w:p>
            <w:pPr>
              <w:spacing w:after="0"/>
              <w:rPr>
                <w:sz w:val="1"/>
                <w:szCs w:val="1"/>
                <w:color w:val="auto"/>
              </w:rPr>
            </w:pPr>
          </w:p>
        </w:tc>
      </w:tr>
      <w:tr>
        <w:trPr>
          <w:trHeight w:val="156"/>
        </w:trPr>
        <w:tc>
          <w:tcPr>
            <w:tcW w:w="328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Total delinquencies and amount in repossession (2)</w:t>
            </w:r>
          </w:p>
        </w:tc>
        <w:tc>
          <w:tcPr>
            <w:tcW w:w="1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20,151</w:t>
            </w:r>
          </w:p>
        </w:tc>
        <w:tc>
          <w:tcPr>
            <w:tcW w:w="26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262,792</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27,741</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373,549</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24,457</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330,459</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Delinquencies as a percentage of gross servicing</w:t>
            </w:r>
          </w:p>
        </w:tc>
        <w:tc>
          <w:tcPr>
            <w:tcW w:w="11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EEEEEE"/>
          </w:tcPr>
          <w:p>
            <w:pPr>
              <w:ind w:left="100"/>
              <w:spacing w:after="0"/>
              <w:rPr>
                <w:sz w:val="20"/>
                <w:szCs w:val="20"/>
                <w:color w:val="auto"/>
              </w:rPr>
            </w:pPr>
            <w:r>
              <w:rPr>
                <w:rFonts w:ascii="Arial" w:cs="Arial" w:eastAsia="Arial" w:hAnsi="Arial"/>
                <w:sz w:val="14"/>
                <w:szCs w:val="14"/>
                <w:color w:val="auto"/>
              </w:rPr>
              <w:t>portfolio</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10.4%</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13.6%</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12.3%</w:t>
            </w:r>
          </w:p>
        </w:tc>
        <w:tc>
          <w:tcPr>
            <w:tcW w:w="2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w w:val="98"/>
              </w:rPr>
              <w:t>Total delinquencies and amount in repossession as a</w:t>
            </w:r>
          </w:p>
        </w:tc>
        <w:tc>
          <w:tcPr>
            <w:tcW w:w="11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EEEEEE"/>
          </w:tcPr>
          <w:p>
            <w:pPr>
              <w:ind w:left="100"/>
              <w:spacing w:after="0"/>
              <w:rPr>
                <w:sz w:val="20"/>
                <w:szCs w:val="20"/>
                <w:color w:val="auto"/>
              </w:rPr>
            </w:pPr>
            <w:r>
              <w:rPr>
                <w:rFonts w:ascii="Arial" w:cs="Arial" w:eastAsia="Arial" w:hAnsi="Arial"/>
                <w:sz w:val="14"/>
                <w:szCs w:val="14"/>
                <w:color w:val="auto"/>
              </w:rPr>
              <w:t>percentage of gross servicing portfolio</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12.4%</w:t>
            </w:r>
          </w:p>
        </w:tc>
        <w:tc>
          <w:tcPr>
            <w:tcW w:w="1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12.1%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15.6%</w:t>
            </w:r>
          </w:p>
        </w:tc>
        <w:tc>
          <w:tcPr>
            <w:tcW w:w="18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15.5%</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Extension Experience</w:t>
            </w:r>
          </w:p>
        </w:tc>
        <w:tc>
          <w:tcPr>
            <w:tcW w:w="1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Contracts with one extension, accruing</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29,709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417,347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27,677</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385,673</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27,192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364,575</w:t>
            </w:r>
          </w:p>
        </w:tc>
        <w:tc>
          <w:tcPr>
            <w:tcW w:w="0" w:type="dxa"/>
            <w:vAlign w:val="bottom"/>
          </w:tcPr>
          <w:p>
            <w:pPr>
              <w:spacing w:after="0"/>
              <w:rPr>
                <w:sz w:val="1"/>
                <w:szCs w:val="1"/>
                <w:color w:val="auto"/>
              </w:rPr>
            </w:pPr>
          </w:p>
        </w:tc>
      </w:tr>
      <w:tr>
        <w:trPr>
          <w:trHeight w:val="162"/>
        </w:trPr>
        <w:tc>
          <w:tcPr>
            <w:tcW w:w="3280" w:type="dxa"/>
            <w:vAlign w:val="bottom"/>
            <w:shd w:val="clear" w:color="auto" w:fill="EEEEEE"/>
          </w:tcPr>
          <w:p>
            <w:pPr>
              <w:spacing w:after="0"/>
              <w:rPr>
                <w:sz w:val="20"/>
                <w:szCs w:val="20"/>
                <w:color w:val="auto"/>
              </w:rPr>
            </w:pPr>
            <w:r>
              <w:rPr>
                <w:rFonts w:ascii="Arial" w:cs="Arial" w:eastAsia="Arial" w:hAnsi="Arial"/>
                <w:sz w:val="14"/>
                <w:szCs w:val="14"/>
                <w:color w:val="auto"/>
              </w:rPr>
              <w:t>Contracts with two or more extensions, accruing</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55,885</w:t>
            </w:r>
          </w:p>
        </w:tc>
        <w:tc>
          <w:tcPr>
            <w:tcW w:w="1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665,572</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54,440</w:t>
            </w:r>
          </w:p>
        </w:tc>
        <w:tc>
          <w:tcPr>
            <w:tcW w:w="18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673,918</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61,977</w:t>
            </w:r>
          </w:p>
        </w:tc>
        <w:tc>
          <w:tcPr>
            <w:tcW w:w="2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828,573</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85,594</w:t>
            </w:r>
          </w:p>
        </w:tc>
        <w:tc>
          <w:tcPr>
            <w:tcW w:w="18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1,082,919</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82,117</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1,059,591</w:t>
            </w:r>
          </w:p>
        </w:tc>
        <w:tc>
          <w:tcPr>
            <w:tcW w:w="13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89,169</w:t>
            </w:r>
          </w:p>
        </w:tc>
        <w:tc>
          <w:tcPr>
            <w:tcW w:w="2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1,193,148</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 non-accrual (4)</w:t>
            </w:r>
          </w:p>
        </w:tc>
        <w:tc>
          <w:tcPr>
            <w:tcW w:w="138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915</w:t>
            </w:r>
          </w:p>
        </w:tc>
        <w:tc>
          <w:tcPr>
            <w:tcW w:w="18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12,408</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1,130</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14,528</w:t>
            </w:r>
          </w:p>
        </w:tc>
        <w:tc>
          <w:tcPr>
            <w:tcW w:w="13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798</w:t>
            </w:r>
          </w:p>
        </w:tc>
        <w:tc>
          <w:tcPr>
            <w:tcW w:w="2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9,518</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Contracts with two or more extensions, non-accrual</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280" w:type="dxa"/>
            <w:vAlign w:val="bottom"/>
          </w:tcPr>
          <w:p>
            <w:pPr>
              <w:ind w:left="100"/>
              <w:spacing w:after="0"/>
              <w:rPr>
                <w:sz w:val="20"/>
                <w:szCs w:val="20"/>
                <w:color w:val="auto"/>
              </w:rPr>
            </w:pPr>
            <w:r>
              <w:rPr>
                <w:rFonts w:ascii="Arial" w:cs="Arial" w:eastAsia="Arial" w:hAnsi="Arial"/>
                <w:sz w:val="14"/>
                <w:szCs w:val="14"/>
                <w:color w:val="auto"/>
              </w:rPr>
              <w:t>(4)</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2,502</w:t>
            </w: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28,189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4,441</w:t>
            </w: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55,436</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3,946</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51,912</w:t>
            </w:r>
          </w:p>
        </w:tc>
        <w:tc>
          <w:tcPr>
            <w:tcW w:w="0" w:type="dxa"/>
            <w:vAlign w:val="bottom"/>
          </w:tcPr>
          <w:p>
            <w:pPr>
              <w:spacing w:after="0"/>
              <w:rPr>
                <w:sz w:val="1"/>
                <w:szCs w:val="1"/>
                <w:color w:val="auto"/>
              </w:rPr>
            </w:pPr>
          </w:p>
        </w:tc>
      </w:tr>
      <w:tr>
        <w:trPr>
          <w:trHeight w:val="142"/>
        </w:trPr>
        <w:tc>
          <w:tcPr>
            <w:tcW w:w="328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3,417</w:t>
            </w:r>
          </w:p>
        </w:tc>
        <w:tc>
          <w:tcPr>
            <w:tcW w:w="26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40,597</w:t>
            </w:r>
          </w:p>
        </w:tc>
        <w:tc>
          <w:tcPr>
            <w:tcW w:w="24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5,571</w:t>
            </w: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69,964</w:t>
            </w:r>
          </w:p>
        </w:tc>
        <w:tc>
          <w:tcPr>
            <w:tcW w:w="22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4,744</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61,430</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EEEEEE"/>
          </w:tcPr>
          <w:p>
            <w:pPr>
              <w:spacing w:after="0"/>
              <w:rPr>
                <w:sz w:val="20"/>
                <w:szCs w:val="20"/>
                <w:color w:val="auto"/>
              </w:rPr>
            </w:pPr>
            <w:r>
              <w:rPr>
                <w:rFonts w:ascii="Arial" w:cs="Arial" w:eastAsia="Arial" w:hAnsi="Arial"/>
                <w:sz w:val="14"/>
                <w:szCs w:val="14"/>
                <w:color w:val="auto"/>
              </w:rPr>
              <w:t>Total accounts with extensions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89,011</w:t>
            </w:r>
          </w:p>
        </w:tc>
        <w:tc>
          <w:tcPr>
            <w:tcW w:w="180" w:type="dxa"/>
            <w:vAlign w:val="bottom"/>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1,123,516</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87,688</w:t>
            </w:r>
          </w:p>
        </w:tc>
        <w:tc>
          <w:tcPr>
            <w:tcW w:w="180" w:type="dxa"/>
            <w:vAlign w:val="bottom"/>
            <w:shd w:val="clear" w:color="auto" w:fill="EEEEEE"/>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1,129,555</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93,913</w:t>
            </w:r>
          </w:p>
        </w:tc>
        <w:tc>
          <w:tcPr>
            <w:tcW w:w="200" w:type="dxa"/>
            <w:vAlign w:val="bottom"/>
            <w:shd w:val="clear" w:color="auto" w:fill="EEEEEE"/>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1,254,578</w:t>
            </w:r>
          </w:p>
        </w:tc>
        <w:tc>
          <w:tcPr>
            <w:tcW w:w="0" w:type="dxa"/>
            <w:vAlign w:val="bottom"/>
          </w:tcPr>
          <w:p>
            <w:pPr>
              <w:spacing w:after="0"/>
              <w:rPr>
                <w:sz w:val="1"/>
                <w:szCs w:val="1"/>
                <w:color w:val="auto"/>
              </w:rPr>
            </w:pPr>
          </w:p>
        </w:tc>
      </w:tr>
      <w:tr>
        <w:trPr>
          <w:trHeight w:val="20"/>
        </w:trPr>
        <w:tc>
          <w:tcPr>
            <w:tcW w:w="32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4"/>
                <w:szCs w:val="14"/>
                <w:color w:val="auto"/>
              </w:rPr>
              <w:t>___________________________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60" w:hanging="352"/>
        <w:spacing w:after="0" w:line="221" w:lineRule="auto"/>
        <w:tabs>
          <w:tab w:leader="none" w:pos="3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 parties on which we earn servicing fees only, and have no credit risk.</w:t>
      </w:r>
    </w:p>
    <w:p>
      <w:pPr>
        <w:jc w:val="both"/>
        <w:ind w:left="360" w:hanging="352"/>
        <w:spacing w:after="0" w:line="221" w:lineRule="auto"/>
        <w:tabs>
          <w:tab w:leader="none" w:pos="3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ind w:left="360" w:hanging="352"/>
        <w:spacing w:after="0" w:line="221" w:lineRule="auto"/>
        <w:tabs>
          <w:tab w:leader="none" w:pos="3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repossession represents the contract balance on financed vehicles that have been repossessed but not yet liquidated.</w:t>
      </w:r>
    </w:p>
    <w:p>
      <w:pPr>
        <w:ind w:left="360" w:hanging="352"/>
        <w:spacing w:after="0"/>
        <w:tabs>
          <w:tab w:leader="none" w:pos="3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We do not recognize interest income on accounts past due more than 90 days.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Finance Receivables Portfolio (2)</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684,259</w:t>
            </w:r>
          </w:p>
        </w:tc>
        <w:tc>
          <w:tcPr>
            <w:tcW w:w="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1,192,484</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1,895,131</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62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458"/>
        </w:trPr>
        <w:tc>
          <w:tcPr>
            <w:tcW w:w="5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0"/>
              </w:rPr>
              <w:t>Fair Value Receivables Portfolio (4)</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1,631,491</w:t>
            </w:r>
          </w:p>
        </w:tc>
        <w:tc>
          <w:tcPr>
            <w:tcW w:w="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1,212,226</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442,823</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458"/>
        </w:trPr>
        <w:tc>
          <w:tcPr>
            <w:tcW w:w="5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Total Managed Portfolio</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2,315,750</w:t>
            </w:r>
          </w:p>
        </w:tc>
        <w:tc>
          <w:tcPr>
            <w:tcW w:w="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2,404,710</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2,341,954</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6.5%</w:t>
            </w:r>
          </w:p>
        </w:tc>
        <w:tc>
          <w:tcPr>
            <w:tcW w:w="620" w:type="dxa"/>
            <w:vAlign w:val="bottom"/>
          </w:tcPr>
          <w:p>
            <w:pPr>
              <w:spacing w:after="0"/>
              <w:rPr>
                <w:sz w:val="17"/>
                <w:szCs w:val="17"/>
                <w:color w:val="auto"/>
              </w:rPr>
            </w:pPr>
          </w:p>
        </w:tc>
        <w:tc>
          <w:tcPr>
            <w:tcW w:w="13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8.0%</w:t>
            </w:r>
          </w:p>
        </w:tc>
        <w:tc>
          <w:tcPr>
            <w:tcW w:w="440" w:type="dxa"/>
            <w:vAlign w:val="bottom"/>
          </w:tcPr>
          <w:p>
            <w:pPr>
              <w:spacing w:after="0"/>
              <w:rPr>
                <w:sz w:val="17"/>
                <w:szCs w:val="17"/>
                <w:color w:val="auto"/>
              </w:rPr>
            </w:pP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7.7%</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jc w:val="both"/>
        <w:ind w:left="340" w:right="20" w:hanging="332"/>
        <w:spacing w:after="0" w:line="250"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finance receivables portfolio is comprised of contracts we originated prior to January 2018.</w:t>
      </w:r>
    </w:p>
    <w:p>
      <w:pPr>
        <w:spacing w:after="0" w:line="9" w:lineRule="exact"/>
        <w:rPr>
          <w:rFonts w:ascii="Arial" w:cs="Arial" w:eastAsia="Arial" w:hAnsi="Arial"/>
          <w:sz w:val="18"/>
          <w:szCs w:val="18"/>
          <w:i w:val="1"/>
          <w:iCs w:val="1"/>
          <w:color w:val="auto"/>
        </w:rPr>
      </w:pPr>
    </w:p>
    <w:p>
      <w:pPr>
        <w:jc w:val="both"/>
        <w:ind w:left="340" w:hanging="332"/>
        <w:spacing w:after="0" w:line="250"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after the date of charge-off, including some recoveries which have been classified as other income in the accompanying financial statements.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fair value portfolio is comprised of contracts we have originated since January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certain circumstances we will grant obligors one-month payment extensions to assist them with temporary cash flow problems. In general, an obligor will not be permitted more than two such extensions in any 12-month period and no more than six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 rather than troubled debt restructurings.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648"/>
        <w:spacing w:after="0" w:line="296" w:lineRule="auto"/>
        <w:rPr>
          <w:sz w:val="20"/>
          <w:szCs w:val="20"/>
          <w:color w:val="auto"/>
        </w:rPr>
      </w:pPr>
      <w:r>
        <w:rPr>
          <w:rFonts w:ascii="Arial" w:cs="Arial" w:eastAsia="Arial" w:hAnsi="Arial"/>
          <w:sz w:val="16"/>
          <w:szCs w:val="16"/>
          <w:color w:val="auto"/>
        </w:rPr>
        <w:t>The basic question in deciding to grant an extension is whether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December 31, 2020, for accounts that received extensions from 2008 through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Active or Paid Off</w:t>
            </w: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 Active or Paid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Charged Off &gt; 6</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 Charged Off &gt; 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Charged Off &lt;= 6</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 Charged Off &lt;=</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Avg Months to</w:t>
            </w: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 of Extensions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at December 31,</w:t>
            </w: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Off at December</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Months After</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Months After</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Months After</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6 Months After</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Charge Off Post</w:t>
            </w:r>
          </w:p>
        </w:tc>
      </w:tr>
      <w:tr>
        <w:trPr>
          <w:trHeight w:val="167"/>
        </w:trPr>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of Extension</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Granted</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31, 2020</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Extension</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Extension</w:t>
            </w:r>
          </w:p>
        </w:tc>
      </w:tr>
      <w:tr>
        <w:trPr>
          <w:trHeight w:val="142"/>
        </w:trPr>
        <w:tc>
          <w:tcPr>
            <w:tcW w:w="136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12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35,588</w:t>
            </w:r>
          </w:p>
        </w:tc>
        <w:tc>
          <w:tcPr>
            <w:tcW w:w="1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ind w:left="740"/>
              <w:spacing w:after="0" w:line="142" w:lineRule="exact"/>
              <w:rPr>
                <w:sz w:val="20"/>
                <w:szCs w:val="20"/>
                <w:color w:val="auto"/>
              </w:rPr>
            </w:pPr>
            <w:r>
              <w:rPr>
                <w:rFonts w:ascii="Arial" w:cs="Arial" w:eastAsia="Arial" w:hAnsi="Arial"/>
                <w:sz w:val="14"/>
                <w:szCs w:val="14"/>
                <w:color w:val="auto"/>
                <w:w w:val="83"/>
              </w:rPr>
              <w:t>10,710</w:t>
            </w:r>
          </w:p>
        </w:tc>
        <w:tc>
          <w:tcPr>
            <w:tcW w:w="1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0"/>
              </w:rPr>
              <w:t>30.1%</w:t>
            </w:r>
          </w:p>
        </w:tc>
        <w:tc>
          <w:tcPr>
            <w:tcW w:w="10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20,059</w:t>
            </w:r>
          </w:p>
        </w:tc>
        <w:tc>
          <w:tcPr>
            <w:tcW w:w="1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5"/>
              </w:rPr>
              <w:t>56.4%</w:t>
            </w:r>
          </w:p>
        </w:tc>
        <w:tc>
          <w:tcPr>
            <w:tcW w:w="10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4,819</w:t>
            </w:r>
          </w:p>
        </w:tc>
        <w:tc>
          <w:tcPr>
            <w:tcW w:w="1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5"/>
              </w:rPr>
              <w:t>13.5%</w:t>
            </w:r>
          </w:p>
        </w:tc>
        <w:tc>
          <w:tcPr>
            <w:tcW w:w="10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rPr>
              <w:t>19</w:t>
            </w: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32,226</w:t>
            </w:r>
          </w:p>
        </w:tc>
        <w:tc>
          <w:tcPr>
            <w:tcW w:w="12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10,274</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31.9%</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16,168</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50.2%</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5,783</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17.9%</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17</w:t>
            </w:r>
          </w:p>
        </w:tc>
      </w:tr>
      <w:tr>
        <w:trPr>
          <w:trHeight w:val="148"/>
        </w:trPr>
        <w:tc>
          <w:tcPr>
            <w:tcW w:w="13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12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26,167</w:t>
            </w:r>
          </w:p>
        </w:tc>
        <w:tc>
          <w:tcPr>
            <w:tcW w:w="1240" w:type="dxa"/>
            <w:vAlign w:val="bottom"/>
            <w:gridSpan w:val="2"/>
            <w:shd w:val="clear" w:color="auto" w:fill="EEEEEE"/>
          </w:tcPr>
          <w:p>
            <w:pPr>
              <w:ind w:left="740"/>
              <w:spacing w:after="0" w:line="149" w:lineRule="exact"/>
              <w:rPr>
                <w:sz w:val="20"/>
                <w:szCs w:val="20"/>
                <w:color w:val="auto"/>
              </w:rPr>
            </w:pPr>
            <w:r>
              <w:rPr>
                <w:rFonts w:ascii="Arial" w:cs="Arial" w:eastAsia="Arial" w:hAnsi="Arial"/>
                <w:sz w:val="14"/>
                <w:szCs w:val="14"/>
                <w:color w:val="auto"/>
              </w:rPr>
              <w:t>12,165</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46.5%</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12,003</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5"/>
              </w:rPr>
              <w:t>45.9%</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1,999</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3"/>
              </w:rPr>
              <w:t>7.6%</w:t>
            </w:r>
          </w:p>
        </w:tc>
        <w:tc>
          <w:tcPr>
            <w:tcW w:w="100" w:type="dxa"/>
            <w:vAlign w:val="bottom"/>
            <w:shd w:val="clear" w:color="auto" w:fill="EEEEEE"/>
          </w:tcPr>
          <w:p>
            <w:pPr>
              <w:spacing w:after="0"/>
              <w:rPr>
                <w:sz w:val="12"/>
                <w:szCs w:val="12"/>
                <w:color w:val="auto"/>
              </w:rPr>
            </w:pP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rPr>
              <w:t>19</w:t>
            </w: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18,786</w:t>
            </w:r>
          </w:p>
        </w:tc>
        <w:tc>
          <w:tcPr>
            <w:tcW w:w="12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10,973</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58.4%</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6,881</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36.6%</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932</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3"/>
              </w:rPr>
              <w:t>5.0%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19</w:t>
            </w:r>
          </w:p>
        </w:tc>
      </w:tr>
      <w:tr>
        <w:trPr>
          <w:trHeight w:val="149"/>
        </w:trPr>
        <w:tc>
          <w:tcPr>
            <w:tcW w:w="13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2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18,783</w:t>
            </w:r>
          </w:p>
        </w:tc>
        <w:tc>
          <w:tcPr>
            <w:tcW w:w="1240" w:type="dxa"/>
            <w:vAlign w:val="bottom"/>
            <w:gridSpan w:val="2"/>
            <w:shd w:val="clear" w:color="auto" w:fill="EEEEEE"/>
          </w:tcPr>
          <w:p>
            <w:pPr>
              <w:ind w:left="740"/>
              <w:spacing w:after="0" w:line="149" w:lineRule="exact"/>
              <w:rPr>
                <w:sz w:val="20"/>
                <w:szCs w:val="20"/>
                <w:color w:val="auto"/>
              </w:rPr>
            </w:pPr>
            <w:r>
              <w:rPr>
                <w:rFonts w:ascii="Arial" w:cs="Arial" w:eastAsia="Arial" w:hAnsi="Arial"/>
                <w:sz w:val="14"/>
                <w:szCs w:val="14"/>
                <w:color w:val="auto"/>
              </w:rPr>
              <w:t>11,321</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60.3%</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6,666</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5"/>
              </w:rPr>
              <w:t>35.5%</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796</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3"/>
              </w:rPr>
              <w:t>4.2%</w:t>
            </w:r>
          </w:p>
        </w:tc>
        <w:tc>
          <w:tcPr>
            <w:tcW w:w="100" w:type="dxa"/>
            <w:vAlign w:val="bottom"/>
            <w:shd w:val="clear" w:color="auto" w:fill="EEEEEE"/>
          </w:tcPr>
          <w:p>
            <w:pPr>
              <w:spacing w:after="0"/>
              <w:rPr>
                <w:sz w:val="12"/>
                <w:szCs w:val="12"/>
                <w:color w:val="auto"/>
              </w:rPr>
            </w:pP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rPr>
              <w:t>18</w:t>
            </w: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23,398</w:t>
            </w:r>
          </w:p>
        </w:tc>
        <w:tc>
          <w:tcPr>
            <w:tcW w:w="12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11,186</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47.8%</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11,236</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48.0%</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976</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3"/>
              </w:rPr>
              <w:t>4.2%</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23</w:t>
            </w:r>
          </w:p>
        </w:tc>
      </w:tr>
      <w:tr>
        <w:trPr>
          <w:trHeight w:val="148"/>
        </w:trPr>
        <w:tc>
          <w:tcPr>
            <w:tcW w:w="13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2014</w:t>
            </w:r>
          </w:p>
        </w:tc>
        <w:tc>
          <w:tcPr>
            <w:tcW w:w="12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25,773</w:t>
            </w:r>
          </w:p>
        </w:tc>
        <w:tc>
          <w:tcPr>
            <w:tcW w:w="1240" w:type="dxa"/>
            <w:vAlign w:val="bottom"/>
            <w:gridSpan w:val="2"/>
            <w:shd w:val="clear" w:color="auto" w:fill="EEEEEE"/>
          </w:tcPr>
          <w:p>
            <w:pPr>
              <w:ind w:left="740"/>
              <w:spacing w:after="0" w:line="149" w:lineRule="exact"/>
              <w:rPr>
                <w:sz w:val="20"/>
                <w:szCs w:val="20"/>
                <w:color w:val="auto"/>
              </w:rPr>
            </w:pPr>
            <w:r>
              <w:rPr>
                <w:rFonts w:ascii="Arial" w:cs="Arial" w:eastAsia="Arial" w:hAnsi="Arial"/>
                <w:sz w:val="14"/>
                <w:szCs w:val="14"/>
                <w:color w:val="auto"/>
              </w:rPr>
              <w:t>10,652</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41.3%</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14,295</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5"/>
              </w:rPr>
              <w:t>55.5%</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826</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3"/>
              </w:rPr>
              <w:t>3.2%</w:t>
            </w:r>
          </w:p>
        </w:tc>
        <w:tc>
          <w:tcPr>
            <w:tcW w:w="100" w:type="dxa"/>
            <w:vAlign w:val="bottom"/>
            <w:shd w:val="clear" w:color="auto" w:fill="EEEEEE"/>
          </w:tcPr>
          <w:p>
            <w:pPr>
              <w:spacing w:after="0"/>
              <w:rPr>
                <w:sz w:val="12"/>
                <w:szCs w:val="12"/>
                <w:color w:val="auto"/>
              </w:rPr>
            </w:pP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rPr>
              <w:t>25</w:t>
            </w: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53,319</w:t>
            </w:r>
          </w:p>
        </w:tc>
        <w:tc>
          <w:tcPr>
            <w:tcW w:w="12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23,327</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43.7%</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28,910</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54.2%</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1,082</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3"/>
              </w:rPr>
              <w:t>2.0%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25</w:t>
            </w:r>
          </w:p>
        </w:tc>
      </w:tr>
      <w:tr>
        <w:trPr>
          <w:trHeight w:val="149"/>
        </w:trPr>
        <w:tc>
          <w:tcPr>
            <w:tcW w:w="13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12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80,897</w:t>
            </w:r>
          </w:p>
        </w:tc>
        <w:tc>
          <w:tcPr>
            <w:tcW w:w="1240" w:type="dxa"/>
            <w:vAlign w:val="bottom"/>
            <w:gridSpan w:val="2"/>
            <w:shd w:val="clear" w:color="auto" w:fill="EEEEEE"/>
          </w:tcPr>
          <w:p>
            <w:pPr>
              <w:ind w:left="740"/>
              <w:spacing w:after="0" w:line="149" w:lineRule="exact"/>
              <w:rPr>
                <w:sz w:val="20"/>
                <w:szCs w:val="20"/>
                <w:color w:val="auto"/>
              </w:rPr>
            </w:pPr>
            <w:r>
              <w:rPr>
                <w:rFonts w:ascii="Arial" w:cs="Arial" w:eastAsia="Arial" w:hAnsi="Arial"/>
                <w:sz w:val="14"/>
                <w:szCs w:val="14"/>
                <w:color w:val="auto"/>
              </w:rPr>
              <w:t>40,123</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49.6%</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38,841</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5"/>
              </w:rPr>
              <w:t>48.0%</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1,933</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3"/>
              </w:rPr>
              <w:t>2.4%</w:t>
            </w:r>
          </w:p>
        </w:tc>
        <w:tc>
          <w:tcPr>
            <w:tcW w:w="100" w:type="dxa"/>
            <w:vAlign w:val="bottom"/>
            <w:shd w:val="clear" w:color="auto" w:fill="EEEEEE"/>
          </w:tcPr>
          <w:p>
            <w:pPr>
              <w:spacing w:after="0"/>
              <w:rPr>
                <w:sz w:val="12"/>
                <w:szCs w:val="12"/>
                <w:color w:val="auto"/>
              </w:rPr>
            </w:pP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rPr>
              <w:t>23</w:t>
            </w: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133,881</w:t>
            </w:r>
          </w:p>
        </w:tc>
        <w:tc>
          <w:tcPr>
            <w:tcW w:w="12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69,564</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52.0%</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57,357</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42.8%</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6,926</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3"/>
              </w:rPr>
              <w:t>5.2%</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19</w:t>
            </w:r>
          </w:p>
        </w:tc>
      </w:tr>
      <w:tr>
        <w:trPr>
          <w:trHeight w:val="149"/>
        </w:trPr>
        <w:tc>
          <w:tcPr>
            <w:tcW w:w="13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2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121,531</w:t>
            </w:r>
          </w:p>
        </w:tc>
        <w:tc>
          <w:tcPr>
            <w:tcW w:w="1240" w:type="dxa"/>
            <w:vAlign w:val="bottom"/>
            <w:gridSpan w:val="2"/>
            <w:shd w:val="clear" w:color="auto" w:fill="EEEEEE"/>
          </w:tcPr>
          <w:p>
            <w:pPr>
              <w:ind w:left="740"/>
              <w:spacing w:after="0" w:line="149" w:lineRule="exact"/>
              <w:rPr>
                <w:sz w:val="20"/>
                <w:szCs w:val="20"/>
                <w:color w:val="auto"/>
              </w:rPr>
            </w:pPr>
            <w:r>
              <w:rPr>
                <w:rFonts w:ascii="Arial" w:cs="Arial" w:eastAsia="Arial" w:hAnsi="Arial"/>
                <w:sz w:val="14"/>
                <w:szCs w:val="14"/>
                <w:color w:val="auto"/>
              </w:rPr>
              <w:t>76,358</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0"/>
              </w:rPr>
              <w:t>62.8%</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39,166</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5"/>
              </w:rPr>
              <w:t>32.2%</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6,007</w:t>
            </w: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3"/>
              </w:rPr>
              <w:t>4.9%</w:t>
            </w:r>
          </w:p>
        </w:tc>
        <w:tc>
          <w:tcPr>
            <w:tcW w:w="100" w:type="dxa"/>
            <w:vAlign w:val="bottom"/>
            <w:shd w:val="clear" w:color="auto" w:fill="EEEEEE"/>
          </w:tcPr>
          <w:p>
            <w:pPr>
              <w:spacing w:after="0"/>
              <w:rPr>
                <w:sz w:val="12"/>
                <w:szCs w:val="12"/>
                <w:color w:val="auto"/>
              </w:rPr>
            </w:pPr>
          </w:p>
        </w:tc>
        <w:tc>
          <w:tcPr>
            <w:tcW w:w="11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rPr>
              <w:t>14</w:t>
            </w:r>
          </w:p>
        </w:tc>
      </w:tr>
      <w:tr>
        <w:trPr>
          <w:trHeight w:val="182"/>
        </w:trPr>
        <w:tc>
          <w:tcPr>
            <w:tcW w:w="136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71,548</w:t>
            </w:r>
          </w:p>
        </w:tc>
        <w:tc>
          <w:tcPr>
            <w:tcW w:w="1240" w:type="dxa"/>
            <w:vAlign w:val="bottom"/>
            <w:gridSpan w:val="2"/>
          </w:tcPr>
          <w:p>
            <w:pPr>
              <w:ind w:left="740"/>
              <w:spacing w:after="0"/>
              <w:rPr>
                <w:sz w:val="20"/>
                <w:szCs w:val="20"/>
                <w:color w:val="auto"/>
              </w:rPr>
            </w:pPr>
            <w:r>
              <w:rPr>
                <w:rFonts w:ascii="Arial" w:cs="Arial" w:eastAsia="Arial" w:hAnsi="Arial"/>
                <w:sz w:val="14"/>
                <w:szCs w:val="14"/>
                <w:color w:val="auto"/>
              </w:rPr>
              <w:t>59,528</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83.2%</w:t>
            </w:r>
          </w:p>
        </w:tc>
        <w:tc>
          <w:tcPr>
            <w:tcW w:w="1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10,078</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14.1%</w:t>
            </w:r>
          </w:p>
        </w:tc>
        <w:tc>
          <w:tcPr>
            <w:tcW w:w="1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1,942</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2.7%</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76"/>
              </w:rPr>
              <w:t>11</w:t>
            </w:r>
          </w:p>
        </w:tc>
      </w:tr>
    </w:tbl>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We consider accounts that have had extensions and were active or paid off as of December 31, 2020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8"/>
                <w:szCs w:val="18"/>
                <w:color w:val="auto"/>
                <w:w w:val="89"/>
              </w:rPr>
              <w:t>For the Year Ended</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40" w:type="dxa"/>
            <w:vAlign w:val="bottom"/>
            <w:gridSpan w:val="5"/>
          </w:tcPr>
          <w:p>
            <w:pPr>
              <w:jc w:val="right"/>
              <w:ind w:right="460"/>
              <w:spacing w:after="0" w:line="195" w:lineRule="exact"/>
              <w:rPr>
                <w:sz w:val="20"/>
                <w:szCs w:val="20"/>
                <w:color w:val="auto"/>
              </w:rPr>
            </w:pPr>
            <w:r>
              <w:rPr>
                <w:rFonts w:ascii="Arial" w:cs="Arial" w:eastAsia="Arial" w:hAnsi="Arial"/>
                <w:sz w:val="18"/>
                <w:szCs w:val="18"/>
                <w:color w:val="auto"/>
              </w:rPr>
              <w:t>December 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ind w:left="20"/>
              <w:spacing w:after="0" w:line="195" w:lineRule="exact"/>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6"/>
                <w:szCs w:val="16"/>
                <w:color w:val="auto"/>
              </w:rPr>
            </w:pPr>
          </w:p>
        </w:tc>
        <w:tc>
          <w:tcPr>
            <w:tcW w:w="1380" w:type="dxa"/>
            <w:vAlign w:val="bottom"/>
            <w:gridSpan w:val="4"/>
          </w:tcPr>
          <w:p>
            <w:pPr>
              <w:jc w:val="right"/>
              <w:ind w:right="90"/>
              <w:spacing w:after="0" w:line="195"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w w:val="94"/>
              </w:rPr>
              <w:t>2020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8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5"/>
              </w:rPr>
              <w:t>Average number of extensions granted per month</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6,931</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EEEEEE"/>
          </w:tcPr>
          <w:p>
            <w:pPr>
              <w:spacing w:after="0"/>
              <w:rPr>
                <w:sz w:val="18"/>
                <w:szCs w:val="18"/>
                <w:color w:val="auto"/>
              </w:rPr>
            </w:pPr>
          </w:p>
        </w:tc>
        <w:tc>
          <w:tcPr>
            <w:tcW w:w="15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120" w:type="dxa"/>
            <w:vAlign w:val="bottom"/>
            <w:shd w:val="clear" w:color="auto" w:fill="EEEEE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5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8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172,129</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177,256</w:t>
            </w:r>
          </w:p>
        </w:tc>
        <w:tc>
          <w:tcPr>
            <w:tcW w:w="120" w:type="dxa"/>
            <w:vAlign w:val="bottom"/>
            <w:shd w:val="clear" w:color="auto" w:fill="EEEEEE"/>
          </w:tcPr>
          <w:p>
            <w:pPr>
              <w:spacing w:after="0"/>
              <w:rPr>
                <w:sz w:val="18"/>
                <w:szCs w:val="18"/>
                <w:color w:val="auto"/>
              </w:rPr>
            </w:pPr>
          </w:p>
        </w:tc>
        <w:tc>
          <w:tcPr>
            <w:tcW w:w="15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174,738</w:t>
            </w:r>
          </w:p>
        </w:tc>
        <w:tc>
          <w:tcPr>
            <w:tcW w:w="120" w:type="dxa"/>
            <w:vAlign w:val="bottom"/>
            <w:shd w:val="clear" w:color="auto" w:fill="EEEEE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54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16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5.8%</w:t>
            </w:r>
          </w:p>
        </w:tc>
        <w:tc>
          <w:tcPr>
            <w:tcW w:w="120" w:type="dxa"/>
            <w:vAlign w:val="bottom"/>
            <w:shd w:val="clear" w:color="auto" w:fill="EEEEE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8"/>
                <w:szCs w:val="18"/>
                <w:color w:val="auto"/>
              </w:rPr>
              <w:t>December 31, 2020</w:t>
            </w:r>
          </w:p>
        </w:tc>
        <w:tc>
          <w:tcPr>
            <w:tcW w:w="2680" w:type="dxa"/>
            <w:vAlign w:val="bottom"/>
            <w:gridSpan w:val="9"/>
          </w:tcPr>
          <w:p>
            <w:pPr>
              <w:ind w:left="540"/>
              <w:spacing w:after="0"/>
              <w:rPr>
                <w:sz w:val="20"/>
                <w:szCs w:val="20"/>
                <w:color w:val="auto"/>
              </w:rPr>
            </w:pPr>
            <w:r>
              <w:rPr>
                <w:rFonts w:ascii="Arial" w:cs="Arial" w:eastAsia="Arial" w:hAnsi="Arial"/>
                <w:sz w:val="18"/>
                <w:szCs w:val="18"/>
                <w:color w:val="auto"/>
              </w:rPr>
              <w:t>December 31, 2019</w:t>
            </w:r>
          </w:p>
        </w:tc>
        <w:tc>
          <w:tcPr>
            <w:tcW w:w="200" w:type="dxa"/>
            <w:vAlign w:val="bottom"/>
          </w:tcPr>
          <w:p>
            <w:pPr>
              <w:spacing w:after="0"/>
              <w:rPr>
                <w:sz w:val="24"/>
                <w:szCs w:val="24"/>
                <w:color w:val="auto"/>
              </w:rPr>
            </w:pPr>
          </w:p>
        </w:tc>
        <w:tc>
          <w:tcPr>
            <w:tcW w:w="2340" w:type="dxa"/>
            <w:vAlign w:val="bottom"/>
            <w:gridSpan w:val="7"/>
          </w:tcPr>
          <w:p>
            <w:pPr>
              <w:ind w:left="32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top w:val="single" w:sz="8" w:color="auto"/>
            </w:tcBorders>
            <w:gridSpan w:val="3"/>
          </w:tcPr>
          <w:p>
            <w:pPr>
              <w:jc w:val="right"/>
              <w:ind w:right="220"/>
              <w:spacing w:after="0" w:line="195" w:lineRule="exact"/>
              <w:rPr>
                <w:sz w:val="20"/>
                <w:szCs w:val="20"/>
                <w:color w:val="auto"/>
              </w:rPr>
            </w:pPr>
            <w:r>
              <w:rPr>
                <w:rFonts w:ascii="Arial" w:cs="Arial" w:eastAsia="Arial" w:hAnsi="Arial"/>
                <w:sz w:val="18"/>
                <w:szCs w:val="18"/>
                <w:color w:val="auto"/>
              </w:rPr>
              <w:t>Number of</w:t>
            </w: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220"/>
              <w:spacing w:after="0" w:line="195" w:lineRule="exact"/>
              <w:rPr>
                <w:sz w:val="20"/>
                <w:szCs w:val="20"/>
                <w:color w:val="auto"/>
              </w:rPr>
            </w:pPr>
            <w:r>
              <w:rPr>
                <w:rFonts w:ascii="Arial" w:cs="Arial" w:eastAsia="Arial" w:hAnsi="Arial"/>
                <w:sz w:val="18"/>
                <w:szCs w:val="18"/>
                <w:color w:val="auto"/>
              </w:rPr>
              <w:t>Number of</w:t>
            </w: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Amount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Contracts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9"/>
          </w:tcPr>
          <w:p>
            <w:pPr>
              <w:ind w:left="34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30,624</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429,754</w:t>
            </w:r>
          </w:p>
        </w:tc>
        <w:tc>
          <w:tcPr>
            <w:tcW w:w="11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28,807</w:t>
            </w:r>
          </w:p>
        </w:tc>
        <w:tc>
          <w:tcPr>
            <w:tcW w:w="36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400,202</w:t>
            </w:r>
          </w:p>
        </w:tc>
        <w:tc>
          <w:tcPr>
            <w:tcW w:w="1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27,991</w:t>
            </w:r>
          </w:p>
        </w:tc>
        <w:tc>
          <w:tcPr>
            <w:tcW w:w="4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374,116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19,381</w:t>
            </w:r>
          </w:p>
        </w:tc>
        <w:tc>
          <w:tcPr>
            <w:tcW w:w="18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259,236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17,895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229,555</w:t>
            </w:r>
          </w:p>
        </w:tc>
        <w:tc>
          <w:tcPr>
            <w:tcW w:w="1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20,789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277,497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13,117</w:t>
            </w:r>
          </w:p>
        </w:tc>
        <w:tc>
          <w:tcPr>
            <w:tcW w:w="1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159,447</w:t>
            </w:r>
          </w:p>
        </w:tc>
        <w:tc>
          <w:tcPr>
            <w:tcW w:w="11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14,423</w:t>
            </w: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181,896</w:t>
            </w:r>
          </w:p>
        </w:tc>
        <w:tc>
          <w:tcPr>
            <w:tcW w:w="1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17,210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231,905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10,868</w:t>
            </w:r>
          </w:p>
        </w:tc>
        <w:tc>
          <w:tcPr>
            <w:tcW w:w="18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122,469</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12,367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153,170</w:t>
            </w:r>
          </w:p>
        </w:tc>
        <w:tc>
          <w:tcPr>
            <w:tcW w:w="1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13,583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185,114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8,548</w:t>
            </w:r>
          </w:p>
        </w:tc>
        <w:tc>
          <w:tcPr>
            <w:tcW w:w="1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90,322</w:t>
            </w:r>
          </w:p>
        </w:tc>
        <w:tc>
          <w:tcPr>
            <w:tcW w:w="11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8,742</w:t>
            </w: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103,989</w:t>
            </w:r>
          </w:p>
        </w:tc>
        <w:tc>
          <w:tcPr>
            <w:tcW w:w="1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9,189</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121,836</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6,473</w:t>
            </w:r>
          </w:p>
        </w:tc>
        <w:tc>
          <w:tcPr>
            <w:tcW w:w="180" w:type="dxa"/>
            <w:vAlign w:val="bottom"/>
          </w:tcPr>
          <w:p>
            <w:pPr>
              <w:spacing w:after="0"/>
              <w:rPr>
                <w:sz w:val="19"/>
                <w:szCs w:val="19"/>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62,288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5,454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60,743</w:t>
            </w:r>
          </w:p>
        </w:tc>
        <w:tc>
          <w:tcPr>
            <w:tcW w:w="1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64,134</w:t>
            </w:r>
          </w:p>
        </w:tc>
        <w:tc>
          <w:tcPr>
            <w:tcW w:w="0" w:type="dxa"/>
            <w:vAlign w:val="bottom"/>
          </w:tcPr>
          <w:p>
            <w:pPr>
              <w:spacing w:after="0"/>
              <w:rPr>
                <w:sz w:val="1"/>
                <w:szCs w:val="1"/>
                <w:color w:val="auto"/>
              </w:rPr>
            </w:pPr>
          </w:p>
        </w:tc>
      </w:tr>
      <w:tr>
        <w:trPr>
          <w:trHeight w:val="209"/>
        </w:trPr>
        <w:tc>
          <w:tcPr>
            <w:tcW w:w="86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87,688</w:t>
            </w:r>
          </w:p>
        </w:tc>
        <w:tc>
          <w:tcPr>
            <w:tcW w:w="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gridSpan w:val="2"/>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1,129,555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93,914</w:t>
            </w:r>
          </w:p>
        </w:tc>
        <w:tc>
          <w:tcPr>
            <w:tcW w:w="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1,254,602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servicing portfolio</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163,117</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2,174,972</w:t>
            </w:r>
          </w:p>
        </w:tc>
        <w:tc>
          <w:tcPr>
            <w:tcW w:w="11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177,604</w:t>
            </w:r>
          </w:p>
        </w:tc>
        <w:tc>
          <w:tcPr>
            <w:tcW w:w="36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2,416,042</w:t>
            </w:r>
          </w:p>
        </w:tc>
        <w:tc>
          <w:tcPr>
            <w:tcW w:w="1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176,042</w:t>
            </w:r>
          </w:p>
        </w:tc>
        <w:tc>
          <w:tcPr>
            <w:tcW w:w="4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2,380,847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March 2020, we experienced a significant increase in the numbers of our obligors who sought an extension because of the pandemic and related economic shutdowns. By June of 2020, the monthly volume of extensions we granted had reverted to levels at or below the prior year and have remained so through December 2020.</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Government mandated shutdowns of large portions of the United States economy has impaired and will likely continue to impair the ability of obligors under our automobile contracts to make their monthly payments. The extent to which that ability will be impaired, and the extent to which public ameliorative measures such as stimulus payments and enhanced unemployment benefits may restore such ability, cannot be estimated.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As a result, for contracts originated prior to January 2018 that are not accounted for under the fair value method, we do not recognize any interest income for contracts that are greater than 90 days 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jc w:val="both"/>
        <w:ind w:firstLine="648"/>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Effective January 1, 2018, we adopted the fair value method of accounting for finance receivables acquired on or after that date. For these receivables, we recognize interest income on a level yield basis using that internal rate of return as the applicable interest rate. We do not record an expense for provision for credit losses on these receivables because such credit losses are included in our computation of the appropriate level yield.</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1994 we have conducted 87 term securitizations of automobile contracts that we originated under our regular programs. As of December 31, 2020, 21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5"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4000" w:type="dxa"/>
            <w:vAlign w:val="bottom"/>
            <w:gridSpan w:val="6"/>
          </w:tcPr>
          <w:p>
            <w:pPr>
              <w:jc w:val="right"/>
              <w:ind w:right="1180"/>
              <w:spacing w:after="0"/>
              <w:rPr>
                <w:sz w:val="20"/>
                <w:szCs w:val="20"/>
                <w:color w:val="auto"/>
              </w:rPr>
            </w:pPr>
            <w:r>
              <w:rPr>
                <w:rFonts w:ascii="Arial" w:cs="Arial" w:eastAsia="Arial" w:hAnsi="Arial"/>
                <w:sz w:val="18"/>
                <w:szCs w:val="18"/>
                <w:color w:val="auto"/>
                <w:w w:val="94"/>
              </w:rPr>
              <w:t>Recent Asset-Backed Securitizations</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 of Term</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Amount of</w:t>
            </w:r>
          </w:p>
        </w:tc>
      </w:tr>
      <w:tr>
        <w:trPr>
          <w:trHeight w:val="230"/>
        </w:trPr>
        <w:tc>
          <w:tcPr>
            <w:tcW w:w="1040" w:type="dxa"/>
            <w:vAlign w:val="bottom"/>
          </w:tcPr>
          <w:p>
            <w:pPr>
              <w:jc w:val="center"/>
              <w:ind w:left="150"/>
              <w:spacing w:after="0"/>
              <w:rPr>
                <w:sz w:val="20"/>
                <w:szCs w:val="20"/>
                <w:color w:val="auto"/>
              </w:rPr>
            </w:pPr>
            <w:r>
              <w:rPr>
                <w:rFonts w:ascii="Arial" w:cs="Arial" w:eastAsia="Arial" w:hAnsi="Arial"/>
                <w:sz w:val="18"/>
                <w:szCs w:val="18"/>
                <w:color w:val="auto"/>
                <w:w w:val="92"/>
              </w:rPr>
              <w:t>Period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Securitizations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Receivables</w:t>
            </w:r>
          </w:p>
        </w:tc>
      </w:tr>
      <w:tr>
        <w:trPr>
          <w:trHeight w:val="209"/>
        </w:trPr>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 in thousands</w:t>
            </w: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150"/>
              <w:spacing w:after="0"/>
              <w:rPr>
                <w:sz w:val="20"/>
                <w:szCs w:val="20"/>
                <w:color w:val="auto"/>
              </w:rPr>
            </w:pPr>
            <w:r>
              <w:rPr>
                <w:rFonts w:ascii="Arial" w:cs="Arial" w:eastAsia="Arial" w:hAnsi="Arial"/>
                <w:sz w:val="18"/>
                <w:szCs w:val="18"/>
                <w:color w:val="auto"/>
                <w:w w:val="89"/>
              </w:rPr>
              <w:t>2011</w:t>
            </w:r>
          </w:p>
        </w:tc>
        <w:tc>
          <w:tcPr>
            <w:tcW w:w="214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1040" w:type="dxa"/>
            <w:vAlign w:val="bottom"/>
          </w:tcPr>
          <w:p>
            <w:pPr>
              <w:jc w:val="center"/>
              <w:ind w:left="150"/>
              <w:spacing w:after="0"/>
              <w:rPr>
                <w:sz w:val="20"/>
                <w:szCs w:val="20"/>
                <w:color w:val="auto"/>
              </w:rPr>
            </w:pPr>
            <w:r>
              <w:rPr>
                <w:rFonts w:ascii="Arial" w:cs="Arial" w:eastAsia="Arial" w:hAnsi="Arial"/>
                <w:sz w:val="18"/>
                <w:szCs w:val="18"/>
                <w:color w:val="auto"/>
                <w:w w:val="89"/>
              </w:rPr>
              <w:t>2012</w:t>
            </w:r>
          </w:p>
        </w:tc>
        <w:tc>
          <w:tcPr>
            <w:tcW w:w="21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603,500</w:t>
            </w:r>
          </w:p>
        </w:tc>
      </w:tr>
      <w:tr>
        <w:trPr>
          <w:trHeight w:val="216"/>
        </w:trPr>
        <w:tc>
          <w:tcPr>
            <w:tcW w:w="1040" w:type="dxa"/>
            <w:vAlign w:val="bottom"/>
            <w:shd w:val="clear" w:color="auto" w:fill="EEEEEE"/>
          </w:tcPr>
          <w:p>
            <w:pPr>
              <w:jc w:val="center"/>
              <w:ind w:left="150"/>
              <w:spacing w:after="0"/>
              <w:rPr>
                <w:sz w:val="20"/>
                <w:szCs w:val="20"/>
                <w:color w:val="auto"/>
              </w:rPr>
            </w:pPr>
            <w:r>
              <w:rPr>
                <w:rFonts w:ascii="Arial" w:cs="Arial" w:eastAsia="Arial" w:hAnsi="Arial"/>
                <w:sz w:val="18"/>
                <w:szCs w:val="18"/>
                <w:color w:val="auto"/>
                <w:w w:val="89"/>
              </w:rPr>
              <w:t>2013</w:t>
            </w:r>
          </w:p>
        </w:tc>
        <w:tc>
          <w:tcPr>
            <w:tcW w:w="214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1040" w:type="dxa"/>
            <w:vAlign w:val="bottom"/>
          </w:tcPr>
          <w:p>
            <w:pPr>
              <w:jc w:val="center"/>
              <w:ind w:left="150"/>
              <w:spacing w:after="0"/>
              <w:rPr>
                <w:sz w:val="20"/>
                <w:szCs w:val="20"/>
                <w:color w:val="auto"/>
              </w:rPr>
            </w:pPr>
            <w:r>
              <w:rPr>
                <w:rFonts w:ascii="Arial" w:cs="Arial" w:eastAsia="Arial" w:hAnsi="Arial"/>
                <w:sz w:val="18"/>
                <w:szCs w:val="18"/>
                <w:color w:val="auto"/>
                <w:w w:val="89"/>
              </w:rPr>
              <w:t>2014</w:t>
            </w:r>
          </w:p>
        </w:tc>
        <w:tc>
          <w:tcPr>
            <w:tcW w:w="21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923,000</w:t>
            </w:r>
          </w:p>
        </w:tc>
      </w:tr>
      <w:tr>
        <w:trPr>
          <w:trHeight w:val="216"/>
        </w:trPr>
        <w:tc>
          <w:tcPr>
            <w:tcW w:w="1040" w:type="dxa"/>
            <w:vAlign w:val="bottom"/>
            <w:shd w:val="clear" w:color="auto" w:fill="EEEEEE"/>
          </w:tcPr>
          <w:p>
            <w:pPr>
              <w:jc w:val="center"/>
              <w:ind w:left="150"/>
              <w:spacing w:after="0"/>
              <w:rPr>
                <w:sz w:val="20"/>
                <w:szCs w:val="20"/>
                <w:color w:val="auto"/>
              </w:rPr>
            </w:pPr>
            <w:r>
              <w:rPr>
                <w:rFonts w:ascii="Arial" w:cs="Arial" w:eastAsia="Arial" w:hAnsi="Arial"/>
                <w:sz w:val="18"/>
                <w:szCs w:val="18"/>
                <w:color w:val="auto"/>
                <w:w w:val="89"/>
              </w:rPr>
              <w:t>2015</w:t>
            </w:r>
          </w:p>
        </w:tc>
        <w:tc>
          <w:tcPr>
            <w:tcW w:w="214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795,000</w:t>
            </w:r>
          </w:p>
        </w:tc>
      </w:tr>
      <w:tr>
        <w:trPr>
          <w:trHeight w:val="216"/>
        </w:trPr>
        <w:tc>
          <w:tcPr>
            <w:tcW w:w="1040" w:type="dxa"/>
            <w:vAlign w:val="bottom"/>
          </w:tcPr>
          <w:p>
            <w:pPr>
              <w:jc w:val="center"/>
              <w:ind w:left="150"/>
              <w:spacing w:after="0"/>
              <w:rPr>
                <w:sz w:val="20"/>
                <w:szCs w:val="20"/>
                <w:color w:val="auto"/>
              </w:rPr>
            </w:pPr>
            <w:r>
              <w:rPr>
                <w:rFonts w:ascii="Arial" w:cs="Arial" w:eastAsia="Arial" w:hAnsi="Arial"/>
                <w:sz w:val="18"/>
                <w:szCs w:val="18"/>
                <w:color w:val="auto"/>
                <w:w w:val="89"/>
              </w:rPr>
              <w:t>2016</w:t>
            </w:r>
          </w:p>
        </w:tc>
        <w:tc>
          <w:tcPr>
            <w:tcW w:w="21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1,214,997</w:t>
            </w:r>
          </w:p>
        </w:tc>
      </w:tr>
      <w:tr>
        <w:trPr>
          <w:trHeight w:val="216"/>
        </w:trPr>
        <w:tc>
          <w:tcPr>
            <w:tcW w:w="1040" w:type="dxa"/>
            <w:vAlign w:val="bottom"/>
            <w:shd w:val="clear" w:color="auto" w:fill="EEEEEE"/>
          </w:tcPr>
          <w:p>
            <w:pPr>
              <w:jc w:val="center"/>
              <w:ind w:left="150"/>
              <w:spacing w:after="0"/>
              <w:rPr>
                <w:sz w:val="20"/>
                <w:szCs w:val="20"/>
                <w:color w:val="auto"/>
              </w:rPr>
            </w:pPr>
            <w:r>
              <w:rPr>
                <w:rFonts w:ascii="Arial" w:cs="Arial" w:eastAsia="Arial" w:hAnsi="Arial"/>
                <w:sz w:val="18"/>
                <w:szCs w:val="18"/>
                <w:color w:val="auto"/>
                <w:w w:val="89"/>
              </w:rPr>
              <w:t>2017</w:t>
            </w:r>
          </w:p>
        </w:tc>
        <w:tc>
          <w:tcPr>
            <w:tcW w:w="214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870,000</w:t>
            </w:r>
          </w:p>
        </w:tc>
      </w:tr>
      <w:tr>
        <w:trPr>
          <w:trHeight w:val="216"/>
        </w:trPr>
        <w:tc>
          <w:tcPr>
            <w:tcW w:w="1040" w:type="dxa"/>
            <w:vAlign w:val="bottom"/>
          </w:tcPr>
          <w:p>
            <w:pPr>
              <w:jc w:val="center"/>
              <w:ind w:left="150"/>
              <w:spacing w:after="0"/>
              <w:rPr>
                <w:sz w:val="20"/>
                <w:szCs w:val="20"/>
                <w:color w:val="auto"/>
              </w:rPr>
            </w:pPr>
            <w:r>
              <w:rPr>
                <w:rFonts w:ascii="Arial" w:cs="Arial" w:eastAsia="Arial" w:hAnsi="Arial"/>
                <w:sz w:val="18"/>
                <w:szCs w:val="18"/>
                <w:color w:val="auto"/>
                <w:w w:val="89"/>
              </w:rPr>
              <w:t>2018</w:t>
            </w:r>
          </w:p>
        </w:tc>
        <w:tc>
          <w:tcPr>
            <w:tcW w:w="21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883,452</w:t>
            </w:r>
          </w:p>
        </w:tc>
      </w:tr>
      <w:tr>
        <w:trPr>
          <w:trHeight w:val="216"/>
        </w:trPr>
        <w:tc>
          <w:tcPr>
            <w:tcW w:w="1040" w:type="dxa"/>
            <w:vAlign w:val="bottom"/>
            <w:shd w:val="clear" w:color="auto" w:fill="EEEEEE"/>
          </w:tcPr>
          <w:p>
            <w:pPr>
              <w:jc w:val="center"/>
              <w:ind w:left="150"/>
              <w:spacing w:after="0"/>
              <w:rPr>
                <w:sz w:val="20"/>
                <w:szCs w:val="20"/>
                <w:color w:val="auto"/>
              </w:rPr>
            </w:pPr>
            <w:r>
              <w:rPr>
                <w:rFonts w:ascii="Arial" w:cs="Arial" w:eastAsia="Arial" w:hAnsi="Arial"/>
                <w:sz w:val="18"/>
                <w:szCs w:val="18"/>
                <w:color w:val="auto"/>
                <w:w w:val="89"/>
              </w:rPr>
              <w:t>2019</w:t>
            </w:r>
          </w:p>
        </w:tc>
        <w:tc>
          <w:tcPr>
            <w:tcW w:w="2140" w:type="dxa"/>
            <w:vAlign w:val="bottom"/>
            <w:gridSpan w:val="3"/>
            <w:shd w:val="clear" w:color="auto" w:fill="EEEEEE"/>
          </w:tcPr>
          <w:p>
            <w:pPr>
              <w:jc w:val="center"/>
              <w:ind w:left="350"/>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1,014,124</w:t>
            </w:r>
          </w:p>
        </w:tc>
      </w:tr>
      <w:tr>
        <w:trPr>
          <w:trHeight w:val="230"/>
        </w:trPr>
        <w:tc>
          <w:tcPr>
            <w:tcW w:w="1040" w:type="dxa"/>
            <w:vAlign w:val="bottom"/>
          </w:tcPr>
          <w:p>
            <w:pPr>
              <w:jc w:val="center"/>
              <w:ind w:left="150"/>
              <w:spacing w:after="0"/>
              <w:rPr>
                <w:sz w:val="20"/>
                <w:szCs w:val="20"/>
                <w:color w:val="auto"/>
              </w:rPr>
            </w:pPr>
            <w:r>
              <w:rPr>
                <w:rFonts w:ascii="Arial" w:cs="Arial" w:eastAsia="Arial" w:hAnsi="Arial"/>
                <w:sz w:val="18"/>
                <w:szCs w:val="18"/>
                <w:color w:val="auto"/>
                <w:w w:val="89"/>
              </w:rPr>
              <w:t>2020</w:t>
            </w:r>
          </w:p>
        </w:tc>
        <w:tc>
          <w:tcPr>
            <w:tcW w:w="21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741,867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jc w:val="both"/>
        <w:ind w:firstLine="648"/>
        <w:spacing w:after="0" w:line="273" w:lineRule="auto"/>
        <w:rPr>
          <w:sz w:val="20"/>
          <w:szCs w:val="20"/>
          <w:color w:val="auto"/>
        </w:rPr>
      </w:pPr>
      <w:r>
        <w:rPr>
          <w:rFonts w:ascii="Arial" w:cs="Arial" w:eastAsia="Arial" w:hAnsi="Arial"/>
          <w:sz w:val="17"/>
          <w:szCs w:val="17"/>
          <w:color w:val="auto"/>
        </w:rPr>
        <w:t>From time to time we have also completed financings of our residual interests in other securitizations that we and our affiliates previously sponsored. 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As of December 31, 2020, the remaining notes had a principal balance of $25.4 million.</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Generally, prior to a securitization transaction we fund our automobile contract acquisitions primarily with proceeds from warehouse credit facilities. Our current short-term funding capacity is $300 million, comprising three credit facilities. The first $100 million credit facility was established in May 2012. This facility was most recently renewed in December 2020, extending the revolving period to December 2022, and adding an amortization period through December 2023. In April 2015, we entered into a second $100 million facility. This facility was renewed in April 2017 and again in February 2019, extending the revolving period to February 2021, followed by an amortization period to February 2023. In February 2021, we repaid this facility in full at its maturity date and elected not to renew it. In November 2015, we entered into another $100 million facility. This facility was renewed in November 2017 and again in December 2019, extending the revolving period to December 2021, followed by an amortization period to December 2023.</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2020, we were in compliance with all such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automobile financing business is highly competitive. We compete with several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sales,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jc w:val="both"/>
        <w:ind w:firstLine="648"/>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supervision and examination by the Consumer Financial Protection Bureau (the “CFPB”), a federal agency created by the Dodd-Frank Wall Street Reform and Consumer Protection Act (the “Dodd-Frank Act”).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Human Capital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rely on our employees for everything we do. To make our business work, we seek to supply them with the tools and knowledge they need to succeed. In addition to new hire training, we provide mentor programs and management workshops.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Workforce Allocation and Diversity </w:t>
      </w:r>
      <w:r>
        <w:rPr>
          <w:rFonts w:ascii="Arial" w:cs="Arial" w:eastAsia="Arial" w:hAnsi="Arial"/>
          <w:sz w:val="18"/>
          <w:szCs w:val="18"/>
          <w:color w:val="auto"/>
        </w:rPr>
        <w:t>We had 787 employees as of December 31, 2020 (excluding 22 on leaves of absence). Our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 was 67% femail, and 68% self-identified as ethnically diverse (defined as all EEOC classifications other than white). Broken out by function, our human capital was allocated thus: 10 were senior management personnel; 460 were servicing personnel; 157 were automobile contract origination personnel; 96 were sales personnel and program development (59 of whom were sales representatives); 64 were various administrative personnel including human resources, legal, accounting and systems.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Our compensation policy is to be market competitive. We offer a benefits and wellness package that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coverage, defined contribution retirement benefits, and other components.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Employee Engagement </w:t>
      </w:r>
      <w:r>
        <w:rPr>
          <w:rFonts w:ascii="Arial" w:cs="Arial" w:eastAsia="Arial" w:hAnsi="Arial"/>
          <w:sz w:val="16"/>
          <w:szCs w:val="16"/>
          <w:color w:val="auto"/>
        </w:rPr>
        <w:t>Our means of evaluating our human capital resources include, on an individual basis, annual performance reviews, and, on</w:t>
      </w:r>
      <w:r>
        <w:rPr>
          <w:rFonts w:ascii="Arial" w:cs="Arial" w:eastAsia="Arial" w:hAnsi="Arial"/>
          <w:sz w:val="16"/>
          <w:szCs w:val="16"/>
          <w:i w:val="1"/>
          <w:iCs w:val="1"/>
          <w:color w:val="auto"/>
        </w:rPr>
        <w:t xml:space="preserve"> </w:t>
      </w:r>
      <w:r>
        <w:rPr>
          <w:rFonts w:ascii="Arial" w:cs="Arial" w:eastAsia="Arial" w:hAnsi="Arial"/>
          <w:sz w:val="16"/>
          <w:szCs w:val="16"/>
          <w:color w:val="auto"/>
        </w:rPr>
        <w:t>an aggregate basis, a confidential biennial employee climate survey. The survey results are reviewed by senior management and used to assist in reviewing our human capital strategies, programs, and practices. Other metrics used in human capital management include average employee tenure and annual turnover rate. We believe that our relations with our employees are good. We are not a party to any collective bargaining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4"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jc w:val="both"/>
        <w:ind w:firstLine="648"/>
        <w:spacing w:after="0" w:line="275"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78"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earn quarterly profits during 2021;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in each of the nine fiscal years ended December 31, 2020, although not in every quarter within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 requires that warehouse credit facilities be available in order to purchase significant volumes of receivables.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$200 million, comprising two credit facilities, each with a maximum credit limit of $100 million. Both warehouse credit facilities have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9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if the market conditions for asset-backed securitizations should reverse, we could expect a material adverse effect on our results of operations.</w:t>
      </w:r>
    </w:p>
    <w:p>
      <w:pPr>
        <w:spacing w:after="0" w:line="17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57" w:lineRule="exact"/>
        <w:rPr>
          <w:sz w:val="20"/>
          <w:szCs w:val="20"/>
          <w:color w:val="auto"/>
        </w:rPr>
      </w:pPr>
    </w:p>
    <w:p>
      <w:pPr>
        <w:ind w:left="1300" w:right="440" w:hanging="644"/>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color w:val="auto"/>
        </w:rPr>
      </w:pPr>
    </w:p>
    <w:p>
      <w:pPr>
        <w:ind w:left="1300" w:right="180" w:hanging="644"/>
        <w:spacing w:after="0" w:line="26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Should significant increases in losses reoccur, such recurrence might have material adverse effects on our future results of operations, financial condition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securitizations from 1994 through 2008, we utilized credit enhancement in the form of one or more financial guaranty insurance policies issued by financial guaranty insurance companies. Each of these policies unconditionally and irrevocably guaranteed timely interest and ultimate principal payments on the senior classes of the securities issued in those securitizations. These guarantees enabled those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economical for us in the future. The 38 securitization transactions we executed from 2010 through 2020 did not utilize financial guaranty insurance policies. Prior to the second quarter of 2014, none of the securities issued in those transactions received the highest possible credit rating from any rating agency. As we pursue future securitizations, we may not be able to obtain:</w:t>
      </w:r>
    </w:p>
    <w:p>
      <w:pPr>
        <w:spacing w:after="0" w:line="17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spread between the interest rates payable on our securitization trust debt and the rates payable on risk-free investments has varied. As of the date of this report, it is the consensus of market observers that interest rates on risk-free debt will rise within the next year. If interest rates on risk-free debt do increase, or if our spread above risk-free rates should increase, or both, we would expect increased interest expense, which would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dependent upon establishing and maintaining relationships with a large number of unaffiliated automobile dealers to supply us with automobile contracts. During the years ended December 31, 2020 and 2019, no single dealer accounted for as much as 1%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our receivables originated prior to January 2018, we maintain an allowance for credit losses on automobile contracts held on our balance sheet, which reflects our estimates of probable credit losses that can be reasonably estimated.. If the allowance is inadequate, then we would recognize the losses in excess of the allowance as an expense and our results of operations could be adversely affected.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senior management team averages over 20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jc w:val="both"/>
        <w:ind w:firstLine="648"/>
        <w:spacing w:after="0" w:line="269" w:lineRule="auto"/>
        <w:rPr>
          <w:sz w:val="20"/>
          <w:szCs w:val="20"/>
          <w:color w:val="auto"/>
        </w:rPr>
      </w:pPr>
      <w:r>
        <w:rPr>
          <w:rFonts w:ascii="Arial" w:cs="Arial" w:eastAsia="Arial" w:hAnsi="Arial"/>
          <w:sz w:val="17"/>
          <w:szCs w:val="17"/>
          <w:color w:val="auto"/>
        </w:rPr>
        <w:t>Our industry is also at times investigated by regulators and offices of state attorneys general, which could lead to enforcement actions, fines and penalties, or the assertion of private claims and law suits against us. The CFPB and the Federal Trade Commission (“FTC”) have the authority to investigate consumer complaints against us, to conduct inquiries at their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Our industry has also been under investigation by the United States Department of Justice, which has conducted and may continue to conduct an inquiry that appears to be focused on securitization practices. In that inquiry, we received a subpoena in January 2015, which required that we produce specified documents. We were subsequently advised by the Department of Justice that we have provided such information as is required, and that no enforcement action against us is recommended. 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 and Regulations May Have an Adverse Effect on Our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Dodd-Frank Act, adopted in 2010, made numerous changes to the laws applicable to the consumer financial services industry. Among other things, the Dodd-Frank Act created the CFPB, which is authorized to promulgate and enforce consumer protection regulations relating to financial products and mandated that other federal agencies adopt rules implementing risk retention requirements in securitizations.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also subject to regulation by each state in which we operate, and such states’ laws and regulations, and the interpretations thereof, also change from time to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Compliance with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 Retention Rules May Limit Our Liquidity and Increase Our Capital Requirements.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Securitizations of automobile receivables after December 2016 are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in our securitization structures may require more capital of us, or may release less cash to us, than might be the case in the absence of such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and will continue to have a substantial amount of indebtedness. At December 31, 2020, we had approximately $1,969.4 million of debt outstanding. Such debt consisted primarily of $1,803.7 million of securitization trust debt, and also included $119.0 million of warehouse lines of credit, $25.4 million of residual interest financing debt and $21.3 million in subordinated renewable notes. We are also currently offering the subordinated renewable notes to the public on a continuous basis, and such notes have maturities that range from three months to 10 years.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1300" w:right="56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4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1300" w:right="54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paying dividends or other distributions to our shareholders or redeeming, repurchasing or retiring our capital stock or subordinated obligations;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Fair Value Accounting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Receivables we’ve acquired since January 1, 2018 are accounted for based on the fair value method of accounting.</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18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Recorded Value for Some or All of the Receivables Measured at Fair Value.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spacing w:after="0" w:line="184"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4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we might be required to adjust the recorded value of our receivables. A downward readjustment in recorded value would correspondingly reduce our income and book value.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Coronavirus Outbreak Could Have Adverse Effects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COVID-19 virus has spread throughout the world, including the United States, and has been declared a public health emergency. Various governments have also made emergency declarations related to the COVID-19 virus (alternately, “the pandemic”) and have attempted to slow community spread of the virus by providing social distancing guidelines, including issuing orders to suspend involuntary repossession activities, issuing stay-at-home or quarantine orders and mandating the closure of certain non-essential businesses. The pandemic has had adverse effects on the economy of the United States (which include a significant increase in unemployment) and the global economy in general. The long-term effects of the social, economic and financial disruptions caused by the pandemic are unknown. The United States economy contracted in the first quarter of 2020, and entered into a recession in the second quarter with a virtually unprecedented further sharp decline in GDP. Economic growth in the remainder of 2020 was insufficient to restore GDP to the level achieved prior to the outbreak, and there can be no assurance as to the future course of the economy in general or of the market for motor vehicles in particular. Caution on the part of vehicle purchasers, and possibly other factors, have led to a reduction in purchases of motor vehicles. Such reduction, combined with caution on our part in extension of credit, has resulted in a significant decline in its origination of automobile contracts, beginning in April of 2020, and continuing through the present. The extent to which obligors may be adversely affected by the outbreak, by loss of employment, and by related efforts of governments to slow the spread of the COVID-19 virus throughout the nation and world cannot be predicted. These occurrences could have a material adverse effect on the ability of obligors to make timely payments to us.</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Stimulus payments and enhanced unemployment benefits made available to much of the population may have ameliorated in part the adverse effects on us of the pandemic. Although additional payments and additional enhanced benefits may be authorized, there can be no assurance as to their continuation. Obligors’ use of the stimulus payments, and termination of such enhanced benefits, may have an adverse effect on our receipt of payments from obligors in the future, which could have a material adverse effect on our financial condition and results of operations.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Additionally, the continued spread of the COVID-19 virus may result in staffing problems in various industries and with businesses and third-party suppliers as portions of the workforce across the industry are unable to work effectively as a result of the pandemic, including because of illness, facility closures, ineffective remote work arrangements or technology failures or limitations. Our ability to service automobile contracts could be diminished by regulatory action related to the pandemic and by disruptions in the economy and in financial markets.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Finally, and depending on the extent to which the pandemic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Ohio, Texas, North Carolina,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Social, Economic and Other Factors on Losses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government stimulus programs and consumer protection/payment relief efforts implemented in connection with the COVID-19 virus. Social factors include changes in consumer confidence levels, consumer attitudes toward bankruptcy and the repayment of indebtedness and consumer perceptions of political events and shifts, which may be affected by the pandemic.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2020, our directors and executive officers collectively owned 5.6 million shares of our common stock, or approximately 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9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exogenous events, such as a widespread plague;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mandates imposed in reaction to such events, such as prohibitions of otherwise permissible activity;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principal executive offices are located in Las Vegas, Nevada, where we currently lease approximately 45,000 square feet of general office space from an unaffiliated lessor. The annual base rent is approximately $1.7 million, increasing to approximately $1.8 million through 2023.</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operating headquarters are located in Irvine, California, where we currently lease approximately 129,000 square feet of general office space from an unaffiliated lessor. The annual base rent is approximately $4.3 million, increasing to approximately $4.5 million through 2022.</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remaining three regional servicing centers occupy a total of approximately 59,000 square feet of leased space in Chesapeake, Virginia; Maitland, Florida; and Lombard, Illinois. The termination dates of such leases range from 2021 to 2025. The annual base rent for these facilities total approximately $1.4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Consumer Litigation</w:t>
      </w:r>
      <w:r>
        <w:rPr>
          <w:rFonts w:ascii="Arial" w:cs="Arial" w:eastAsia="Arial" w:hAnsi="Arial"/>
          <w:sz w:val="18"/>
          <w:szCs w:val="18"/>
          <w:color w:val="auto"/>
        </w:rPr>
        <w:t>. 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Wage and Hour Claim</w:t>
      </w:r>
      <w:r>
        <w:rPr>
          <w:rFonts w:ascii="Arial" w:cs="Arial" w:eastAsia="Arial" w:hAnsi="Arial"/>
          <w:sz w:val="18"/>
          <w:szCs w:val="18"/>
          <w:color w:val="auto"/>
        </w:rPr>
        <w:t>. 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2020,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December 31, 2020 is immaterial, and that the range of reasonably possible losses for the legal proceedings and contingencies we face, including those described or identified above, as of December 31, 2020 does not exceed $3 million.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Charles E. Bradley, Jr</w:t>
      </w:r>
      <w:r>
        <w:rPr>
          <w:rFonts w:ascii="Arial" w:cs="Arial" w:eastAsia="Arial" w:hAnsi="Arial"/>
          <w:sz w:val="18"/>
          <w:szCs w:val="18"/>
          <w:color w:val="auto"/>
        </w:rPr>
        <w:t>., 61, has been our President and a director since our formation in March 1991, and was elected Chairman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July 2001. In January 1992, Mr. Bradley was appointed Chief Executive Officer.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Jeffrey P. Fritz, </w:t>
      </w:r>
      <w:r>
        <w:rPr>
          <w:rFonts w:ascii="Arial" w:cs="Arial" w:eastAsia="Arial" w:hAnsi="Arial"/>
          <w:sz w:val="18"/>
          <w:szCs w:val="18"/>
          <w:color w:val="auto"/>
        </w:rPr>
        <w:t>61, has been Executive Vice President and Chief Financial Officer since March 2014. Prior to that, he was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Financial Officer from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Michael T. Lavin, </w:t>
      </w:r>
      <w:r>
        <w:rPr>
          <w:rFonts w:ascii="Arial" w:cs="Arial" w:eastAsia="Arial" w:hAnsi="Arial"/>
          <w:sz w:val="18"/>
          <w:szCs w:val="18"/>
          <w:color w:val="auto"/>
        </w:rPr>
        <w:t>48, has been Executive Vice President and Chief Operating Officer since February 2019, and our Chief Legal Officer from</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2014. Prior to that, he was our Senior Vice President – General 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Mark A. Creatura, </w:t>
      </w:r>
      <w:r>
        <w:rPr>
          <w:rFonts w:ascii="Arial" w:cs="Arial" w:eastAsia="Arial" w:hAnsi="Arial"/>
          <w:sz w:val="16"/>
          <w:szCs w:val="16"/>
          <w:color w:val="auto"/>
        </w:rPr>
        <w:t>61, has been Senior Vice President – General Counsel since October 1996. From October 1993 through October 1996, he was</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Christopher Terry, </w:t>
      </w:r>
      <w:r>
        <w:rPr>
          <w:rFonts w:ascii="Arial" w:cs="Arial" w:eastAsia="Arial" w:hAnsi="Arial"/>
          <w:sz w:val="17"/>
          <w:szCs w:val="17"/>
          <w:color w:val="auto"/>
        </w:rPr>
        <w:t>53, has been Senior Vice President of Risk Management since May 2017. Prior to that he was our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58, has been Senior Vice President of Sales and Originations since June 2020. Prior to that she was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from April 2007 to June 2020. Prior to that, she held the position of Vice President of Originations since August 1998. She joined the Company in June 1991 as an Operations Specialist, and held a series of successively more responsible positions. Previously, Ms. Robinson held an administrative position at Greco &amp; Associates.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54</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from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John P. Harton</w:t>
      </w:r>
      <w:r>
        <w:rPr>
          <w:rFonts w:ascii="Arial" w:cs="Arial" w:eastAsia="Arial" w:hAnsi="Arial"/>
          <w:sz w:val="18"/>
          <w:szCs w:val="18"/>
          <w:color w:val="auto"/>
        </w:rPr>
        <w:t>, 56, has been Senior Vice President – Product Devlopment since June 2020. Prior to that he was Senior Vice President – Sales</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2014 to June 2020. Prior to that, he held the position of Vice President – Marketing since 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Danny Bharwani</w:t>
      </w:r>
      <w:r>
        <w:rPr>
          <w:rFonts w:ascii="Arial" w:cs="Arial" w:eastAsia="Arial" w:hAnsi="Arial"/>
          <w:sz w:val="18"/>
          <w:szCs w:val="18"/>
          <w:color w:val="auto"/>
        </w:rPr>
        <w:t>, 53, has been Senior Vice President – Finance since April 2016. Previously, he was our Vice President – Finance from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2002. He joined us as Assistant Controller in August 1997. Mr. Bharwani was previously employed as Assistant Controller at The Todd-AO Corporation, from 1989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164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High</w:t>
            </w:r>
          </w:p>
        </w:tc>
        <w:tc>
          <w:tcPr>
            <w:tcW w:w="1240" w:type="dxa"/>
            <w:vAlign w:val="bottom"/>
          </w:tcPr>
          <w:p>
            <w:pPr>
              <w:ind w:left="460"/>
              <w:spacing w:after="0"/>
              <w:rPr>
                <w:sz w:val="20"/>
                <w:szCs w:val="20"/>
                <w:color w:val="auto"/>
              </w:rPr>
            </w:pPr>
            <w:r>
              <w:rPr>
                <w:rFonts w:ascii="Arial" w:cs="Arial" w:eastAsia="Arial" w:hAnsi="Arial"/>
                <w:sz w:val="18"/>
                <w:szCs w:val="18"/>
                <w:b w:val="1"/>
                <w:bCs w:val="1"/>
                <w:color w:val="auto"/>
              </w:rPr>
              <w:t>Low</w:t>
            </w:r>
          </w:p>
        </w:tc>
      </w:tr>
      <w:tr>
        <w:trPr>
          <w:trHeight w:val="209"/>
        </w:trPr>
        <w:tc>
          <w:tcPr>
            <w:tcW w:w="5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 March 31, 2019</w:t>
            </w:r>
          </w:p>
        </w:tc>
        <w:tc>
          <w:tcPr>
            <w:tcW w:w="12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1"/>
              </w:rPr>
              <w:t>4.65</w:t>
            </w: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ind w:left="460"/>
              <w:spacing w:after="0"/>
              <w:rPr>
                <w:sz w:val="20"/>
                <w:szCs w:val="20"/>
                <w:color w:val="auto"/>
              </w:rPr>
            </w:pPr>
            <w:r>
              <w:rPr>
                <w:rFonts w:ascii="Arial" w:cs="Arial" w:eastAsia="Arial" w:hAnsi="Arial"/>
                <w:sz w:val="18"/>
                <w:szCs w:val="18"/>
                <w:color w:val="auto"/>
              </w:rPr>
              <w:t>3.01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April 1 - June 30, 2019</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3.97</w:t>
            </w:r>
          </w:p>
        </w:tc>
        <w:tc>
          <w:tcPr>
            <w:tcW w:w="22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3.25</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2019</w:t>
            </w: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3.82</w:t>
            </w: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3.29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October 1 - December 31, 2019</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3.60</w:t>
            </w:r>
          </w:p>
        </w:tc>
        <w:tc>
          <w:tcPr>
            <w:tcW w:w="22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3.06</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2020</w:t>
            </w: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4.30</w:t>
            </w: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April 1 - June 30, 2020</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3.31</w:t>
            </w:r>
          </w:p>
        </w:tc>
        <w:tc>
          <w:tcPr>
            <w:tcW w:w="22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1.10</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2020</w:t>
            </w: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3.73</w:t>
            </w: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2.77</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October 1 - December 31, 2020</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5.12</w:t>
            </w:r>
          </w:p>
        </w:tc>
        <w:tc>
          <w:tcPr>
            <w:tcW w:w="220" w:type="dxa"/>
            <w:vAlign w:val="bottom"/>
          </w:tcPr>
          <w:p>
            <w:pPr>
              <w:spacing w:after="0"/>
              <w:rPr>
                <w:sz w:val="20"/>
                <w:szCs w:val="20"/>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3.22</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January 1, 2021, there were 27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2020:</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11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23"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securities to be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remaining</w:t>
            </w:r>
          </w:p>
        </w:tc>
      </w:tr>
      <w:tr>
        <w:trPr>
          <w:trHeight w:val="216"/>
        </w:trPr>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 upon exercise</w:t>
            </w:r>
          </w:p>
        </w:tc>
        <w:tc>
          <w:tcPr>
            <w:tcW w:w="1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Weighted 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available for future</w:t>
            </w:r>
          </w:p>
        </w:tc>
      </w:tr>
      <w:tr>
        <w:trPr>
          <w:trHeight w:val="216"/>
        </w:trPr>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outstanding</w:t>
            </w:r>
          </w:p>
        </w:tc>
        <w:tc>
          <w:tcPr>
            <w:tcW w:w="10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exercise price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issuance under</w:t>
            </w:r>
          </w:p>
        </w:tc>
      </w:tr>
      <w:tr>
        <w:trPr>
          <w:trHeight w:val="216"/>
        </w:trPr>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warrants</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8"/>
              </w:rPr>
              <w:t>outstanding options,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r>
      <w:tr>
        <w:trPr>
          <w:trHeight w:val="234"/>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20" w:type="dxa"/>
            <w:vAlign w:val="bottom"/>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warrants and rights</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compensation plans</w:t>
            </w:r>
          </w:p>
        </w:tc>
      </w:tr>
      <w:tr>
        <w:trPr>
          <w:trHeight w:val="425"/>
        </w:trPr>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15,977,099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1580" w:type="dxa"/>
            <w:vAlign w:val="bottom"/>
          </w:tcPr>
          <w:p>
            <w:pPr>
              <w:jc w:val="right"/>
              <w:spacing w:after="0"/>
              <w:rPr>
                <w:sz w:val="20"/>
                <w:szCs w:val="20"/>
                <w:color w:val="auto"/>
              </w:rPr>
            </w:pPr>
            <w:r>
              <w:rPr>
                <w:rFonts w:ascii="Arial" w:cs="Arial" w:eastAsia="Arial" w:hAnsi="Arial"/>
                <w:sz w:val="18"/>
                <w:szCs w:val="18"/>
                <w:color w:val="auto"/>
              </w:rPr>
              <w:t>270,081</w:t>
            </w:r>
          </w:p>
        </w:tc>
      </w:tr>
      <w:tr>
        <w:trPr>
          <w:trHeight w:val="230"/>
        </w:trPr>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453"/>
        </w:trPr>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15,977,099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1580" w:type="dxa"/>
            <w:vAlign w:val="bottom"/>
          </w:tcPr>
          <w:p>
            <w:pPr>
              <w:jc w:val="right"/>
              <w:spacing w:after="0"/>
              <w:rPr>
                <w:sz w:val="20"/>
                <w:szCs w:val="20"/>
                <w:color w:val="auto"/>
              </w:rPr>
            </w:pPr>
            <w:r>
              <w:rPr>
                <w:rFonts w:ascii="Arial" w:cs="Arial" w:eastAsia="Arial" w:hAnsi="Arial"/>
                <w:sz w:val="18"/>
                <w:szCs w:val="18"/>
                <w:color w:val="auto"/>
              </w:rPr>
              <w:t>270,081</w:t>
            </w:r>
          </w:p>
        </w:tc>
      </w:tr>
      <w:tr>
        <w:trPr>
          <w:trHeight w:val="20"/>
        </w:trPr>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-607695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-325120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7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700" w:type="dxa"/>
            <w:vAlign w:val="bottom"/>
            <w:gridSpan w:val="9"/>
          </w:tcPr>
          <w:p>
            <w:pPr>
              <w:jc w:val="right"/>
              <w:ind w:right="1640"/>
              <w:spacing w:after="0"/>
              <w:rPr>
                <w:sz w:val="20"/>
                <w:szCs w:val="20"/>
                <w:color w:val="auto"/>
              </w:rPr>
            </w:pPr>
            <w:r>
              <w:rPr>
                <w:rFonts w:ascii="Arial" w:cs="Arial" w:eastAsia="Arial" w:hAnsi="Arial"/>
                <w:sz w:val="18"/>
                <w:szCs w:val="18"/>
                <w:b w:val="1"/>
                <w:bCs w:val="1"/>
                <w:color w:val="auto"/>
                <w:w w:val="99"/>
              </w:rPr>
              <w:t>Issuer Purchases of Equity Securities in the Fourth Quarter</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Average Price Paid</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2860" w:type="dxa"/>
            <w:vAlign w:val="bottom"/>
          </w:tcPr>
          <w:p>
            <w:pPr>
              <w:ind w:left="1680"/>
              <w:spacing w:after="0"/>
              <w:rPr>
                <w:sz w:val="20"/>
                <w:szCs w:val="20"/>
                <w:color w:val="auto"/>
              </w:rPr>
            </w:pPr>
            <w:r>
              <w:rPr>
                <w:rFonts w:ascii="Arial" w:cs="Arial" w:eastAsia="Arial" w:hAnsi="Arial"/>
                <w:sz w:val="18"/>
                <w:szCs w:val="18"/>
                <w:b w:val="1"/>
                <w:bCs w:val="1"/>
                <w:color w:val="auto"/>
              </w:rPr>
              <w:t>Period(1)</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Purchased</w:t>
            </w:r>
          </w:p>
        </w:tc>
        <w:tc>
          <w:tcPr>
            <w:tcW w:w="26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per Share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Programs(2)</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October 2020</w:t>
            </w: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5,312,224</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November 2020</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5,312,224</w:t>
            </w:r>
          </w:p>
        </w:tc>
        <w:tc>
          <w:tcPr>
            <w:tcW w:w="0" w:type="dxa"/>
            <w:vAlign w:val="bottom"/>
          </w:tcPr>
          <w:p>
            <w:pPr>
              <w:spacing w:after="0"/>
              <w:rPr>
                <w:sz w:val="1"/>
                <w:szCs w:val="1"/>
                <w:color w:val="auto"/>
              </w:rPr>
            </w:pPr>
          </w:p>
        </w:tc>
      </w:tr>
      <w:tr>
        <w:trPr>
          <w:trHeight w:val="230"/>
        </w:trPr>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December 2020</w:t>
            </w:r>
          </w:p>
        </w:tc>
        <w:tc>
          <w:tcPr>
            <w:tcW w:w="31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60,770</w:t>
            </w:r>
          </w:p>
        </w:tc>
        <w:tc>
          <w:tcPr>
            <w:tcW w:w="2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4.08</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60,770</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5,064,154</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60,770</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4.08</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60,770</w:t>
            </w:r>
          </w:p>
        </w:tc>
        <w:tc>
          <w:tcPr>
            <w:tcW w:w="100" w:type="dxa"/>
            <w:vAlign w:val="bottom"/>
            <w:shd w:val="clear" w:color="auto" w:fill="EEEEEE"/>
          </w:tcPr>
          <w:p>
            <w:pPr>
              <w:spacing w:after="0"/>
              <w:rPr>
                <w:sz w:val="21"/>
                <w:szCs w:val="21"/>
                <w:color w:val="auto"/>
              </w:rPr>
            </w:pPr>
          </w:p>
        </w:tc>
        <w:tc>
          <w:tcPr>
            <w:tcW w:w="148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19"/>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340" w:hanging="319"/>
        <w:spacing w:after="0" w:line="253"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Through December 31, 2020, our board of directors had authorized the purchase of up to $74.5 million of our outstanding securities, which program was first announced in our annual report for the year 2002, filed on March 26, 2003. All purchases described in the table above were under the plan announced in March 2003, which has no fixed expiration date. As of December 31, 2020, we have purchased $64.5 million of our common stock representing 18,001,217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Income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(in thousands, except per share data)</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9"/>
          </w:tcPr>
          <w:p>
            <w:pPr>
              <w:spacing w:after="0"/>
              <w:rPr>
                <w:sz w:val="20"/>
                <w:szCs w:val="20"/>
                <w:color w:val="auto"/>
              </w:rPr>
            </w:pPr>
            <w:r>
              <w:rPr>
                <w:rFonts w:ascii="Arial" w:cs="Arial" w:eastAsia="Arial" w:hAnsi="Arial"/>
                <w:sz w:val="18"/>
                <w:szCs w:val="18"/>
                <w:b w:val="1"/>
                <w:bCs w:val="1"/>
                <w:color w:val="auto"/>
              </w:rPr>
              <w:t>As of and For the Year Ended December 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Income Data</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294,982</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337,096</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380,297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424,174</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408,996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Mark to finance receivables measured at fair value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(29,528)</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5,707</w:t>
            </w:r>
          </w:p>
        </w:tc>
        <w:tc>
          <w:tcPr>
            <w:tcW w:w="2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8,704</w:t>
            </w:r>
          </w:p>
        </w:tc>
        <w:tc>
          <w:tcPr>
            <w:tcW w:w="2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9,478</w:t>
            </w:r>
          </w:p>
        </w:tc>
        <w:tc>
          <w:tcPr>
            <w:tcW w:w="2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10,209</w:t>
            </w:r>
          </w:p>
        </w:tc>
        <w:tc>
          <w:tcPr>
            <w:tcW w:w="2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271,161</w:t>
            </w:r>
          </w:p>
        </w:tc>
        <w:tc>
          <w:tcPr>
            <w:tcW w:w="2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345,800</w:t>
            </w:r>
          </w:p>
        </w:tc>
        <w:tc>
          <w:tcPr>
            <w:tcW w:w="2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389,775</w:t>
            </w:r>
          </w:p>
        </w:tc>
        <w:tc>
          <w:tcPr>
            <w:tcW w:w="2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434,383</w:t>
            </w:r>
          </w:p>
        </w:tc>
        <w:tc>
          <w:tcPr>
            <w:tcW w:w="2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422,282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Employee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80,198</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80,877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79,318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72,967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65,549</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55,392</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59,460</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57,208</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50,287</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48,620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101,338</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110,528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101,466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92,345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79,941</w:t>
            </w:r>
          </w:p>
        </w:tc>
        <w:tc>
          <w:tcPr>
            <w:tcW w:w="0" w:type="dxa"/>
            <w:vAlign w:val="bottom"/>
          </w:tcPr>
          <w:p>
            <w:pPr>
              <w:spacing w:after="0"/>
              <w:rPr>
                <w:sz w:val="1"/>
                <w:szCs w:val="1"/>
                <w:color w:val="auto"/>
              </w:rPr>
            </w:pPr>
          </w:p>
        </w:tc>
      </w:tr>
      <w:tr>
        <w:trPr>
          <w:trHeight w:val="229"/>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14,113</w:t>
            </w:r>
          </w:p>
        </w:tc>
        <w:tc>
          <w:tcPr>
            <w:tcW w:w="2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85,773</w:t>
            </w:r>
          </w:p>
        </w:tc>
        <w:tc>
          <w:tcPr>
            <w:tcW w:w="2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133,080</w:t>
            </w:r>
          </w:p>
        </w:tc>
        <w:tc>
          <w:tcPr>
            <w:tcW w:w="2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186,713</w:t>
            </w:r>
          </w:p>
        </w:tc>
        <w:tc>
          <w:tcPr>
            <w:tcW w:w="2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178,511</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251,041</w:t>
            </w:r>
          </w:p>
        </w:tc>
        <w:tc>
          <w:tcPr>
            <w:tcW w:w="2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336,638</w:t>
            </w:r>
          </w:p>
        </w:tc>
        <w:tc>
          <w:tcPr>
            <w:tcW w:w="2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371,072</w:t>
            </w:r>
          </w:p>
        </w:tc>
        <w:tc>
          <w:tcPr>
            <w:tcW w:w="2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402,312</w:t>
            </w:r>
          </w:p>
        </w:tc>
        <w:tc>
          <w:tcPr>
            <w:tcW w:w="2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372,621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20,120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18,703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32,071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49,661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(1,557)</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3,756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3,841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28,306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20,361</w:t>
            </w:r>
          </w:p>
        </w:tc>
        <w:tc>
          <w:tcPr>
            <w:tcW w:w="0" w:type="dxa"/>
            <w:vAlign w:val="bottom"/>
          </w:tcPr>
          <w:p>
            <w:pPr>
              <w:spacing w:after="0"/>
              <w:rPr>
                <w:sz w:val="1"/>
                <w:szCs w:val="1"/>
                <w:color w:val="auto"/>
              </w:rPr>
            </w:pP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21,677</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5,406</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14,862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3,765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29,300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share-basic</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0.96</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Pre-tax income per share-basic (1)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Pre-tax income per share-diluted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outstanding-basic</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22,611</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22,416</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21,989</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22,687</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24,356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 average shares outstanding-diluted</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24,003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24,064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24,988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2,145,895</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2,539,249</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2,485,680</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2,424,841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2,410,402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13,466</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12,787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12,731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130,686</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135,537</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117,323</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111,965</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112,754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411,343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885,890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1,454,709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2,195,797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2,172,365</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1,523,726</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1,444,038</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821,066</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118,999</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134,791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136,847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103,358</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25,426</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39,478</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39,106</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1,803,673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2,097,728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2,063,627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2,083,215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2,080,900</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21,323</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17,534</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17,290</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16,566</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195"/>
        </w:trPr>
        <w:tc>
          <w:tcPr>
            <w:tcW w:w="4620" w:type="dxa"/>
            <w:vAlign w:val="bottom"/>
          </w:tcPr>
          <w:p>
            <w:pPr>
              <w:spacing w:after="0" w:line="195" w:lineRule="exact"/>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133,362</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202,641</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197,118</w:t>
            </w:r>
          </w:p>
        </w:tc>
        <w:tc>
          <w:tcPr>
            <w:tcW w:w="240" w:type="dxa"/>
            <w:vAlign w:val="bottom"/>
          </w:tcPr>
          <w:p>
            <w:pPr>
              <w:spacing w:after="0"/>
              <w:rPr>
                <w:sz w:val="16"/>
                <w:szCs w:val="16"/>
                <w:color w:val="auto"/>
              </w:rPr>
            </w:pPr>
          </w:p>
        </w:tc>
        <w:tc>
          <w:tcPr>
            <w:tcW w:w="108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183,937</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186,218</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0"/>
                <w:szCs w:val="20"/>
                <w:color w:val="auto"/>
              </w:rPr>
            </w:pPr>
            <w:r>
              <w:rPr>
                <w:rFonts w:ascii="Arial" w:cs="Arial" w:eastAsia="Arial" w:hAnsi="Arial"/>
                <w:sz w:val="22"/>
                <w:szCs w:val="22"/>
                <w:color w:val="auto"/>
              </w:rPr>
              <w:t>________________________</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expense divided by weighted average shares outstanding-basic. Included for illustrative purposes because some of the periods presented include significant income tax expense or benefit.</w:t>
      </w:r>
    </w:p>
    <w:p>
      <w:pPr>
        <w:ind w:left="340" w:hanging="332"/>
        <w:spacing w:after="0" w:line="26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expense divided by weighted average shares outstanding-diluted. Included for illustrative purposes because some of the periods presented include significant income tax expense or benefit.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2"/>
        </w:trPr>
        <w:tc>
          <w:tcPr>
            <w:tcW w:w="462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As of and For the Year Ended December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Contract Originations / Securitizations</w:t>
            </w: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4"/>
                <w:szCs w:val="14"/>
                <w:color w:val="auto"/>
              </w:rPr>
              <w:t>Automobile contract originations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742,584</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1,002,782</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902,416</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859,069</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1,088,785</w:t>
            </w: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Automobile contracts securitized</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741,867</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1,014,124</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883,452</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870,000</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1,214,997</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Managed Portfolio Data</w:t>
            </w: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Contracts associated with the allowance for finance credit losses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506,896</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923,239</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1,551,797</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2,333,497</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2,307,956</w:t>
            </w:r>
          </w:p>
        </w:tc>
        <w:tc>
          <w:tcPr>
            <w:tcW w:w="0" w:type="dxa"/>
            <w:vAlign w:val="bottom"/>
          </w:tcPr>
          <w:p>
            <w:pPr>
              <w:spacing w:after="0"/>
              <w:rPr>
                <w:sz w:val="1"/>
                <w:szCs w:val="1"/>
                <w:color w:val="auto"/>
              </w:rPr>
            </w:pPr>
          </w:p>
        </w:tc>
      </w:tr>
      <w:tr>
        <w:trPr>
          <w:trHeight w:val="162"/>
        </w:trPr>
        <w:tc>
          <w:tcPr>
            <w:tcW w:w="4620" w:type="dxa"/>
            <w:vAlign w:val="bottom"/>
            <w:shd w:val="clear" w:color="auto" w:fill="EEEEEE"/>
          </w:tcPr>
          <w:p>
            <w:pPr>
              <w:spacing w:after="0"/>
              <w:rPr>
                <w:sz w:val="20"/>
                <w:szCs w:val="20"/>
                <w:color w:val="auto"/>
              </w:rPr>
            </w:pPr>
            <w:r>
              <w:rPr>
                <w:rFonts w:ascii="Arial" w:cs="Arial" w:eastAsia="Arial" w:hAnsi="Arial"/>
                <w:sz w:val="14"/>
                <w:szCs w:val="14"/>
                <w:color w:val="auto"/>
              </w:rPr>
              <w:t>Contracts measured at fair value</w:t>
            </w:r>
          </w:p>
        </w:tc>
        <w:tc>
          <w:tcPr>
            <w:tcW w:w="26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1,668,076</w:t>
            </w:r>
          </w:p>
        </w:tc>
        <w:tc>
          <w:tcPr>
            <w:tcW w:w="2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1,492,803</w:t>
            </w:r>
          </w:p>
        </w:tc>
        <w:tc>
          <w:tcPr>
            <w:tcW w:w="24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829,039</w:t>
            </w:r>
          </w:p>
        </w:tc>
        <w:tc>
          <w:tcPr>
            <w:tcW w:w="24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4"/>
                <w:szCs w:val="14"/>
                <w:color w:val="auto"/>
              </w:rPr>
              <w:t>Contracts held by consolidated subsidiaries</w:t>
            </w:r>
          </w:p>
        </w:tc>
        <w:tc>
          <w:tcPr>
            <w:tcW w:w="2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2,174,972</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2,416,042</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2,380,836</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2,333,497</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2,307,956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Fireside portfolio</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Contracts held by non-consolidated subsidiaries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4620" w:type="dxa"/>
            <w:vAlign w:val="bottom"/>
            <w:shd w:val="clear" w:color="auto" w:fill="EEEEEE"/>
          </w:tcPr>
          <w:p>
            <w:pPr>
              <w:spacing w:after="0"/>
              <w:rPr>
                <w:sz w:val="20"/>
                <w:szCs w:val="20"/>
                <w:color w:val="auto"/>
              </w:rPr>
            </w:pPr>
            <w:r>
              <w:rPr>
                <w:rFonts w:ascii="Arial" w:cs="Arial" w:eastAsia="Arial" w:hAnsi="Arial"/>
                <w:sz w:val="14"/>
                <w:szCs w:val="14"/>
                <w:color w:val="auto"/>
              </w:rPr>
              <w:t>Third party portfolios (1)</w:t>
            </w:r>
          </w:p>
        </w:tc>
        <w:tc>
          <w:tcPr>
            <w:tcW w:w="26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11</w:t>
            </w:r>
          </w:p>
        </w:tc>
        <w:tc>
          <w:tcPr>
            <w:tcW w:w="24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33</w:t>
            </w:r>
          </w:p>
        </w:tc>
        <w:tc>
          <w:tcPr>
            <w:tcW w:w="2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4"/>
                <w:szCs w:val="14"/>
                <w:color w:val="auto"/>
              </w:rPr>
              <w:t>Total managed portfolio</w:t>
            </w:r>
          </w:p>
        </w:tc>
        <w:tc>
          <w:tcPr>
            <w:tcW w:w="2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2,174,972</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2,416,042</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2,380,847</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2,333,530</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2,308,070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Average managed portfolio</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2,315,750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2,404,710</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2,341,957</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2,334,015</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2,226,073</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Weighted average fixed effective interest rate (total managed portfolio) (2)</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19.0%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18.9%</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18.9%</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Core operating expenses (% of average managed portfolio) (3)</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Allowance for finance credit losses</w:t>
            </w:r>
          </w:p>
        </w:tc>
        <w:tc>
          <w:tcPr>
            <w:tcW w:w="260" w:type="dxa"/>
            <w:vAlign w:val="bottom"/>
            <w:shd w:val="clear" w:color="auto" w:fill="EEEEEE"/>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80,790</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11,640</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67,376</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109,187</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95,578</w:t>
            </w:r>
          </w:p>
        </w:tc>
        <w:tc>
          <w:tcPr>
            <w:tcW w:w="0" w:type="dxa"/>
            <w:vAlign w:val="bottom"/>
          </w:tcPr>
          <w:p>
            <w:pPr>
              <w:spacing w:after="0"/>
              <w:rPr>
                <w:sz w:val="1"/>
                <w:szCs w:val="1"/>
                <w:color w:val="auto"/>
              </w:rPr>
            </w:pPr>
          </w:p>
        </w:tc>
      </w:tr>
      <w:tr>
        <w:trPr>
          <w:trHeight w:val="130"/>
        </w:trPr>
        <w:tc>
          <w:tcPr>
            <w:tcW w:w="4620" w:type="dxa"/>
            <w:vAlign w:val="bottom"/>
          </w:tcPr>
          <w:p>
            <w:pPr>
              <w:spacing w:after="0" w:line="130" w:lineRule="exact"/>
              <w:rPr>
                <w:sz w:val="20"/>
                <w:szCs w:val="20"/>
                <w:color w:val="auto"/>
              </w:rPr>
            </w:pPr>
            <w:r>
              <w:rPr>
                <w:rFonts w:ascii="Arial" w:cs="Arial" w:eastAsia="Arial" w:hAnsi="Arial"/>
                <w:sz w:val="14"/>
                <w:szCs w:val="14"/>
                <w:color w:val="auto"/>
                <w:w w:val="98"/>
              </w:rPr>
              <w:t>Allowance for finance credit losses (% of total contracts associated with the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tcPr>
          <w:p>
            <w:pPr>
              <w:ind w:left="100"/>
              <w:spacing w:after="0"/>
              <w:rPr>
                <w:sz w:val="20"/>
                <w:szCs w:val="20"/>
                <w:color w:val="auto"/>
              </w:rPr>
            </w:pPr>
            <w:r>
              <w:rPr>
                <w:rFonts w:ascii="Arial" w:cs="Arial" w:eastAsia="Arial" w:hAnsi="Arial"/>
                <w:sz w:val="14"/>
                <w:szCs w:val="14"/>
                <w:color w:val="auto"/>
              </w:rPr>
              <w:t>allowance) (7)</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16.4%</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6"/>
              </w:rPr>
              <w:t>Aggregate allowance for finance credit losses and repossessions in inventory</w:t>
            </w:r>
          </w:p>
        </w:tc>
        <w:tc>
          <w:tcPr>
            <w:tcW w:w="260" w:type="dxa"/>
            <w:vAlign w:val="bottom"/>
            <w:shd w:val="clear" w:color="auto" w:fill="EEEEEE"/>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92,580</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33,029</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91,940</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133,211</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124,503</w:t>
            </w:r>
          </w:p>
        </w:tc>
        <w:tc>
          <w:tcPr>
            <w:tcW w:w="0" w:type="dxa"/>
            <w:vAlign w:val="bottom"/>
          </w:tcPr>
          <w:p>
            <w:pPr>
              <w:spacing w:after="0"/>
              <w:rPr>
                <w:sz w:val="1"/>
                <w:szCs w:val="1"/>
                <w:color w:val="auto"/>
              </w:rPr>
            </w:pPr>
          </w:p>
        </w:tc>
      </w:tr>
      <w:tr>
        <w:trPr>
          <w:trHeight w:val="130"/>
        </w:trPr>
        <w:tc>
          <w:tcPr>
            <w:tcW w:w="4620" w:type="dxa"/>
            <w:vAlign w:val="bottom"/>
          </w:tcPr>
          <w:p>
            <w:pPr>
              <w:spacing w:after="0" w:line="130" w:lineRule="exact"/>
              <w:rPr>
                <w:sz w:val="20"/>
                <w:szCs w:val="20"/>
                <w:color w:val="auto"/>
              </w:rPr>
            </w:pPr>
            <w:r>
              <w:rPr>
                <w:rFonts w:ascii="Arial" w:cs="Arial" w:eastAsia="Arial" w:hAnsi="Arial"/>
                <w:sz w:val="14"/>
                <w:szCs w:val="14"/>
                <w:color w:val="auto"/>
              </w:rPr>
              <w:t>Aggregate allowance for finance credit losses (% of repossessions in</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tcPr>
          <w:p>
            <w:pPr>
              <w:ind w:left="100"/>
              <w:spacing w:after="0"/>
              <w:rPr>
                <w:sz w:val="20"/>
                <w:szCs w:val="20"/>
                <w:color w:val="auto"/>
              </w:rPr>
            </w:pPr>
            <w:r>
              <w:rPr>
                <w:rFonts w:ascii="Arial" w:cs="Arial" w:eastAsia="Arial" w:hAnsi="Arial"/>
                <w:sz w:val="14"/>
                <w:szCs w:val="14"/>
                <w:color w:val="auto"/>
              </w:rPr>
              <w:t>inventory and contracts associated with the allowance)</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18.3%</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 delinquencies (2) (4)</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10.4%</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13.6%</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12.3%</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9.8%</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Total delinquencies and repossessions in inventory (2) (4)</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charge-offs, finance receivables portfolio (2) (5) (6)</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11.2%</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12.2%</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9.3%</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Net charge-offs, fair value receivables portfolio (2) (5) (6)</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9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charge-offs (2) (5)</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6.5%</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7.9%</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2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4"/>
                <w:szCs w:val="14"/>
                <w:color w:val="auto"/>
              </w:rPr>
              <w:t>________________________</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21" w:lineRule="auto"/>
        <w:tabs>
          <w:tab w:leader="none" w:pos="50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Receivables related to the third party portfolios, on which we earn only a servicing fee.</w:t>
      </w:r>
    </w:p>
    <w:p>
      <w:pPr>
        <w:ind w:left="500" w:hanging="492"/>
        <w:spacing w:after="0" w:line="221" w:lineRule="auto"/>
        <w:tabs>
          <w:tab w:leader="none" w:pos="50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receivables related to the third party portfolios.</w:t>
      </w:r>
    </w:p>
    <w:p>
      <w:pPr>
        <w:ind w:left="500" w:hanging="492"/>
        <w:spacing w:after="0" w:line="221" w:lineRule="auto"/>
        <w:tabs>
          <w:tab w:leader="none" w:pos="50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Total expenses excluding provision for credit losses, provision for contingent liabilities, interest expense, loss on sale of receivables and impairment loss on residual assets.</w:t>
      </w:r>
    </w:p>
    <w:p>
      <w:pPr>
        <w:ind w:left="500" w:hanging="492"/>
        <w:spacing w:after="0"/>
        <w:tabs>
          <w:tab w:leader="none" w:pos="50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For further information regarding delinquencies and the managed portfolio, see the table captioned </w:t>
      </w:r>
      <w:r>
        <w:rPr>
          <w:rFonts w:ascii="Arial" w:cs="Arial" w:eastAsia="Arial" w:hAnsi="Arial"/>
          <w:sz w:val="13"/>
          <w:szCs w:val="13"/>
          <w:color w:val="auto"/>
        </w:rPr>
        <w:t>"</w:t>
      </w:r>
      <w:r>
        <w:rPr>
          <w:rFonts w:ascii="Arial" w:cs="Arial" w:eastAsia="Arial" w:hAnsi="Arial"/>
          <w:sz w:val="13"/>
          <w:szCs w:val="13"/>
          <w:i w:val="1"/>
          <w:iCs w:val="1"/>
          <w:color w:val="auto"/>
        </w:rPr>
        <w:t>Delinquency Experience,</w:t>
      </w:r>
      <w:r>
        <w:rPr>
          <w:rFonts w:ascii="Arial" w:cs="Arial" w:eastAsia="Arial" w:hAnsi="Arial"/>
          <w:sz w:val="13"/>
          <w:szCs w:val="13"/>
          <w:color w:val="auto"/>
        </w:rPr>
        <w:t>"</w:t>
      </w:r>
      <w:r>
        <w:rPr>
          <w:rFonts w:ascii="Arial" w:cs="Arial" w:eastAsia="Arial" w:hAnsi="Arial"/>
          <w:sz w:val="13"/>
          <w:szCs w:val="13"/>
          <w:i w:val="1"/>
          <w:iCs w:val="1"/>
          <w:color w:val="auto"/>
        </w:rPr>
        <w:t xml:space="preserve"> in Item 1, Part I of this report and the notes to that table.</w:t>
      </w:r>
    </w:p>
    <w:p>
      <w:pPr>
        <w:jc w:val="both"/>
        <w:ind w:left="500" w:hanging="492"/>
        <w:spacing w:after="0" w:line="238" w:lineRule="auto"/>
        <w:tabs>
          <w:tab w:leader="none" w:pos="50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3"/>
          <w:szCs w:val="13"/>
          <w:color w:val="auto"/>
        </w:rPr>
        <w:t>"</w:t>
      </w:r>
      <w:r>
        <w:rPr>
          <w:rFonts w:ascii="Arial" w:cs="Arial" w:eastAsia="Arial" w:hAnsi="Arial"/>
          <w:sz w:val="13"/>
          <w:szCs w:val="13"/>
          <w:i w:val="1"/>
          <w:iCs w:val="1"/>
          <w:color w:val="auto"/>
        </w:rPr>
        <w:t>Net Charge-Off Experience,</w:t>
      </w:r>
      <w:r>
        <w:rPr>
          <w:rFonts w:ascii="Arial" w:cs="Arial" w:eastAsia="Arial" w:hAnsi="Arial"/>
          <w:sz w:val="13"/>
          <w:szCs w:val="13"/>
          <w:color w:val="auto"/>
        </w:rPr>
        <w:t>"</w:t>
      </w:r>
      <w:r>
        <w:rPr>
          <w:rFonts w:ascii="Arial" w:cs="Arial" w:eastAsia="Arial" w:hAnsi="Arial"/>
          <w:sz w:val="13"/>
          <w:szCs w:val="13"/>
          <w:i w:val="1"/>
          <w:iCs w:val="1"/>
          <w:color w:val="auto"/>
        </w:rPr>
        <w:t xml:space="preserve"> in Item I, Part I of this report and the notes to that table.</w:t>
      </w:r>
    </w:p>
    <w:p>
      <w:pPr>
        <w:ind w:left="500" w:hanging="492"/>
        <w:spacing w:after="0" w:line="221" w:lineRule="auto"/>
        <w:tabs>
          <w:tab w:leader="none" w:pos="50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finance receivables portfolio is comprised of contracts we acquired prior to January 2018. The fair value receivables portfolio is comprised of contracts we have acquired since January 2018.</w:t>
      </w:r>
    </w:p>
    <w:p>
      <w:pPr>
        <w:ind w:left="500" w:right="20" w:hanging="492"/>
        <w:spacing w:after="0" w:line="237" w:lineRule="auto"/>
        <w:tabs>
          <w:tab w:leader="none" w:pos="50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ASC 326 was adopted in 2020 for the finance receivables portfolio. The allowance for finance credit losses for the year ended December 31, 2020 represent expected lifetime credit losses.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were incorporated and began our operations in March 1991. From inception through December 31, 2020, we have originated a total of approximately $17.0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Contract purchase volumes and managed portfolio levels for the five years ended December 31, 2020 are shown in the table below. Managed portfolio comprises both contracts we owned and those we were servicing for non-affiliates.</w:t>
      </w:r>
    </w:p>
    <w:p>
      <w:pPr>
        <w:spacing w:after="0" w:line="15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tbl>
      <w:tblPr>
        <w:tblLayout w:type="fixed"/>
        <w:tblInd w:w="2260"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Contracts</w:t>
            </w: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00" w:type="dxa"/>
            <w:vAlign w:val="bottom"/>
          </w:tcPr>
          <w:p>
            <w:pPr>
              <w:spacing w:after="0"/>
              <w:rPr>
                <w:sz w:val="16"/>
                <w:szCs w:val="16"/>
                <w:color w:val="auto"/>
              </w:rPr>
            </w:pPr>
          </w:p>
        </w:tc>
      </w:tr>
      <w:tr>
        <w:trPr>
          <w:trHeight w:val="234"/>
        </w:trPr>
        <w:tc>
          <w:tcPr>
            <w:tcW w:w="2920" w:type="dxa"/>
            <w:vAlign w:val="bottom"/>
          </w:tcPr>
          <w:p>
            <w:pPr>
              <w:ind w:left="128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Purchased in Period</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at Period End</w:t>
            </w:r>
          </w:p>
        </w:tc>
      </w:tr>
      <w:tr>
        <w:trPr>
          <w:trHeight w:val="210"/>
        </w:trPr>
        <w:tc>
          <w:tcPr>
            <w:tcW w:w="2920" w:type="dxa"/>
            <w:vAlign w:val="bottom"/>
            <w:tcBorders>
              <w:top w:val="single" w:sz="8" w:color="auto"/>
            </w:tcBorders>
            <w:shd w:val="clear" w:color="auto" w:fill="EEEEEE"/>
          </w:tcPr>
          <w:p>
            <w:pPr>
              <w:ind w:left="1280"/>
              <w:spacing w:after="0"/>
              <w:rPr>
                <w:sz w:val="20"/>
                <w:szCs w:val="20"/>
                <w:color w:val="auto"/>
              </w:rPr>
            </w:pPr>
            <w:r>
              <w:rPr>
                <w:rFonts w:ascii="Arial" w:cs="Arial" w:eastAsia="Arial" w:hAnsi="Arial"/>
                <w:sz w:val="18"/>
                <w:szCs w:val="18"/>
                <w:color w:val="333333"/>
              </w:rPr>
              <w:t>2016</w:t>
            </w:r>
          </w:p>
        </w:tc>
        <w:tc>
          <w:tcPr>
            <w:tcW w:w="2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3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2,308,070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333333"/>
              </w:rPr>
              <w:t>2017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859,069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2,333,530</w:t>
            </w:r>
          </w:p>
        </w:tc>
        <w:tc>
          <w:tcPr>
            <w:tcW w:w="100" w:type="dxa"/>
            <w:vAlign w:val="bottom"/>
          </w:tcPr>
          <w:p>
            <w:pPr>
              <w:spacing w:after="0"/>
              <w:rPr>
                <w:sz w:val="18"/>
                <w:szCs w:val="18"/>
                <w:color w:val="auto"/>
              </w:rPr>
            </w:pP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333333"/>
              </w:rPr>
              <w:t>2018</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100" w:type="dxa"/>
            <w:vAlign w:val="bottom"/>
            <w:shd w:val="clear" w:color="auto" w:fill="EEEEEE"/>
          </w:tcPr>
          <w:p>
            <w:pPr>
              <w:spacing w:after="0"/>
              <w:rPr>
                <w:sz w:val="18"/>
                <w:szCs w:val="18"/>
                <w:color w:val="auto"/>
              </w:rPr>
            </w:pP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333333"/>
              </w:rPr>
              <w:t>2019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1,002,782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2,416,042</w:t>
            </w:r>
          </w:p>
        </w:tc>
        <w:tc>
          <w:tcPr>
            <w:tcW w:w="100" w:type="dxa"/>
            <w:vAlign w:val="bottom"/>
          </w:tcPr>
          <w:p>
            <w:pPr>
              <w:spacing w:after="0"/>
              <w:rPr>
                <w:sz w:val="18"/>
                <w:szCs w:val="18"/>
                <w:color w:val="auto"/>
              </w:rPr>
            </w:pP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333333"/>
              </w:rPr>
              <w:t>2020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742,584</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2,174,972</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 In March 2020 at the outset of the pandemic we complied with government mandated shutdown orders in the five locations we operate by arranging for many of our staff to work from home and invoking various safety protocols for workers who remained in our offices. In April 2020, we laid off approximately 100 workers, or about 10% of our workforce, throughout our offices because of significant reductions in new contract originations. As of December 31, 2020, most of our staff who work in the Irvine location were working from home, while most of our staff from our other locations were working from our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 Other effects of the pandemic on our operations is referred to throughout this report.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1994 we have conducted 87 term securitizations of automobile contracts that we originated under our regular programs. As of December 31, 2020, 21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33"/>
        </w:trPr>
        <w:tc>
          <w:tcPr>
            <w:tcW w:w="5240" w:type="dxa"/>
            <w:vAlign w:val="bottom"/>
            <w:gridSpan w:val="4"/>
          </w:tcPr>
          <w:p>
            <w:pPr>
              <w:ind w:left="1740"/>
              <w:spacing w:after="0"/>
              <w:rPr>
                <w:sz w:val="20"/>
                <w:szCs w:val="20"/>
                <w:color w:val="auto"/>
              </w:rPr>
            </w:pPr>
            <w:r>
              <w:rPr>
                <w:rFonts w:ascii="Arial" w:cs="Arial" w:eastAsia="Arial" w:hAnsi="Arial"/>
                <w:sz w:val="18"/>
                <w:szCs w:val="18"/>
                <w:b w:val="1"/>
                <w:bCs w:val="1"/>
                <w:color w:val="auto"/>
                <w:w w:val="95"/>
              </w:rPr>
              <w:t>Recent Asset-Backed Term Securitizations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5"/>
          </w:tcPr>
          <w:p>
            <w:pPr>
              <w:ind w:left="11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Amount of</w:t>
            </w:r>
          </w:p>
        </w:tc>
        <w:tc>
          <w:tcPr>
            <w:tcW w:w="100" w:type="dxa"/>
            <w:vAlign w:val="bottom"/>
          </w:tcPr>
          <w:p>
            <w:pPr>
              <w:spacing w:after="0"/>
              <w:rPr>
                <w:sz w:val="16"/>
                <w:szCs w:val="16"/>
                <w:color w:val="auto"/>
              </w:rPr>
            </w:pPr>
          </w:p>
        </w:tc>
      </w:tr>
      <w:tr>
        <w:trPr>
          <w:trHeight w:val="234"/>
        </w:trPr>
        <w:tc>
          <w:tcPr>
            <w:tcW w:w="3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Securitizations</w:t>
            </w: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Receivables</w:t>
            </w:r>
          </w:p>
        </w:tc>
      </w:tr>
      <w:tr>
        <w:trPr>
          <w:trHeight w:val="210"/>
        </w:trPr>
        <w:tc>
          <w:tcPr>
            <w:tcW w:w="31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2011</w:t>
            </w:r>
          </w:p>
        </w:tc>
        <w:tc>
          <w:tcPr>
            <w:tcW w:w="1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335,593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2012</w:t>
            </w:r>
          </w:p>
        </w:tc>
        <w:tc>
          <w:tcPr>
            <w:tcW w:w="18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603,500</w:t>
            </w:r>
          </w:p>
        </w:tc>
        <w:tc>
          <w:tcPr>
            <w:tcW w:w="10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2013</w:t>
            </w:r>
          </w:p>
        </w:tc>
        <w:tc>
          <w:tcPr>
            <w:tcW w:w="1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2014</w:t>
            </w:r>
          </w:p>
        </w:tc>
        <w:tc>
          <w:tcPr>
            <w:tcW w:w="18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923,000</w:t>
            </w:r>
          </w:p>
        </w:tc>
        <w:tc>
          <w:tcPr>
            <w:tcW w:w="10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1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18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1,214,997</w:t>
            </w:r>
          </w:p>
        </w:tc>
        <w:tc>
          <w:tcPr>
            <w:tcW w:w="10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1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100" w:type="dxa"/>
            <w:vAlign w:val="bottom"/>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2018</w:t>
            </w:r>
          </w:p>
        </w:tc>
        <w:tc>
          <w:tcPr>
            <w:tcW w:w="18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883,452</w:t>
            </w:r>
          </w:p>
        </w:tc>
        <w:tc>
          <w:tcPr>
            <w:tcW w:w="10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2019</w:t>
            </w:r>
          </w:p>
        </w:tc>
        <w:tc>
          <w:tcPr>
            <w:tcW w:w="18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1,014,124</w:t>
            </w:r>
          </w:p>
        </w:tc>
        <w:tc>
          <w:tcPr>
            <w:tcW w:w="100" w:type="dxa"/>
            <w:vAlign w:val="bottom"/>
            <w:shd w:val="clear" w:color="auto" w:fill="EEEEEE"/>
          </w:tcPr>
          <w:p>
            <w:pPr>
              <w:spacing w:after="0"/>
              <w:rPr>
                <w:sz w:val="18"/>
                <w:szCs w:val="18"/>
                <w:color w:val="auto"/>
              </w:rPr>
            </w:pPr>
          </w:p>
        </w:tc>
      </w:tr>
      <w:tr>
        <w:trPr>
          <w:trHeight w:val="230"/>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2020</w:t>
            </w:r>
          </w:p>
        </w:tc>
        <w:tc>
          <w:tcPr>
            <w:tcW w:w="18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741,867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jc w:val="both"/>
        <w:ind w:firstLine="648"/>
        <w:spacing w:after="0" w:line="275" w:lineRule="auto"/>
        <w:rPr>
          <w:sz w:val="20"/>
          <w:szCs w:val="20"/>
          <w:color w:val="auto"/>
        </w:rPr>
      </w:pPr>
      <w:r>
        <w:rPr>
          <w:rFonts w:ascii="Arial" w:cs="Arial" w:eastAsia="Arial" w:hAnsi="Arial"/>
          <w:sz w:val="17"/>
          <w:szCs w:val="17"/>
          <w:color w:val="auto"/>
        </w:rPr>
        <w:t>Generally, prior to a securitization transaction we fund our automobile contract acquisitions primarily with proceeds from warehouse credit facilities. Our current short-term funding capacity is $200 million, comprising two credit facilities. The first $100 million credit facility was established in May 2012. This facility was most recently renewed in December 2020, extending the revolving period to December 2022, with an optional amortization period through December 2023. In November 2015, we entered into another $100 million facility. This facility was renewed in November 2017 and again in December 2019, extending the revolving period to December 2021, followed by an amortization period to December 2023.</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previously had a third $100 million facility. This facility was established in April 2015 and was renewed in April 2017 and again in February 2019, extending the revolving period to February 2021. We repaid this facility in full at its maturity in 2021.</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accounting policies related to (a) Finance Receivables at Fair Value, (b) Allowance for Finance Credit Losses, (c) Amortization of Deferred Origination Costs and Acquisition Fees, (d) Term Securitizations, (e) Accrual for Contingent Liabilities and (f) Income Taxes are the most critical to understanding and evaluating our reported financial results. Such policies are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Receivables acquired after 2017, are accounted for using fair value and will have no allowance for finance credit losses in accordance with the fair value method of accounting for finance receivables.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ind w:firstLine="648"/>
        <w:spacing w:after="0" w:line="263"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generally do not lower the contractual interest rate or waive or forgive principal when our borrowers incur financial difficulty on either a temporary or permanent basis. An exception to this policy is when a court order mandates the terms of the contract to be modified, such as in a Chapter 13 bankruptcy proceeding. In such cases, which represent an immaterial portion of our portfolio of finance receivables, we have estimated the amount of impairment that results from such modification and established an appropriate allowance within our Allowance for Finance Credit Losses.</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Effective January 1, 2020, the Company adopted Accounting Standards Codification ("ASC") 326, which changes the criteria under which credit losses on financial instruments (such as the Company’s finance receivables) are measured. ASC 326 introduced a new credit reserving model known as the Current Expected Credit Loss (“CECL”) model, which replaces the incurred loss impairment methodology previously used under U.S. GAAP with a methodology that records currently the expected lifetime credit losses on financial instruments.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onset of the pandemic in March 2020, Government mandated shutdowns of large portions of the United States economy impaired and will likely continue to impair the ability of obligors under our automobile contracts to make their monthly payments. The extent to which that ability will be impaired, and the extent to which public ameliorative measures such as stimulus payments and enhanced unemployment benefits may restore such ability, cannot be estimated.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twelve-month period ended December 31, 2020, we supplemented our allowance for finance credit losses by $14.1 million to provide for additional losses that we may incur due to the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recoded value, an adjustment would be required. In the twelve-month period ended December 31, 2020, the Company considered the effect of the pandemic on the portfolio of finance receivables carried at fair value and recorded a mark down to that portfolio of $29.5 million. The mark down is reflected as a reduction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jc w:val="both"/>
        <w:ind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each transfer of automobile contracts in a transaction structured as a secured financing for financial accounting purposes, we retain on our consolidated balance sheet the related automobile contracts as assets and record the asset-backed notes or loans issued in the transaction as indebtedness.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jc w:val="both"/>
        <w:ind w:firstLine="648"/>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recorded a liability as of December 31, 2020,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2020, and in excess of the liability we have recorded, does not exceed $3 million.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jc w:val="both"/>
        <w:ind w:firstLine="648"/>
        <w:spacing w:after="0" w:line="272" w:lineRule="auto"/>
        <w:rPr>
          <w:sz w:val="20"/>
          <w:szCs w:val="20"/>
          <w:color w:val="auto"/>
        </w:rPr>
      </w:pPr>
      <w:r>
        <w:rPr>
          <w:rFonts w:ascii="Arial" w:cs="Arial" w:eastAsia="Arial" w:hAnsi="Arial"/>
          <w:sz w:val="17"/>
          <w:szCs w:val="17"/>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upon the availability of warehouse credit facilities and access to long-term financing through the issuance of asset-backed securities collateralized by our automobile contracts. Since 1994, we have completed 87 term securitizations of approximately $15.1 billion in contracts.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2020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2020 with the year ended December 31, 2019</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year ended December 31, 2020, our revenues were $271.2 million, a decrease of $74.6 million, or 21.6%, from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revenues of $345.8 million. The primary reason for the decrease in revenues is a decrease in interest income and a mark down to the recorded value of the portion of the receivables portfolio accounted for at fair value. Interest income for the year ended December 31, 2020 decreased $42.1 million, or 12.5%, to $295.0 million from $337.1 million in the prior year. The primary reason for the decrease in interest income is the continued runoff of our portfolio of finance receivables originated prior to January 2018, which accrued interest at an average of 18.5%,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7"/>
              </w:rPr>
              <w:t>Year Ended December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684,259</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126,716</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1,192,484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214,037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280" w:type="dxa"/>
            <w:vAlign w:val="bottom"/>
            <w:gridSpan w:val="3"/>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1,631,491</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168,266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1,212,226</w:t>
            </w:r>
          </w:p>
        </w:tc>
        <w:tc>
          <w:tcPr>
            <w:tcW w:w="18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123,059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2,315,750</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294,982</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2,404,710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ind w:left="340"/>
              <w:spacing w:after="0"/>
              <w:rPr>
                <w:sz w:val="20"/>
                <w:szCs w:val="20"/>
                <w:color w:val="auto"/>
              </w:rPr>
            </w:pPr>
            <w:r>
              <w:rPr>
                <w:rFonts w:ascii="Arial" w:cs="Arial" w:eastAsia="Arial" w:hAnsi="Arial"/>
                <w:sz w:val="18"/>
                <w:szCs w:val="18"/>
                <w:color w:val="auto"/>
                <w:w w:val="86"/>
              </w:rPr>
              <w:t>337,096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for the year ended December 31, 2020 include a $29.5 million mark down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income decreased by $3.0 million, or 34.4%, to $5.7 million in the year ended December 31, 2020 from $8.7 million in the prior year. The decrease in other income generally resulted from a decrease of $1.3 million in revenues associated with direct mail and other related products and services that we offer to our dealers and a decrease of $1.0 million in payments from third-party providers of convenience fees paid by our customers for web based and other electronic payments.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expenses were $251.0 million for the year ended December 31, 2020, compared to $336.6 million for the prior year, a decrease of $85.6 million, or 25.4%. The decrease is primarily due to a decrease in provision for credit losses and interest expense.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Employee costs decreased by $679,000 or 0.8%, to $80.2 million during the year ended December 31, 2020, representing 31.9% of total operating expenses, from $80.9 million for the prior year, or 24.0% of total operating expenses. In the first quarter of 2020, prior to the onset of the pandemic, our employee costs were greater than in the first quarter of 2019. Those increases have been partially offset by decreases since the first quarter of 2020, which are the result of staff reductions due in part to the fact that our contract purchases have not returned to pre-pandemic levels. If our contract purchase volumes remain at current levels, we expect lower employee costs in future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5" w:name="page46"/>
    <w:bookmarkEnd w:id="45"/>
    <w:p>
      <w:pPr>
        <w:jc w:val="both"/>
        <w:ind w:right="20" w:firstLine="648"/>
        <w:spacing w:after="0" w:line="277" w:lineRule="auto"/>
        <w:rPr>
          <w:sz w:val="20"/>
          <w:szCs w:val="20"/>
          <w:color w:val="auto"/>
        </w:rPr>
      </w:pPr>
      <w:r>
        <w:rPr>
          <w:rFonts w:ascii="Arial" w:cs="Arial" w:eastAsia="Arial" w:hAnsi="Arial"/>
          <w:sz w:val="18"/>
          <w:szCs w:val="18"/>
          <w:color w:val="auto"/>
        </w:rPr>
        <w:t>The table below summarizes our employees by category as well as contract purchases and units in our managed portfolio as of, and for the years ended, December 31, 2020 and 2019:</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2020</w:t>
            </w:r>
          </w:p>
        </w:tc>
        <w:tc>
          <w:tcPr>
            <w:tcW w:w="30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742.6</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39,887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2,175.0</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2,416.0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163,177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$32.0 million, a decrease of $1.0 million, or 3.1%, compared to the previous year and represented 12.7% of total operating expenses.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for the year ended December 31, 2020 decreased by $9.2 million to $101.3 million, or 8.3%, compared to $110.5 million in the previous year. Interest expense represented 40.4% of total operating expenses in 2020.</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Interest on securitization trust debt decreased by $8.8 million, or 9.1%, for the year ended December 31, 2020 compared to the prior year. The average balance of securitization trust debt decreased 7.5% to $2,017.2 million for the year ended December 31, 2020 compared to $2,181.5 million for the year ended December 31, 2019. The blended interest rates on new term securitizations have generally increased in 2017 and 2018 before declining in 2019 and 2020.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20" w:type="dxa"/>
            <w:vAlign w:val="bottom"/>
            <w:tcBorders>
              <w:bottom w:val="single" w:sz="8" w:color="EEEEEE"/>
            </w:tcBorders>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Blended Cost of Funds</w:t>
            </w:r>
          </w:p>
        </w:tc>
        <w:tc>
          <w:tcPr>
            <w:tcW w:w="23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220" w:type="dxa"/>
            <w:vAlign w:val="bottom"/>
            <w:shd w:val="clear" w:color="auto" w:fill="EEEEEE"/>
          </w:tcPr>
          <w:p>
            <w:pPr>
              <w:spacing w:after="0"/>
              <w:rPr>
                <w:sz w:val="18"/>
                <w:szCs w:val="18"/>
                <w:color w:val="auto"/>
              </w:rPr>
            </w:pPr>
          </w:p>
        </w:tc>
        <w:tc>
          <w:tcPr>
            <w:tcW w:w="3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3.91%</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6"/>
              </w:rPr>
              <w:t>April 2017</w:t>
            </w:r>
          </w:p>
        </w:tc>
        <w:tc>
          <w:tcPr>
            <w:tcW w:w="33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3.45%</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July 2017</w:t>
            </w:r>
          </w:p>
        </w:tc>
        <w:tc>
          <w:tcPr>
            <w:tcW w:w="33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3.52%</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October 2017</w:t>
            </w:r>
          </w:p>
        </w:tc>
        <w:tc>
          <w:tcPr>
            <w:tcW w:w="33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3.39%</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2018</w:t>
            </w:r>
          </w:p>
        </w:tc>
        <w:tc>
          <w:tcPr>
            <w:tcW w:w="33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3.46%</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6"/>
              </w:rPr>
              <w:t>April 2018</w:t>
            </w:r>
          </w:p>
        </w:tc>
        <w:tc>
          <w:tcPr>
            <w:tcW w:w="33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3.98%</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July 2018</w:t>
            </w:r>
          </w:p>
        </w:tc>
        <w:tc>
          <w:tcPr>
            <w:tcW w:w="33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4.18%</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October 2018</w:t>
            </w:r>
          </w:p>
        </w:tc>
        <w:tc>
          <w:tcPr>
            <w:tcW w:w="33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4.25%</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2019</w:t>
            </w:r>
          </w:p>
        </w:tc>
        <w:tc>
          <w:tcPr>
            <w:tcW w:w="33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4.22%</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33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3.95%</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July 2019</w:t>
            </w:r>
          </w:p>
        </w:tc>
        <w:tc>
          <w:tcPr>
            <w:tcW w:w="33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3.36%</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October 2019</w:t>
            </w:r>
          </w:p>
        </w:tc>
        <w:tc>
          <w:tcPr>
            <w:tcW w:w="33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2.95%</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2020</w:t>
            </w:r>
          </w:p>
        </w:tc>
        <w:tc>
          <w:tcPr>
            <w:tcW w:w="33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3.08%</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338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4.09%</w:t>
            </w: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September 2020</w:t>
            </w:r>
          </w:p>
        </w:tc>
        <w:tc>
          <w:tcPr>
            <w:tcW w:w="338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2.39%</w:t>
            </w:r>
          </w:p>
        </w:tc>
        <w:tc>
          <w:tcPr>
            <w:tcW w:w="2360" w:type="dxa"/>
            <w:vAlign w:val="bottom"/>
          </w:tcPr>
          <w:p>
            <w:pPr>
              <w:spacing w:after="0"/>
              <w:rPr>
                <w:sz w:val="18"/>
                <w:szCs w:val="18"/>
                <w:color w:val="auto"/>
              </w:rPr>
            </w:pPr>
          </w:p>
        </w:tc>
      </w:tr>
      <w:tr>
        <w:trPr>
          <w:trHeight w:val="756"/>
        </w:trPr>
        <w:tc>
          <w:tcPr>
            <w:tcW w:w="2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3070"/>
              <w:spacing w:after="0"/>
              <w:rPr>
                <w:sz w:val="20"/>
                <w:szCs w:val="20"/>
                <w:color w:val="auto"/>
              </w:rPr>
            </w:pPr>
            <w:r>
              <w:rPr>
                <w:rFonts w:ascii="Arial" w:cs="Arial" w:eastAsia="Arial" w:hAnsi="Arial"/>
                <w:sz w:val="18"/>
                <w:szCs w:val="18"/>
                <w:color w:val="auto"/>
                <w:w w:val="99"/>
              </w:rPr>
              <w:t>44</w:t>
            </w: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46" w:name="page47"/>
    <w:bookmarkEnd w:id="46"/>
    <w:p>
      <w:pPr>
        <w:jc w:val="both"/>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4.4% for the year ended December 31, 2020 and 2019.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on warehouse lines of credit decreased by $724,000, or 8.6% for the year ended December 31, 2020 compared to the prior year. The average rate on the debt was 8.3% in 2020 compared to 9.7% in the prior year while the average balance of the warehouse debt increased to $92.5 million from $86.2 million.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on residual interest financing was $3.5 million in the year ended December 31, 2020 compared to $3.8 million in the prior year as the average balance has decreased.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our subordinated renewable notes increased by $741,000, or 51.7%, for the year ended December 31, 2020 compared to the prior year. The average balance of the notes increased from $15.0 million in the prior year to $19.3 million for the year ended December 31, 2020. The average interest rate on our subordinated notes increased to 11.2% for the year ended December 31, 2020 from 9.6% for the year ended December 31, 2019.</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Yield/Rate</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Yield/Rate</w:t>
            </w:r>
          </w:p>
        </w:tc>
        <w:tc>
          <w:tcPr>
            <w:tcW w:w="0" w:type="dxa"/>
            <w:vAlign w:val="bottom"/>
          </w:tcPr>
          <w:p>
            <w:pPr>
              <w:spacing w:after="0"/>
              <w:rPr>
                <w:sz w:val="1"/>
                <w:szCs w:val="1"/>
                <w:color w:val="auto"/>
              </w:rPr>
            </w:pPr>
          </w:p>
        </w:tc>
      </w:tr>
      <w:tr>
        <w:trPr>
          <w:trHeight w:val="128"/>
        </w:trPr>
        <w:tc>
          <w:tcPr>
            <w:tcW w:w="760" w:type="dxa"/>
            <w:vAlign w:val="bottom"/>
            <w:tcBorders>
              <w:top w:val="single" w:sz="8" w:color="EEEEEE"/>
              <w:bottom w:val="single" w:sz="8" w:color="EEEEEE"/>
            </w:tcBorders>
            <w:shd w:val="clear" w:color="auto" w:fill="EEEEEE"/>
          </w:tcPr>
          <w:p>
            <w:pPr>
              <w:spacing w:after="0"/>
              <w:rPr>
                <w:sz w:val="11"/>
                <w:szCs w:val="11"/>
                <w:color w:val="auto"/>
              </w:rPr>
            </w:pPr>
          </w:p>
        </w:tc>
        <w:tc>
          <w:tcPr>
            <w:tcW w:w="100" w:type="dxa"/>
            <w:vAlign w:val="bottom"/>
            <w:tcBorders>
              <w:top w:val="single" w:sz="8" w:color="EEEEEE"/>
              <w:bottom w:val="single" w:sz="8" w:color="EEEEEE"/>
            </w:tcBorders>
            <w:shd w:val="clear" w:color="auto" w:fill="EEEEEE"/>
          </w:tcPr>
          <w:p>
            <w:pPr>
              <w:spacing w:after="0"/>
              <w:rPr>
                <w:sz w:val="11"/>
                <w:szCs w:val="11"/>
                <w:color w:val="auto"/>
              </w:rPr>
            </w:pPr>
          </w:p>
        </w:tc>
        <w:tc>
          <w:tcPr>
            <w:tcW w:w="1440" w:type="dxa"/>
            <w:vAlign w:val="bottom"/>
            <w:tcBorders>
              <w:top w:val="single" w:sz="8" w:color="EEEEEE"/>
              <w:bottom w:val="single" w:sz="8" w:color="auto"/>
            </w:tcBorders>
            <w:shd w:val="clear" w:color="auto" w:fill="EEEEEE"/>
          </w:tcPr>
          <w:p>
            <w:pPr>
              <w:jc w:val="center"/>
              <w:spacing w:after="0" w:line="129" w:lineRule="exact"/>
              <w:rPr>
                <w:sz w:val="20"/>
                <w:szCs w:val="20"/>
                <w:color w:val="auto"/>
              </w:rPr>
            </w:pPr>
            <w:r>
              <w:rPr>
                <w:rFonts w:ascii="Arial" w:cs="Arial" w:eastAsia="Arial" w:hAnsi="Arial"/>
                <w:sz w:val="14"/>
                <w:szCs w:val="14"/>
                <w:b w:val="1"/>
                <w:bCs w:val="1"/>
                <w:color w:val="auto"/>
                <w:w w:val="92"/>
              </w:rPr>
              <w:t>Interest Earning Assets</w:t>
            </w:r>
          </w:p>
        </w:tc>
        <w:tc>
          <w:tcPr>
            <w:tcW w:w="980" w:type="dxa"/>
            <w:vAlign w:val="bottom"/>
            <w:tcBorders>
              <w:top w:val="single" w:sz="8" w:color="EEEEEE"/>
              <w:bottom w:val="single" w:sz="8" w:color="EEEEEE"/>
            </w:tcBorders>
            <w:gridSpan w:val="2"/>
            <w:shd w:val="clear" w:color="auto" w:fill="EEEEEE"/>
          </w:tcPr>
          <w:p>
            <w:pPr>
              <w:spacing w:after="0"/>
              <w:rPr>
                <w:sz w:val="11"/>
                <w:szCs w:val="11"/>
                <w:color w:val="auto"/>
              </w:rPr>
            </w:pPr>
          </w:p>
        </w:tc>
        <w:tc>
          <w:tcPr>
            <w:tcW w:w="140" w:type="dxa"/>
            <w:vAlign w:val="bottom"/>
            <w:tcBorders>
              <w:top w:val="single" w:sz="8" w:color="auto"/>
              <w:bottom w:val="single" w:sz="8" w:color="EEEEEE"/>
            </w:tcBorders>
            <w:shd w:val="clear" w:color="auto" w:fill="EEEEEE"/>
          </w:tcPr>
          <w:p>
            <w:pPr>
              <w:spacing w:after="0"/>
              <w:rPr>
                <w:sz w:val="11"/>
                <w:szCs w:val="11"/>
                <w:color w:val="auto"/>
              </w:rPr>
            </w:pPr>
          </w:p>
        </w:tc>
        <w:tc>
          <w:tcPr>
            <w:tcW w:w="980" w:type="dxa"/>
            <w:vAlign w:val="bottom"/>
            <w:tcBorders>
              <w:top w:val="single" w:sz="8" w:color="auto"/>
              <w:bottom w:val="single" w:sz="8" w:color="EEEEEE"/>
            </w:tcBorders>
            <w:shd w:val="clear" w:color="auto" w:fill="EEEEEE"/>
          </w:tcPr>
          <w:p>
            <w:pPr>
              <w:spacing w:after="0"/>
              <w:rPr>
                <w:sz w:val="11"/>
                <w:szCs w:val="11"/>
                <w:color w:val="auto"/>
              </w:rPr>
            </w:pPr>
          </w:p>
        </w:tc>
        <w:tc>
          <w:tcPr>
            <w:tcW w:w="260" w:type="dxa"/>
            <w:vAlign w:val="bottom"/>
            <w:tcBorders>
              <w:top w:val="single" w:sz="8" w:color="EEEEEE"/>
              <w:bottom w:val="single" w:sz="8" w:color="EEEEEE"/>
            </w:tcBorders>
            <w:shd w:val="clear" w:color="auto" w:fill="EEEEEE"/>
          </w:tcPr>
          <w:p>
            <w:pPr>
              <w:spacing w:after="0"/>
              <w:rPr>
                <w:sz w:val="11"/>
                <w:szCs w:val="11"/>
                <w:color w:val="auto"/>
              </w:rPr>
            </w:pPr>
          </w:p>
        </w:tc>
        <w:tc>
          <w:tcPr>
            <w:tcW w:w="200" w:type="dxa"/>
            <w:vAlign w:val="bottom"/>
            <w:tcBorders>
              <w:top w:val="single" w:sz="8" w:color="auto"/>
              <w:bottom w:val="single" w:sz="8" w:color="EEEEEE"/>
            </w:tcBorders>
            <w:shd w:val="clear" w:color="auto" w:fill="EEEEEE"/>
          </w:tcPr>
          <w:p>
            <w:pPr>
              <w:spacing w:after="0"/>
              <w:rPr>
                <w:sz w:val="11"/>
                <w:szCs w:val="11"/>
                <w:color w:val="auto"/>
              </w:rPr>
            </w:pPr>
          </w:p>
        </w:tc>
        <w:tc>
          <w:tcPr>
            <w:tcW w:w="920" w:type="dxa"/>
            <w:vAlign w:val="bottom"/>
            <w:tcBorders>
              <w:top w:val="single" w:sz="8" w:color="auto"/>
              <w:bottom w:val="single" w:sz="8" w:color="EEEEEE"/>
            </w:tcBorders>
            <w:shd w:val="clear" w:color="auto" w:fill="EEEEEE"/>
          </w:tcPr>
          <w:p>
            <w:pPr>
              <w:spacing w:after="0"/>
              <w:rPr>
                <w:sz w:val="11"/>
                <w:szCs w:val="11"/>
                <w:color w:val="auto"/>
              </w:rPr>
            </w:pPr>
          </w:p>
        </w:tc>
        <w:tc>
          <w:tcPr>
            <w:tcW w:w="240" w:type="dxa"/>
            <w:vAlign w:val="bottom"/>
            <w:tcBorders>
              <w:top w:val="single" w:sz="8" w:color="EEEEEE"/>
              <w:bottom w:val="single" w:sz="8" w:color="EEEEEE"/>
            </w:tcBorders>
            <w:shd w:val="clear" w:color="auto" w:fill="EEEEEE"/>
          </w:tcPr>
          <w:p>
            <w:pPr>
              <w:spacing w:after="0"/>
              <w:rPr>
                <w:sz w:val="11"/>
                <w:szCs w:val="11"/>
                <w:color w:val="auto"/>
              </w:rPr>
            </w:pPr>
          </w:p>
        </w:tc>
        <w:tc>
          <w:tcPr>
            <w:tcW w:w="1140" w:type="dxa"/>
            <w:vAlign w:val="bottom"/>
            <w:tcBorders>
              <w:top w:val="single" w:sz="8" w:color="auto"/>
              <w:bottom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EEEEEE"/>
            </w:tcBorders>
            <w:shd w:val="clear" w:color="auto" w:fill="EEEEEE"/>
          </w:tcPr>
          <w:p>
            <w:pPr>
              <w:spacing w:after="0"/>
              <w:rPr>
                <w:sz w:val="11"/>
                <w:szCs w:val="11"/>
                <w:color w:val="auto"/>
              </w:rPr>
            </w:pPr>
          </w:p>
        </w:tc>
        <w:tc>
          <w:tcPr>
            <w:tcW w:w="140" w:type="dxa"/>
            <w:vAlign w:val="bottom"/>
            <w:tcBorders>
              <w:top w:val="single" w:sz="8" w:color="auto"/>
              <w:bottom w:val="single" w:sz="8" w:color="EEEEEE"/>
            </w:tcBorders>
            <w:shd w:val="clear" w:color="auto" w:fill="EEEEEE"/>
          </w:tcPr>
          <w:p>
            <w:pPr>
              <w:spacing w:after="0"/>
              <w:rPr>
                <w:sz w:val="11"/>
                <w:szCs w:val="11"/>
                <w:color w:val="auto"/>
              </w:rPr>
            </w:pPr>
          </w:p>
        </w:tc>
        <w:tc>
          <w:tcPr>
            <w:tcW w:w="960" w:type="dxa"/>
            <w:vAlign w:val="bottom"/>
            <w:tcBorders>
              <w:top w:val="single" w:sz="8" w:color="auto"/>
              <w:bottom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EEEEEE"/>
            </w:tcBorders>
            <w:shd w:val="clear" w:color="auto" w:fill="EEEEEE"/>
          </w:tcPr>
          <w:p>
            <w:pPr>
              <w:spacing w:after="0"/>
              <w:rPr>
                <w:sz w:val="11"/>
                <w:szCs w:val="11"/>
                <w:color w:val="auto"/>
              </w:rPr>
            </w:pPr>
          </w:p>
        </w:tc>
        <w:tc>
          <w:tcPr>
            <w:tcW w:w="200" w:type="dxa"/>
            <w:vAlign w:val="bottom"/>
            <w:tcBorders>
              <w:top w:val="single" w:sz="8" w:color="auto"/>
              <w:bottom w:val="single" w:sz="8" w:color="EEEEEE"/>
            </w:tcBorders>
            <w:shd w:val="clear" w:color="auto" w:fill="EEEEEE"/>
          </w:tcPr>
          <w:p>
            <w:pPr>
              <w:spacing w:after="0"/>
              <w:rPr>
                <w:sz w:val="11"/>
                <w:szCs w:val="11"/>
                <w:color w:val="auto"/>
              </w:rPr>
            </w:pPr>
          </w:p>
        </w:tc>
        <w:tc>
          <w:tcPr>
            <w:tcW w:w="900" w:type="dxa"/>
            <w:vAlign w:val="bottom"/>
            <w:tcBorders>
              <w:top w:val="single" w:sz="8" w:color="auto"/>
              <w:bottom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EEEEEE"/>
            </w:tcBorders>
            <w:shd w:val="clear" w:color="auto" w:fill="EEEEEE"/>
          </w:tcPr>
          <w:p>
            <w:pPr>
              <w:spacing w:after="0"/>
              <w:rPr>
                <w:sz w:val="11"/>
                <w:szCs w:val="11"/>
                <w:color w:val="auto"/>
              </w:rPr>
            </w:pPr>
          </w:p>
        </w:tc>
        <w:tc>
          <w:tcPr>
            <w:tcW w:w="1120" w:type="dxa"/>
            <w:vAlign w:val="bottom"/>
            <w:tcBorders>
              <w:top w:val="single" w:sz="8" w:color="auto"/>
              <w:bottom w:val="single" w:sz="8" w:color="EEEEEE"/>
            </w:tcBorders>
            <w:shd w:val="clear" w:color="auto" w:fill="EEEEEE"/>
          </w:tcPr>
          <w:p>
            <w:pPr>
              <w:spacing w:after="0"/>
              <w:rPr>
                <w:sz w:val="11"/>
                <w:szCs w:val="11"/>
                <w:color w:val="auto"/>
              </w:rPr>
            </w:pPr>
          </w:p>
        </w:tc>
        <w:tc>
          <w:tcPr>
            <w:tcW w:w="100" w:type="dxa"/>
            <w:vAlign w:val="bottom"/>
            <w:tcBorders>
              <w:top w:val="single" w:sz="8" w:color="EEEEEE"/>
              <w:bottom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5"/>
          </w:tcPr>
          <w:p>
            <w:pPr>
              <w:spacing w:after="0" w:line="142" w:lineRule="exact"/>
              <w:rPr>
                <w:sz w:val="20"/>
                <w:szCs w:val="20"/>
                <w:color w:val="auto"/>
              </w:rPr>
            </w:pPr>
            <w:r>
              <w:rPr>
                <w:rFonts w:ascii="Arial" w:cs="Arial" w:eastAsia="Arial" w:hAnsi="Arial"/>
                <w:sz w:val="14"/>
                <w:szCs w:val="14"/>
                <w:color w:val="auto"/>
              </w:rPr>
              <w:t>Finance receivables gross (2)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684,259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126,716</w:t>
            </w: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18.5%</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1,157,910</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214,037</w:t>
            </w:r>
          </w:p>
        </w:tc>
        <w:tc>
          <w:tcPr>
            <w:tcW w:w="12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328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Finance receivables at fair value</w:t>
            </w: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1,631,491</w:t>
            </w:r>
          </w:p>
        </w:tc>
        <w:tc>
          <w:tcPr>
            <w:tcW w:w="200" w:type="dxa"/>
            <w:vAlign w:val="bottom"/>
            <w:shd w:val="clear" w:color="auto" w:fill="EEEEEE"/>
          </w:tcPr>
          <w:p>
            <w:pPr>
              <w:spacing w:after="0"/>
              <w:rPr>
                <w:sz w:val="14"/>
                <w:szCs w:val="14"/>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168,266</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1,212,226</w:t>
            </w:r>
          </w:p>
        </w:tc>
        <w:tc>
          <w:tcPr>
            <w:tcW w:w="20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123,059</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2,315,750</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294,982</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12.7%</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2,370,136</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337,096</w:t>
            </w:r>
          </w:p>
        </w:tc>
        <w:tc>
          <w:tcPr>
            <w:tcW w:w="220" w:type="dxa"/>
            <w:vAlign w:val="bottom"/>
          </w:tcPr>
          <w:p>
            <w:pPr>
              <w:spacing w:after="0"/>
              <w:rPr>
                <w:sz w:val="12"/>
                <w:szCs w:val="12"/>
                <w:color w:val="auto"/>
              </w:rPr>
            </w:pPr>
          </w:p>
        </w:tc>
        <w:tc>
          <w:tcPr>
            <w:tcW w:w="12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7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2520" w:type="dxa"/>
            <w:vAlign w:val="bottom"/>
            <w:gridSpan w:val="4"/>
          </w:tcPr>
          <w:p>
            <w:pPr>
              <w:jc w:val="center"/>
              <w:ind w:right="880"/>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FFFFFF"/>
              </w:rPr>
              <w:t>$</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gridSpan w:val="5"/>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EEEEEE"/>
          </w:tcPr>
          <w:p>
            <w:pPr>
              <w:jc w:val="right"/>
              <w:ind w:right="260"/>
              <w:spacing w:after="0" w:line="142" w:lineRule="exact"/>
              <w:rPr>
                <w:sz w:val="20"/>
                <w:szCs w:val="20"/>
                <w:color w:val="auto"/>
              </w:rPr>
            </w:pPr>
            <w:r>
              <w:rPr>
                <w:rFonts w:ascii="Arial" w:cs="Arial" w:eastAsia="Arial" w:hAnsi="Arial"/>
                <w:sz w:val="14"/>
                <w:szCs w:val="14"/>
                <w:color w:val="auto"/>
              </w:rPr>
              <w:t>92,481</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7,678</w:t>
            </w:r>
          </w:p>
        </w:tc>
        <w:tc>
          <w:tcPr>
            <w:tcW w:w="13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8.3%</w:t>
            </w:r>
          </w:p>
        </w:tc>
        <w:tc>
          <w:tcPr>
            <w:tcW w:w="1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86,200</w:t>
            </w:r>
          </w:p>
        </w:tc>
        <w:tc>
          <w:tcPr>
            <w:tcW w:w="2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8,402</w:t>
            </w:r>
          </w:p>
        </w:tc>
        <w:tc>
          <w:tcPr>
            <w:tcW w:w="122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3280" w:type="dxa"/>
            <w:vAlign w:val="bottom"/>
            <w:gridSpan w:val="5"/>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34,906</w:t>
            </w: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3,454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2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3,822</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8"/>
        </w:trPr>
        <w:tc>
          <w:tcPr>
            <w:tcW w:w="328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2,017,152</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88,031</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2,181,545</w:t>
            </w:r>
          </w:p>
        </w:tc>
        <w:tc>
          <w:tcPr>
            <w:tcW w:w="2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96,870</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3280" w:type="dxa"/>
            <w:vAlign w:val="bottom"/>
            <w:gridSpan w:val="5"/>
          </w:tcPr>
          <w:p>
            <w:pPr>
              <w:spacing w:after="0"/>
              <w:rPr>
                <w:sz w:val="20"/>
                <w:szCs w:val="20"/>
                <w:color w:val="auto"/>
              </w:rPr>
            </w:pPr>
            <w:r>
              <w:rPr>
                <w:rFonts w:ascii="Arial" w:cs="Arial" w:eastAsia="Arial" w:hAnsi="Arial"/>
                <w:sz w:val="14"/>
                <w:szCs w:val="14"/>
                <w:color w:val="auto"/>
              </w:rPr>
              <w:t>Subordinated renewable notes</w:t>
            </w:r>
          </w:p>
        </w:tc>
        <w:tc>
          <w:tcPr>
            <w:tcW w:w="1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19,340</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2,175</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14,982</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1,434</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4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36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4.7%</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4.8%</w:t>
            </w:r>
          </w:p>
        </w:tc>
        <w:tc>
          <w:tcPr>
            <w:tcW w:w="0" w:type="dxa"/>
            <w:vAlign w:val="bottom"/>
          </w:tcPr>
          <w:p>
            <w:pPr>
              <w:spacing w:after="0" w:line="20" w:lineRule="exact"/>
              <w:rPr>
                <w:sz w:val="1"/>
                <w:szCs w:val="1"/>
                <w:color w:val="auto"/>
              </w:rPr>
            </w:pPr>
          </w:p>
        </w:tc>
      </w:tr>
      <w:tr>
        <w:trPr>
          <w:trHeight w:val="169"/>
        </w:trPr>
        <w:tc>
          <w:tcPr>
            <w:tcW w:w="76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44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80" w:type="dxa"/>
            <w:vAlign w:val="bottom"/>
            <w:shd w:val="clear" w:color="auto" w:fill="EEEEEE"/>
          </w:tcPr>
          <w:p>
            <w:pPr>
              <w:spacing w:after="0"/>
              <w:rPr>
                <w:sz w:val="14"/>
                <w:szCs w:val="14"/>
                <w:color w:val="auto"/>
              </w:rPr>
            </w:pP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2,163,879</w:t>
            </w:r>
          </w:p>
        </w:tc>
        <w:tc>
          <w:tcPr>
            <w:tcW w:w="200" w:type="dxa"/>
            <w:vAlign w:val="bottom"/>
            <w:shd w:val="clear" w:color="auto" w:fill="EEEEEE"/>
          </w:tcPr>
          <w:p>
            <w:pPr>
              <w:spacing w:after="0"/>
              <w:rPr>
                <w:sz w:val="14"/>
                <w:szCs w:val="14"/>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101,338</w:t>
            </w:r>
          </w:p>
        </w:tc>
        <w:tc>
          <w:tcPr>
            <w:tcW w:w="240" w:type="dxa"/>
            <w:vAlign w:val="bottom"/>
            <w:vMerge w:val="continue"/>
            <w:shd w:val="clear" w:color="auto" w:fill="EEEEEE"/>
          </w:tcPr>
          <w:p>
            <w:pPr>
              <w:spacing w:after="0"/>
              <w:rPr>
                <w:sz w:val="14"/>
                <w:szCs w:val="14"/>
                <w:color w:val="auto"/>
              </w:rPr>
            </w:pPr>
          </w:p>
        </w:tc>
        <w:tc>
          <w:tcPr>
            <w:tcW w:w="1360" w:type="dxa"/>
            <w:vAlign w:val="bottom"/>
            <w:gridSpan w:val="2"/>
            <w:vMerge w:val="continue"/>
            <w:shd w:val="clear" w:color="auto" w:fill="EEEEEE"/>
          </w:tcPr>
          <w:p>
            <w:pPr>
              <w:spacing w:after="0"/>
              <w:rPr>
                <w:sz w:val="14"/>
                <w:szCs w:val="14"/>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2,322,727</w:t>
            </w:r>
          </w:p>
        </w:tc>
        <w:tc>
          <w:tcPr>
            <w:tcW w:w="200" w:type="dxa"/>
            <w:vAlign w:val="bottom"/>
            <w:shd w:val="clear" w:color="auto" w:fill="EEEEEE"/>
          </w:tcPr>
          <w:p>
            <w:pPr>
              <w:spacing w:after="0"/>
              <w:rPr>
                <w:sz w:val="14"/>
                <w:szCs w:val="14"/>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110,528</w:t>
            </w:r>
          </w:p>
        </w:tc>
        <w:tc>
          <w:tcPr>
            <w:tcW w:w="220" w:type="dxa"/>
            <w:vAlign w:val="bottom"/>
            <w:vMerge w:val="continue"/>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bottom w:val="single" w:sz="8" w:color="EEEEEE"/>
            </w:tcBorders>
            <w:vMerge w:val="restart"/>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144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880" w:type="dxa"/>
            <w:vAlign w:val="bottom"/>
            <w:tcBorders>
              <w:bottom w:val="single" w:sz="8" w:color="EEEEEE"/>
            </w:tcBorders>
          </w:tcPr>
          <w:p>
            <w:pPr>
              <w:spacing w:after="0"/>
              <w:rPr>
                <w:sz w:val="12"/>
                <w:szCs w:val="12"/>
                <w:color w:val="auto"/>
              </w:rPr>
            </w:pPr>
          </w:p>
        </w:tc>
        <w:tc>
          <w:tcPr>
            <w:tcW w:w="140" w:type="dxa"/>
            <w:vAlign w:val="bottom"/>
            <w:tcBorders>
              <w:bottom w:val="single" w:sz="8" w:color="EEEEEE"/>
            </w:tcBorders>
          </w:tcPr>
          <w:p>
            <w:pPr>
              <w:spacing w:after="0"/>
              <w:rPr>
                <w:sz w:val="12"/>
                <w:szCs w:val="12"/>
                <w:color w:val="auto"/>
              </w:rPr>
            </w:pPr>
          </w:p>
        </w:tc>
        <w:tc>
          <w:tcPr>
            <w:tcW w:w="980" w:type="dxa"/>
            <w:vAlign w:val="bottom"/>
            <w:tcBorders>
              <w:bottom w:val="single" w:sz="8" w:color="EEEEEE"/>
            </w:tcBorders>
          </w:tcPr>
          <w:p>
            <w:pPr>
              <w:jc w:val="right"/>
              <w:spacing w:after="0" w:line="143" w:lineRule="exact"/>
              <w:rPr>
                <w:sz w:val="20"/>
                <w:szCs w:val="20"/>
                <w:color w:val="auto"/>
              </w:rPr>
            </w:pPr>
            <w:r>
              <w:rPr>
                <w:rFonts w:ascii="Arial" w:cs="Arial" w:eastAsia="Arial" w:hAnsi="Arial"/>
                <w:sz w:val="14"/>
                <w:szCs w:val="14"/>
                <w:color w:val="FFFFFF"/>
              </w:rPr>
              <w:t>$</w:t>
            </w:r>
          </w:p>
        </w:tc>
        <w:tc>
          <w:tcPr>
            <w:tcW w:w="260" w:type="dxa"/>
            <w:vAlign w:val="bottom"/>
            <w:tcBorders>
              <w:bottom w:val="single" w:sz="8" w:color="EEEEEE"/>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EEEEEE"/>
            </w:tcBorders>
          </w:tcPr>
          <w:p>
            <w:pPr>
              <w:spacing w:after="0"/>
              <w:rPr>
                <w:sz w:val="12"/>
                <w:szCs w:val="12"/>
                <w:color w:val="auto"/>
              </w:rPr>
            </w:pPr>
          </w:p>
        </w:tc>
        <w:tc>
          <w:tcPr>
            <w:tcW w:w="114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140" w:type="dxa"/>
            <w:vAlign w:val="bottom"/>
            <w:tcBorders>
              <w:bottom w:val="single" w:sz="8" w:color="EEEEEE"/>
            </w:tcBorders>
          </w:tcPr>
          <w:p>
            <w:pPr>
              <w:spacing w:after="0"/>
              <w:rPr>
                <w:sz w:val="12"/>
                <w:szCs w:val="12"/>
                <w:color w:val="auto"/>
              </w:rPr>
            </w:pPr>
          </w:p>
        </w:tc>
        <w:tc>
          <w:tcPr>
            <w:tcW w:w="96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112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tcBorders>
              <w:bottom w:val="single" w:sz="8" w:color="EEEEEE"/>
            </w:tcBorders>
            <w:gridSpan w:val="5"/>
            <w:shd w:val="clear" w:color="auto" w:fill="EEEEEE"/>
          </w:tcPr>
          <w:p>
            <w:pPr>
              <w:spacing w:after="0" w:line="155" w:lineRule="exact"/>
              <w:rPr>
                <w:sz w:val="20"/>
                <w:szCs w:val="20"/>
                <w:color w:val="auto"/>
              </w:rPr>
            </w:pPr>
            <w:r>
              <w:rPr>
                <w:rFonts w:ascii="Arial" w:cs="Arial" w:eastAsia="Arial" w:hAnsi="Arial"/>
                <w:sz w:val="14"/>
                <w:szCs w:val="14"/>
                <w:color w:val="auto"/>
              </w:rPr>
              <w:t>Net interest income/spread</w:t>
            </w:r>
          </w:p>
        </w:tc>
        <w:tc>
          <w:tcPr>
            <w:tcW w:w="140" w:type="dxa"/>
            <w:vAlign w:val="bottom"/>
            <w:tcBorders>
              <w:bottom w:val="single" w:sz="8" w:color="EEEEEE"/>
            </w:tcBorders>
            <w:shd w:val="clear" w:color="auto" w:fill="EEEEEE"/>
          </w:tcPr>
          <w:p>
            <w:pPr>
              <w:spacing w:after="0"/>
              <w:rPr>
                <w:sz w:val="13"/>
                <w:szCs w:val="13"/>
                <w:color w:val="auto"/>
              </w:rPr>
            </w:pPr>
          </w:p>
        </w:tc>
        <w:tc>
          <w:tcPr>
            <w:tcW w:w="980" w:type="dxa"/>
            <w:vAlign w:val="bottom"/>
            <w:tcBorders>
              <w:bottom w:val="single" w:sz="8" w:color="EEEEEE"/>
            </w:tcBorders>
            <w:shd w:val="clear" w:color="auto" w:fill="EEEEEE"/>
          </w:tcPr>
          <w:p>
            <w:pPr>
              <w:spacing w:after="0"/>
              <w:rPr>
                <w:sz w:val="13"/>
                <w:szCs w:val="13"/>
                <w:color w:val="auto"/>
              </w:rPr>
            </w:pPr>
          </w:p>
        </w:tc>
        <w:tc>
          <w:tcPr>
            <w:tcW w:w="26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193,644</w:t>
            </w:r>
          </w:p>
        </w:tc>
        <w:tc>
          <w:tcPr>
            <w:tcW w:w="240" w:type="dxa"/>
            <w:vAlign w:val="bottom"/>
            <w:tcBorders>
              <w:bottom w:val="single" w:sz="8" w:color="EEEEEE"/>
            </w:tcBorders>
            <w:shd w:val="clear" w:color="auto" w:fill="EEEEEE"/>
          </w:tcPr>
          <w:p>
            <w:pPr>
              <w:spacing w:after="0"/>
              <w:rPr>
                <w:sz w:val="13"/>
                <w:szCs w:val="13"/>
                <w:color w:val="auto"/>
              </w:rPr>
            </w:pPr>
          </w:p>
        </w:tc>
        <w:tc>
          <w:tcPr>
            <w:tcW w:w="1140" w:type="dxa"/>
            <w:vAlign w:val="bottom"/>
            <w:tcBorders>
              <w:bottom w:val="single" w:sz="8" w:color="EEEEEE"/>
            </w:tcBorders>
            <w:shd w:val="clear" w:color="auto" w:fill="EEEEEE"/>
          </w:tcPr>
          <w:p>
            <w:pPr>
              <w:spacing w:after="0"/>
              <w:rPr>
                <w:sz w:val="13"/>
                <w:szCs w:val="13"/>
                <w:color w:val="auto"/>
              </w:rPr>
            </w:pPr>
          </w:p>
        </w:tc>
        <w:tc>
          <w:tcPr>
            <w:tcW w:w="22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EEEEEE"/>
            </w:tcBorders>
            <w:shd w:val="clear" w:color="auto" w:fill="EEEEEE"/>
          </w:tcPr>
          <w:p>
            <w:pPr>
              <w:spacing w:after="0"/>
              <w:rPr>
                <w:sz w:val="13"/>
                <w:szCs w:val="13"/>
                <w:color w:val="auto"/>
              </w:rPr>
            </w:pPr>
          </w:p>
        </w:tc>
        <w:tc>
          <w:tcPr>
            <w:tcW w:w="960" w:type="dxa"/>
            <w:vAlign w:val="bottom"/>
            <w:tcBorders>
              <w:bottom w:val="single" w:sz="8" w:color="EEEEEE"/>
            </w:tcBorders>
            <w:shd w:val="clear" w:color="auto" w:fill="EEEEEE"/>
          </w:tcPr>
          <w:p>
            <w:pPr>
              <w:spacing w:after="0"/>
              <w:rPr>
                <w:sz w:val="13"/>
                <w:szCs w:val="13"/>
                <w:color w:val="auto"/>
              </w:rPr>
            </w:pPr>
          </w:p>
        </w:tc>
        <w:tc>
          <w:tcPr>
            <w:tcW w:w="220" w:type="dxa"/>
            <w:vAlign w:val="bottom"/>
            <w:tcBorders>
              <w:bottom w:val="single" w:sz="8" w:color="EEEEEE"/>
            </w:tcBorders>
            <w:shd w:val="clear" w:color="auto" w:fill="EEEEEE"/>
          </w:tcPr>
          <w:p>
            <w:pPr>
              <w:spacing w:after="0"/>
              <w:rPr>
                <w:sz w:val="13"/>
                <w:szCs w:val="13"/>
                <w:color w:val="auto"/>
              </w:rPr>
            </w:pPr>
          </w:p>
        </w:tc>
        <w:tc>
          <w:tcPr>
            <w:tcW w:w="200" w:type="dxa"/>
            <w:vAlign w:val="bottom"/>
            <w:tcBorders>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226,568</w:t>
            </w:r>
          </w:p>
        </w:tc>
        <w:tc>
          <w:tcPr>
            <w:tcW w:w="220" w:type="dxa"/>
            <w:vAlign w:val="bottom"/>
            <w:tcBorders>
              <w:bottom w:val="single" w:sz="8" w:color="EEEEEE"/>
            </w:tcBorders>
            <w:shd w:val="clear" w:color="auto" w:fill="EEEEEE"/>
          </w:tcPr>
          <w:p>
            <w:pPr>
              <w:spacing w:after="0"/>
              <w:rPr>
                <w:sz w:val="13"/>
                <w:szCs w:val="13"/>
                <w:color w:val="auto"/>
              </w:rPr>
            </w:pPr>
          </w:p>
        </w:tc>
        <w:tc>
          <w:tcPr>
            <w:tcW w:w="112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spacing w:after="0"/>
              <w:rPr>
                <w:sz w:val="20"/>
                <w:szCs w:val="20"/>
                <w:color w:val="auto"/>
              </w:rPr>
            </w:pPr>
            <w:r>
              <w:rPr>
                <w:rFonts w:ascii="Arial" w:cs="Arial" w:eastAsia="Arial" w:hAnsi="Arial"/>
                <w:sz w:val="14"/>
                <w:szCs w:val="14"/>
                <w:color w:val="auto"/>
              </w:rPr>
              <w:t>Net interest margin (3)</w:t>
            </w:r>
          </w:p>
        </w:tc>
        <w:tc>
          <w:tcPr>
            <w:tcW w:w="140" w:type="dxa"/>
            <w:vAlign w:val="bottom"/>
          </w:tcPr>
          <w:p>
            <w:pPr>
              <w:spacing w:after="0" w:line="20" w:lineRule="exact"/>
              <w:rPr>
                <w:sz w:val="1"/>
                <w:szCs w:val="1"/>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FFFFFF"/>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8.4%</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9.6%</w:t>
            </w:r>
          </w:p>
        </w:tc>
        <w:tc>
          <w:tcPr>
            <w:tcW w:w="0" w:type="dxa"/>
            <w:vAlign w:val="bottom"/>
          </w:tcPr>
          <w:p>
            <w:pPr>
              <w:spacing w:after="0" w:line="20" w:lineRule="exact"/>
              <w:rPr>
                <w:sz w:val="1"/>
                <w:szCs w:val="1"/>
                <w:color w:val="auto"/>
              </w:rPr>
            </w:pPr>
          </w:p>
        </w:tc>
      </w:tr>
      <w:tr>
        <w:trPr>
          <w:trHeight w:val="129"/>
        </w:trPr>
        <w:tc>
          <w:tcPr>
            <w:tcW w:w="328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gridSpan w:val="5"/>
          </w:tcPr>
          <w:p>
            <w:pPr>
              <w:spacing w:after="0" w:line="130" w:lineRule="exact"/>
              <w:rPr>
                <w:sz w:val="20"/>
                <w:szCs w:val="20"/>
                <w:color w:val="auto"/>
              </w:rPr>
            </w:pPr>
            <w:r>
              <w:rPr>
                <w:rFonts w:ascii="Arial" w:cs="Arial" w:eastAsia="Arial" w:hAnsi="Arial"/>
                <w:sz w:val="14"/>
                <w:szCs w:val="14"/>
                <w:color w:val="auto"/>
              </w:rPr>
              <w:t>Ratio of average interest earning assets to average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80" w:type="dxa"/>
            <w:vAlign w:val="bottom"/>
            <w:gridSpan w:val="5"/>
          </w:tcPr>
          <w:p>
            <w:pPr>
              <w:ind w:left="180"/>
              <w:spacing w:after="0"/>
              <w:rPr>
                <w:sz w:val="20"/>
                <w:szCs w:val="20"/>
                <w:color w:val="auto"/>
              </w:rPr>
            </w:pPr>
            <w:r>
              <w:rPr>
                <w:rFonts w:ascii="Arial" w:cs="Arial" w:eastAsia="Arial" w:hAnsi="Arial"/>
                <w:sz w:val="14"/>
                <w:szCs w:val="14"/>
                <w:color w:val="auto"/>
              </w:rPr>
              <w:t>interest bearing liabilities</w:t>
            </w:r>
          </w:p>
        </w:tc>
        <w:tc>
          <w:tcPr>
            <w:tcW w:w="1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ind w:left="420" w:hanging="232"/>
        <w:spacing w:after="0" w:line="228"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420" w:hanging="232"/>
        <w:spacing w:after="0" w:line="221"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420" w:hanging="23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interest income divided by average interest earning assets.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9"/>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gridSpan w:val="9"/>
          </w:tcPr>
          <w:p>
            <w:pPr>
              <w:jc w:val="center"/>
              <w:ind w:right="241"/>
              <w:spacing w:after="0"/>
              <w:rPr>
                <w:sz w:val="20"/>
                <w:szCs w:val="20"/>
                <w:color w:val="auto"/>
              </w:rPr>
            </w:pPr>
            <w:r>
              <w:rPr>
                <w:rFonts w:ascii="Arial" w:cs="Arial" w:eastAsia="Arial" w:hAnsi="Arial"/>
                <w:sz w:val="18"/>
                <w:szCs w:val="18"/>
                <w:b w:val="1"/>
                <w:bCs w:val="1"/>
                <w:color w:val="auto"/>
                <w:w w:val="90"/>
              </w:rPr>
              <w:t>Year Ended December 31, 2020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9"/>
          </w:tcPr>
          <w:p>
            <w:pPr>
              <w:jc w:val="center"/>
              <w:ind w:right="241"/>
              <w:spacing w:after="0"/>
              <w:rPr>
                <w:sz w:val="20"/>
                <w:szCs w:val="20"/>
                <w:color w:val="auto"/>
              </w:rPr>
            </w:pPr>
            <w:r>
              <w:rPr>
                <w:rFonts w:ascii="Arial" w:cs="Arial" w:eastAsia="Arial" w:hAnsi="Arial"/>
                <w:sz w:val="18"/>
                <w:szCs w:val="18"/>
                <w:b w:val="1"/>
                <w:bCs w:val="1"/>
                <w:color w:val="auto"/>
                <w:w w:val="90"/>
              </w:rPr>
              <w:t>Compared to December 31, 2019</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561"/>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181"/>
              <w:spacing w:after="0" w:line="205" w:lineRule="exact"/>
              <w:rPr>
                <w:sz w:val="20"/>
                <w:szCs w:val="20"/>
                <w:color w:val="auto"/>
              </w:rPr>
            </w:pPr>
            <w:r>
              <w:rPr>
                <w:rFonts w:ascii="Arial" w:cs="Arial" w:eastAsia="Arial" w:hAnsi="Arial"/>
                <w:sz w:val="18"/>
                <w:szCs w:val="18"/>
                <w:b w:val="1"/>
                <w:bCs w:val="1"/>
                <w:color w:val="auto"/>
                <w:w w:val="89"/>
              </w:rPr>
              <w:t>Change Due</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1"/>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4"/>
            <w:vMerge w:val="restart"/>
          </w:tcPr>
          <w:p>
            <w:pPr>
              <w:jc w:val="center"/>
              <w:ind w:right="2500"/>
              <w:spacing w:after="0"/>
              <w:rPr>
                <w:sz w:val="20"/>
                <w:szCs w:val="20"/>
                <w:color w:val="auto"/>
              </w:rPr>
            </w:pPr>
            <w:r>
              <w:rPr>
                <w:rFonts w:ascii="Arial" w:cs="Arial" w:eastAsia="Arial" w:hAnsi="Arial"/>
                <w:sz w:val="18"/>
                <w:szCs w:val="18"/>
                <w:b w:val="1"/>
                <w:bCs w:val="1"/>
                <w:color w:val="auto"/>
                <w:w w:val="89"/>
              </w:rPr>
              <w:t>Interest Earning Assets</w:t>
            </w:r>
          </w:p>
        </w:tc>
        <w:tc>
          <w:tcPr>
            <w:tcW w:w="220" w:type="dxa"/>
            <w:vAlign w:val="bottom"/>
          </w:tcPr>
          <w:p>
            <w:pPr>
              <w:spacing w:after="0"/>
              <w:rPr>
                <w:sz w:val="20"/>
                <w:szCs w:val="20"/>
                <w:color w:val="auto"/>
              </w:rPr>
            </w:pPr>
          </w:p>
        </w:tc>
        <w:tc>
          <w:tcPr>
            <w:tcW w:w="12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9"/>
              </w:rPr>
              <w:t>to Volume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gridSpan w:val="4"/>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jc w:val="center"/>
              <w:ind w:right="81"/>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4820" w:type="dxa"/>
            <w:vAlign w:val="bottom"/>
            <w:gridSpan w:val="6"/>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(87,321)</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(87,553)</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w w:val="91"/>
              </w:rPr>
              <w:t>Finance receivables at fair value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45,207</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42,562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09"/>
        </w:trPr>
        <w:tc>
          <w:tcPr>
            <w:tcW w:w="238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(42,114)</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(44,991)</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4820" w:type="dxa"/>
            <w:vAlign w:val="bottom"/>
            <w:gridSpan w:val="6"/>
          </w:tcPr>
          <w:p>
            <w:pPr>
              <w:jc w:val="center"/>
              <w:ind w:right="272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612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(8,839)</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(7,300)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w w:val="96"/>
              </w:rPr>
              <w:t>Subordinated renewable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238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(9,190</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(6,758</w:t>
            </w:r>
          </w:p>
        </w:tc>
        <w:tc>
          <w:tcPr>
            <w:tcW w:w="140" w:type="dxa"/>
            <w:vAlign w:val="bottom"/>
            <w:tcBorders>
              <w:top w:val="single" w:sz="8" w:color="EEEEEE"/>
            </w:tcBorders>
            <w:shd w:val="clear" w:color="auto" w:fill="EEEEEE"/>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4820" w:type="dxa"/>
            <w:vAlign w:val="bottom"/>
            <w:gridSpan w:val="6"/>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(32,924)</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(38,233)</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0"/>
        </w:trPr>
        <w:tc>
          <w:tcPr>
            <w:tcW w:w="23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5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reduction in the annualized yield on our finance receivables for the year ended December 31, 2020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$1,631.5 million for the twelve months ended December 31, 2020 compared to $1,212.2 million in the prior year period.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Codification Topic 326 - 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The amendment introduces a new credit reserving model known as the Current Expected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 model, 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 for credit losses was $14.1 million for the year ended December 31, 2020. The provision represents our estimate of additional losses that may be incurred on the portfolio of finance receivables resulting from the pandemic. Such losses were not considered in our initial estimate of remaining lifetime losses that we recorded with the adoption of CECL in January 2020. In the prior year period, prior to the adoption of CECL, provision for credit losses was $85.8 million.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$3.7 million to $14.2 million during the year ended December 31, 2020 and represented 5.7% of total operating expenses. We purchased $742.6 million of new contracts during the year ended December 31, 2020 compared to $1,002.8 million in the prior year period. In our second quarter of 2020, we experienced a significant reduction in contract purchases due to the pandemic and partial shutdown of the economy. Subsequently, our contract purchase volumes have increased but have not recovered to pre-pandemic levels.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Occupancy expenses decreased by $66,000 or 0.9%, to $7.4 million compared to $7.5 million in the previous year and represented 3.0%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8" w:name="page49"/>
    <w:bookmarkEnd w:id="48"/>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$709,000 or 65.9%, to $1.8 million compared to $1.1 million in the previous year and represented 0.6% of total operating expenses.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 benefit was $1.6 million for the year ended December 31, 2020, which includes an $8.8 million tax benefit.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would have been $7.2 million, representing an effective income tax rate of 36%. For the prior year period, income tax expense was $3.8 million, which represents an effective income tax rate of 41%.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2019 with the year ended December 31, 2018</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year ended December 31, 2019, our revenues were $345.8 million, a decrease of $44.0 million, or 11.3%,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of $389.8 million. The primary reason for the decrease in revenues is a decrease in interest income. Interest income for the year ended December 31, 2019 decreased $43.2 million, or 11.4%, to $337.1 million from $380.3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 Earning Assets</w:t>
            </w:r>
          </w:p>
        </w:tc>
        <w:tc>
          <w:tcPr>
            <w:tcW w:w="9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27"/>
        </w:trPr>
        <w:tc>
          <w:tcPr>
            <w:tcW w:w="860" w:type="dxa"/>
            <w:vAlign w:val="bottom"/>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gridSpan w:val="3"/>
            <w:shd w:val="clear" w:color="auto" w:fill="EEEEEE"/>
          </w:tcPr>
          <w:p>
            <w:pPr>
              <w:spacing w:after="0" w:line="149" w:lineRule="exact"/>
              <w:rPr>
                <w:sz w:val="20"/>
                <w:szCs w:val="20"/>
                <w:color w:val="auto"/>
              </w:rPr>
            </w:pPr>
            <w:r>
              <w:rPr>
                <w:rFonts w:ascii="Arial" w:cs="Arial" w:eastAsia="Arial" w:hAnsi="Arial"/>
                <w:sz w:val="14"/>
                <w:szCs w:val="14"/>
                <w:color w:val="auto"/>
              </w:rPr>
              <w:t>Finance receivables</w:t>
            </w:r>
          </w:p>
        </w:tc>
        <w:tc>
          <w:tcPr>
            <w:tcW w:w="180" w:type="dxa"/>
            <w:vAlign w:val="bottom"/>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EEEEEE"/>
          </w:tcPr>
          <w:p>
            <w:pPr>
              <w:ind w:left="380"/>
              <w:spacing w:after="0" w:line="149" w:lineRule="exact"/>
              <w:rPr>
                <w:sz w:val="20"/>
                <w:szCs w:val="20"/>
                <w:color w:val="auto"/>
              </w:rPr>
            </w:pPr>
            <w:r>
              <w:rPr>
                <w:rFonts w:ascii="Arial" w:cs="Arial" w:eastAsia="Arial" w:hAnsi="Arial"/>
                <w:sz w:val="14"/>
                <w:szCs w:val="14"/>
                <w:color w:val="auto"/>
              </w:rPr>
              <w:t>1,192,484</w:t>
            </w:r>
          </w:p>
        </w:tc>
        <w:tc>
          <w:tcPr>
            <w:tcW w:w="200" w:type="dxa"/>
            <w:vAlign w:val="bottom"/>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214,037</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17.9%</w:t>
            </w:r>
          </w:p>
        </w:tc>
        <w:tc>
          <w:tcPr>
            <w:tcW w:w="180" w:type="dxa"/>
            <w:vAlign w:val="bottom"/>
            <w:shd w:val="clear" w:color="auto" w:fill="EEEEEE"/>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1,860,388</w:t>
            </w:r>
          </w:p>
        </w:tc>
        <w:tc>
          <w:tcPr>
            <w:tcW w:w="200" w:type="dxa"/>
            <w:vAlign w:val="bottom"/>
            <w:shd w:val="clear" w:color="auto" w:fill="EEEEEE"/>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336,434</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3280" w:type="dxa"/>
            <w:vAlign w:val="bottom"/>
            <w:gridSpan w:val="3"/>
          </w:tcPr>
          <w:p>
            <w:pPr>
              <w:spacing w:after="0"/>
              <w:rPr>
                <w:sz w:val="20"/>
                <w:szCs w:val="20"/>
                <w:color w:val="auto"/>
              </w:rPr>
            </w:pPr>
            <w:r>
              <w:rPr>
                <w:rFonts w:ascii="Arial" w:cs="Arial" w:eastAsia="Arial" w:hAnsi="Arial"/>
                <w:sz w:val="14"/>
                <w:szCs w:val="14"/>
                <w:color w:val="auto"/>
              </w:rPr>
              <w:t>Finance receivables measured at fair value</w:t>
            </w:r>
          </w:p>
        </w:tc>
        <w:tc>
          <w:tcPr>
            <w:tcW w:w="180" w:type="dxa"/>
            <w:vAlign w:val="bottom"/>
          </w:tcPr>
          <w:p>
            <w:pPr>
              <w:spacing w:after="0"/>
              <w:rPr>
                <w:sz w:val="14"/>
                <w:szCs w:val="14"/>
                <w:color w:val="auto"/>
              </w:rPr>
            </w:pPr>
          </w:p>
        </w:tc>
        <w:tc>
          <w:tcPr>
            <w:tcW w:w="1200" w:type="dxa"/>
            <w:vAlign w:val="bottom"/>
            <w:gridSpan w:val="2"/>
          </w:tcPr>
          <w:p>
            <w:pPr>
              <w:ind w:left="380"/>
              <w:spacing w:after="0"/>
              <w:rPr>
                <w:sz w:val="20"/>
                <w:szCs w:val="20"/>
                <w:color w:val="auto"/>
              </w:rPr>
            </w:pPr>
            <w:r>
              <w:rPr>
                <w:rFonts w:ascii="Arial" w:cs="Arial" w:eastAsia="Arial" w:hAnsi="Arial"/>
                <w:sz w:val="14"/>
                <w:szCs w:val="14"/>
                <w:color w:val="auto"/>
              </w:rPr>
              <w:t>1,212,226</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123,059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447,167</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43,863</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6"/>
        </w:trPr>
        <w:tc>
          <w:tcPr>
            <w:tcW w:w="3280" w:type="dxa"/>
            <w:vAlign w:val="bottom"/>
            <w:tcBorders>
              <w:top w:val="single" w:sz="8" w:color="EEEEEE"/>
              <w:bottom w:val="single" w:sz="8" w:color="EEEEEE"/>
            </w:tcBorders>
            <w:gridSpan w:val="3"/>
            <w:shd w:val="clear" w:color="auto" w:fill="EEEEEE"/>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EEEEEE"/>
          </w:tcPr>
          <w:p>
            <w:pPr>
              <w:ind w:left="380"/>
              <w:spacing w:after="0" w:line="155" w:lineRule="exact"/>
              <w:rPr>
                <w:sz w:val="20"/>
                <w:szCs w:val="20"/>
                <w:color w:val="auto"/>
              </w:rPr>
            </w:pPr>
            <w:r>
              <w:rPr>
                <w:rFonts w:ascii="Arial" w:cs="Arial" w:eastAsia="Arial" w:hAnsi="Arial"/>
                <w:sz w:val="14"/>
                <w:szCs w:val="14"/>
                <w:color w:val="auto"/>
                <w:w w:val="86"/>
              </w:rPr>
              <w:t>2,404,710</w:t>
            </w:r>
          </w:p>
        </w:tc>
        <w:tc>
          <w:tcPr>
            <w:tcW w:w="26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337,096</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14.0%</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2,307,555</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380,297</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16.5%</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income decreased by $730,000, or 7.2%, to $9.5 million in the year ended December 31, 2018 from $10.2 million during the prior year. The decrease in other income resulted from a decrease of $1.2 million in revenues associated with direct mail and other related products and services that we offer to our dealers. This decrease was partially offset by an increase of $740,000 in payments from third-party providers of convenience fees paid by our customers for web based and other electronic payments.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jc w:val="both"/>
        <w:ind w:firstLine="648"/>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operating expenses were $336.6 million for the year ended December 31, 2019, compared to $371.1 million for the prior year, a decrease of $34.4 million, or 9.3%. The decrease is primarily due to a decrease in provision for credit losses, offsetting increases in interest expense, employee costs, and general and administrative expenses.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Employee costs increased by $1.6 million or 2.0%, to $80.9 million during the year ended December 31, 2019, representing 24.0% of total operating expenses, from $79.3 million for the prior year, or 24.5% of total operating expenses. The table below summarizes our employees by category as well as contract purchases and units in our managed portfolio as of, and for the years ended, December 31, 2019 and 2018:</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30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1,002.8</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55,919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2,416.0</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181,498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$33.0 million, an increase of $2.0 million, or 6.3%, compared to the previous year and represented 9.8% of total operating expenses.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year ended December 31, 2019 increased by $9.1 million to $110.5 million, or 8.9%, compared to $101.5 million in the previous year. Interest expense represented 32.8% of total operating expenses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0" w:name="page51"/>
    <w:bookmarkEnd w:id="50"/>
    <w:p>
      <w:pPr>
        <w:jc w:val="both"/>
        <w:ind w:firstLine="648"/>
        <w:spacing w:after="0" w:line="291" w:lineRule="auto"/>
        <w:rPr>
          <w:sz w:val="20"/>
          <w:szCs w:val="20"/>
          <w:color w:val="auto"/>
        </w:rPr>
      </w:pPr>
      <w:r>
        <w:rPr>
          <w:rFonts w:ascii="Arial" w:cs="Arial" w:eastAsia="Arial" w:hAnsi="Arial"/>
          <w:sz w:val="16"/>
          <w:szCs w:val="16"/>
          <w:color w:val="auto"/>
        </w:rPr>
        <w:t>Interest on securitization trust debt increased by $6.9 million, or 7.7%, for the year ended December 31, 2019 compared to the prior year. The average balance of securitization trust debt increased 1.9% to $2,181.5 million for the year ended December 31, 2019 compared to $2,140.1 million for the year ended December 31, 2018. The cost of securitization debt during the year ended December 31, 2019 also increased to 4.4% from 4.2%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 cost of funds had moved up in 2018 before trending downward in 2019.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8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January 2017</w:t>
            </w:r>
          </w:p>
        </w:tc>
        <w:tc>
          <w:tcPr>
            <w:tcW w:w="220" w:type="dxa"/>
            <w:vAlign w:val="bottom"/>
            <w:tcBorders>
              <w:top w:val="single" w:sz="8" w:color="EEEEEE"/>
            </w:tcBorders>
            <w:shd w:val="clear" w:color="auto" w:fill="EEEEEE"/>
          </w:tcPr>
          <w:p>
            <w:pPr>
              <w:spacing w:after="0"/>
              <w:rPr>
                <w:sz w:val="18"/>
                <w:szCs w:val="18"/>
                <w:color w:val="auto"/>
              </w:rPr>
            </w:pPr>
          </w:p>
        </w:tc>
        <w:tc>
          <w:tcPr>
            <w:tcW w:w="28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333333"/>
                <w:w w:val="96"/>
              </w:rPr>
              <w:t>April 2017</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2017</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2017</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333333"/>
                <w:w w:val="89"/>
              </w:rPr>
              <w:t>January 2018</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333333"/>
                <w:w w:val="96"/>
              </w:rPr>
              <w:t>April 2018</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2018</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2018</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333333"/>
                <w:w w:val="89"/>
              </w:rPr>
              <w:t>January 2019</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333333"/>
                <w:w w:val="96"/>
              </w:rPr>
              <w:t>April 2019</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2019</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30"/>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2019</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2.95%</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4.4% for the year ended December 31, 2019 compared to 4.2% in the prior year.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Interest expense on our subordinated renewable notes decreased by $11,000, or 0.8%, for the year ended December 31, 2019 compared to the prior year. The average balance of the notes decreased from $16.5 million in the prior year to $15.0 million for the year ended December 31, 2019. However, the average interest rate on our subordinated notes increased to 9.6% for the year ended December 31, 2019 from 8.7% for the year ended December 31, 2018.</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on residual interest financing was $3.8 million in the year ended December 31, 2019 compared to $2.3 million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closed in May 2018 and was not outstanding for the full year in 2018.</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on warehouse lines of credit increased by $650,000, or 8.4% for the year ended December 31, 2019 compared to the prior year. The increase in interest expense was due to the higher utilization of our warehouse lines in 2019 compared to 2018. This increase was partially offset by a decrease in the average interest rate on our warehouse credit line debt from 11.6% in 2018 to 9.7%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1" w:name="page52"/>
    <w:bookmarkEnd w:id="51"/>
    <w:p>
      <w:pPr>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Yield/Rate</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Yield/Rate</w:t>
            </w:r>
          </w:p>
        </w:tc>
        <w:tc>
          <w:tcPr>
            <w:tcW w:w="0" w:type="dxa"/>
            <w:vAlign w:val="bottom"/>
          </w:tcPr>
          <w:p>
            <w:pPr>
              <w:spacing w:after="0"/>
              <w:rPr>
                <w:sz w:val="1"/>
                <w:szCs w:val="1"/>
                <w:color w:val="auto"/>
              </w:rPr>
            </w:pPr>
          </w:p>
        </w:tc>
      </w:tr>
      <w:tr>
        <w:trPr>
          <w:trHeight w:val="128"/>
        </w:trPr>
        <w:tc>
          <w:tcPr>
            <w:tcW w:w="760" w:type="dxa"/>
            <w:vAlign w:val="bottom"/>
            <w:tcBorders>
              <w:top w:val="single" w:sz="8" w:color="EEEEEE"/>
              <w:bottom w:val="single" w:sz="8" w:color="EEEEEE"/>
            </w:tcBorders>
            <w:shd w:val="clear" w:color="auto" w:fill="EEEEEE"/>
          </w:tcPr>
          <w:p>
            <w:pPr>
              <w:spacing w:after="0"/>
              <w:rPr>
                <w:sz w:val="11"/>
                <w:szCs w:val="11"/>
                <w:color w:val="auto"/>
              </w:rPr>
            </w:pPr>
          </w:p>
        </w:tc>
        <w:tc>
          <w:tcPr>
            <w:tcW w:w="100" w:type="dxa"/>
            <w:vAlign w:val="bottom"/>
            <w:tcBorders>
              <w:top w:val="single" w:sz="8" w:color="EEEEEE"/>
              <w:bottom w:val="single" w:sz="8" w:color="EEEEEE"/>
            </w:tcBorders>
            <w:shd w:val="clear" w:color="auto" w:fill="EEEEEE"/>
          </w:tcPr>
          <w:p>
            <w:pPr>
              <w:spacing w:after="0"/>
              <w:rPr>
                <w:sz w:val="11"/>
                <w:szCs w:val="11"/>
                <w:color w:val="auto"/>
              </w:rPr>
            </w:pPr>
          </w:p>
        </w:tc>
        <w:tc>
          <w:tcPr>
            <w:tcW w:w="1440" w:type="dxa"/>
            <w:vAlign w:val="bottom"/>
            <w:tcBorders>
              <w:top w:val="single" w:sz="8" w:color="EEEEEE"/>
              <w:bottom w:val="single" w:sz="8" w:color="auto"/>
            </w:tcBorders>
            <w:shd w:val="clear" w:color="auto" w:fill="EEEEEE"/>
          </w:tcPr>
          <w:p>
            <w:pPr>
              <w:jc w:val="center"/>
              <w:spacing w:after="0" w:line="129" w:lineRule="exact"/>
              <w:rPr>
                <w:sz w:val="20"/>
                <w:szCs w:val="20"/>
                <w:color w:val="auto"/>
              </w:rPr>
            </w:pPr>
            <w:r>
              <w:rPr>
                <w:rFonts w:ascii="Arial" w:cs="Arial" w:eastAsia="Arial" w:hAnsi="Arial"/>
                <w:sz w:val="14"/>
                <w:szCs w:val="14"/>
                <w:b w:val="1"/>
                <w:bCs w:val="1"/>
                <w:color w:val="auto"/>
                <w:w w:val="92"/>
              </w:rPr>
              <w:t>Interest Earning Assets</w:t>
            </w:r>
          </w:p>
        </w:tc>
        <w:tc>
          <w:tcPr>
            <w:tcW w:w="980" w:type="dxa"/>
            <w:vAlign w:val="bottom"/>
            <w:tcBorders>
              <w:top w:val="single" w:sz="8" w:color="EEEEEE"/>
              <w:bottom w:val="single" w:sz="8" w:color="EEEEEE"/>
            </w:tcBorders>
            <w:gridSpan w:val="2"/>
            <w:shd w:val="clear" w:color="auto" w:fill="EEEEEE"/>
          </w:tcPr>
          <w:p>
            <w:pPr>
              <w:spacing w:after="0"/>
              <w:rPr>
                <w:sz w:val="11"/>
                <w:szCs w:val="11"/>
                <w:color w:val="auto"/>
              </w:rPr>
            </w:pPr>
          </w:p>
        </w:tc>
        <w:tc>
          <w:tcPr>
            <w:tcW w:w="140" w:type="dxa"/>
            <w:vAlign w:val="bottom"/>
            <w:tcBorders>
              <w:top w:val="single" w:sz="8" w:color="auto"/>
              <w:bottom w:val="single" w:sz="8" w:color="EEEEEE"/>
            </w:tcBorders>
            <w:shd w:val="clear" w:color="auto" w:fill="EEEEEE"/>
          </w:tcPr>
          <w:p>
            <w:pPr>
              <w:spacing w:after="0"/>
              <w:rPr>
                <w:sz w:val="11"/>
                <w:szCs w:val="11"/>
                <w:color w:val="auto"/>
              </w:rPr>
            </w:pPr>
          </w:p>
        </w:tc>
        <w:tc>
          <w:tcPr>
            <w:tcW w:w="980" w:type="dxa"/>
            <w:vAlign w:val="bottom"/>
            <w:tcBorders>
              <w:top w:val="single" w:sz="8" w:color="auto"/>
              <w:bottom w:val="single" w:sz="8" w:color="EEEEEE"/>
            </w:tcBorders>
            <w:shd w:val="clear" w:color="auto" w:fill="EEEEEE"/>
          </w:tcPr>
          <w:p>
            <w:pPr>
              <w:spacing w:after="0"/>
              <w:rPr>
                <w:sz w:val="11"/>
                <w:szCs w:val="11"/>
                <w:color w:val="auto"/>
              </w:rPr>
            </w:pPr>
          </w:p>
        </w:tc>
        <w:tc>
          <w:tcPr>
            <w:tcW w:w="260" w:type="dxa"/>
            <w:vAlign w:val="bottom"/>
            <w:tcBorders>
              <w:top w:val="single" w:sz="8" w:color="EEEEEE"/>
              <w:bottom w:val="single" w:sz="8" w:color="EEEEEE"/>
            </w:tcBorders>
            <w:shd w:val="clear" w:color="auto" w:fill="EEEEEE"/>
          </w:tcPr>
          <w:p>
            <w:pPr>
              <w:spacing w:after="0"/>
              <w:rPr>
                <w:sz w:val="11"/>
                <w:szCs w:val="11"/>
                <w:color w:val="auto"/>
              </w:rPr>
            </w:pPr>
          </w:p>
        </w:tc>
        <w:tc>
          <w:tcPr>
            <w:tcW w:w="200" w:type="dxa"/>
            <w:vAlign w:val="bottom"/>
            <w:tcBorders>
              <w:top w:val="single" w:sz="8" w:color="auto"/>
              <w:bottom w:val="single" w:sz="8" w:color="EEEEEE"/>
            </w:tcBorders>
            <w:shd w:val="clear" w:color="auto" w:fill="EEEEEE"/>
          </w:tcPr>
          <w:p>
            <w:pPr>
              <w:spacing w:after="0"/>
              <w:rPr>
                <w:sz w:val="11"/>
                <w:szCs w:val="11"/>
                <w:color w:val="auto"/>
              </w:rPr>
            </w:pPr>
          </w:p>
        </w:tc>
        <w:tc>
          <w:tcPr>
            <w:tcW w:w="920" w:type="dxa"/>
            <w:vAlign w:val="bottom"/>
            <w:tcBorders>
              <w:top w:val="single" w:sz="8" w:color="auto"/>
              <w:bottom w:val="single" w:sz="8" w:color="EEEEEE"/>
            </w:tcBorders>
            <w:shd w:val="clear" w:color="auto" w:fill="EEEEEE"/>
          </w:tcPr>
          <w:p>
            <w:pPr>
              <w:spacing w:after="0"/>
              <w:rPr>
                <w:sz w:val="11"/>
                <w:szCs w:val="11"/>
                <w:color w:val="auto"/>
              </w:rPr>
            </w:pPr>
          </w:p>
        </w:tc>
        <w:tc>
          <w:tcPr>
            <w:tcW w:w="240" w:type="dxa"/>
            <w:vAlign w:val="bottom"/>
            <w:tcBorders>
              <w:top w:val="single" w:sz="8" w:color="EEEEEE"/>
              <w:bottom w:val="single" w:sz="8" w:color="EEEEEE"/>
            </w:tcBorders>
            <w:shd w:val="clear" w:color="auto" w:fill="EEEEEE"/>
          </w:tcPr>
          <w:p>
            <w:pPr>
              <w:spacing w:after="0"/>
              <w:rPr>
                <w:sz w:val="11"/>
                <w:szCs w:val="11"/>
                <w:color w:val="auto"/>
              </w:rPr>
            </w:pPr>
          </w:p>
        </w:tc>
        <w:tc>
          <w:tcPr>
            <w:tcW w:w="1140" w:type="dxa"/>
            <w:vAlign w:val="bottom"/>
            <w:tcBorders>
              <w:top w:val="single" w:sz="8" w:color="auto"/>
              <w:bottom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EEEEEE"/>
            </w:tcBorders>
            <w:shd w:val="clear" w:color="auto" w:fill="EEEEEE"/>
          </w:tcPr>
          <w:p>
            <w:pPr>
              <w:spacing w:after="0"/>
              <w:rPr>
                <w:sz w:val="11"/>
                <w:szCs w:val="11"/>
                <w:color w:val="auto"/>
              </w:rPr>
            </w:pPr>
          </w:p>
        </w:tc>
        <w:tc>
          <w:tcPr>
            <w:tcW w:w="140" w:type="dxa"/>
            <w:vAlign w:val="bottom"/>
            <w:tcBorders>
              <w:top w:val="single" w:sz="8" w:color="auto"/>
              <w:bottom w:val="single" w:sz="8" w:color="EEEEEE"/>
            </w:tcBorders>
            <w:shd w:val="clear" w:color="auto" w:fill="EEEEEE"/>
          </w:tcPr>
          <w:p>
            <w:pPr>
              <w:spacing w:after="0"/>
              <w:rPr>
                <w:sz w:val="11"/>
                <w:szCs w:val="11"/>
                <w:color w:val="auto"/>
              </w:rPr>
            </w:pPr>
          </w:p>
        </w:tc>
        <w:tc>
          <w:tcPr>
            <w:tcW w:w="960" w:type="dxa"/>
            <w:vAlign w:val="bottom"/>
            <w:tcBorders>
              <w:top w:val="single" w:sz="8" w:color="auto"/>
              <w:bottom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EEEEEE"/>
            </w:tcBorders>
            <w:shd w:val="clear" w:color="auto" w:fill="EEEEEE"/>
          </w:tcPr>
          <w:p>
            <w:pPr>
              <w:spacing w:after="0"/>
              <w:rPr>
                <w:sz w:val="11"/>
                <w:szCs w:val="11"/>
                <w:color w:val="auto"/>
              </w:rPr>
            </w:pPr>
          </w:p>
        </w:tc>
        <w:tc>
          <w:tcPr>
            <w:tcW w:w="200" w:type="dxa"/>
            <w:vAlign w:val="bottom"/>
            <w:tcBorders>
              <w:top w:val="single" w:sz="8" w:color="auto"/>
              <w:bottom w:val="single" w:sz="8" w:color="EEEEEE"/>
            </w:tcBorders>
            <w:shd w:val="clear" w:color="auto" w:fill="EEEEEE"/>
          </w:tcPr>
          <w:p>
            <w:pPr>
              <w:spacing w:after="0"/>
              <w:rPr>
                <w:sz w:val="11"/>
                <w:szCs w:val="11"/>
                <w:color w:val="auto"/>
              </w:rPr>
            </w:pPr>
          </w:p>
        </w:tc>
        <w:tc>
          <w:tcPr>
            <w:tcW w:w="900" w:type="dxa"/>
            <w:vAlign w:val="bottom"/>
            <w:tcBorders>
              <w:top w:val="single" w:sz="8" w:color="auto"/>
              <w:bottom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EEEEEE"/>
            </w:tcBorders>
            <w:shd w:val="clear" w:color="auto" w:fill="EEEEEE"/>
          </w:tcPr>
          <w:p>
            <w:pPr>
              <w:spacing w:after="0"/>
              <w:rPr>
                <w:sz w:val="11"/>
                <w:szCs w:val="11"/>
                <w:color w:val="auto"/>
              </w:rPr>
            </w:pPr>
          </w:p>
        </w:tc>
        <w:tc>
          <w:tcPr>
            <w:tcW w:w="1120" w:type="dxa"/>
            <w:vAlign w:val="bottom"/>
            <w:tcBorders>
              <w:top w:val="single" w:sz="8" w:color="auto"/>
              <w:bottom w:val="single" w:sz="8" w:color="EEEEEE"/>
            </w:tcBorders>
            <w:shd w:val="clear" w:color="auto" w:fill="EEEEEE"/>
          </w:tcPr>
          <w:p>
            <w:pPr>
              <w:spacing w:after="0"/>
              <w:rPr>
                <w:sz w:val="11"/>
                <w:szCs w:val="11"/>
                <w:color w:val="auto"/>
              </w:rPr>
            </w:pPr>
          </w:p>
        </w:tc>
        <w:tc>
          <w:tcPr>
            <w:tcW w:w="100" w:type="dxa"/>
            <w:vAlign w:val="bottom"/>
            <w:tcBorders>
              <w:top w:val="single" w:sz="8" w:color="EEEEEE"/>
              <w:bottom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5"/>
          </w:tcPr>
          <w:p>
            <w:pPr>
              <w:spacing w:after="0" w:line="142" w:lineRule="exact"/>
              <w:rPr>
                <w:sz w:val="20"/>
                <w:szCs w:val="20"/>
                <w:color w:val="auto"/>
              </w:rPr>
            </w:pPr>
            <w:r>
              <w:rPr>
                <w:rFonts w:ascii="Arial" w:cs="Arial" w:eastAsia="Arial" w:hAnsi="Arial"/>
                <w:sz w:val="14"/>
                <w:szCs w:val="14"/>
                <w:color w:val="auto"/>
              </w:rPr>
              <w:t>Finance receivables gross (2)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1,157,910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214,037</w:t>
            </w: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18.5%</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1,860,388</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336,434</w:t>
            </w:r>
          </w:p>
        </w:tc>
        <w:tc>
          <w:tcPr>
            <w:tcW w:w="12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328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Finance receivables at fair value</w:t>
            </w: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1,212,226</w:t>
            </w:r>
          </w:p>
        </w:tc>
        <w:tc>
          <w:tcPr>
            <w:tcW w:w="200" w:type="dxa"/>
            <w:vAlign w:val="bottom"/>
            <w:shd w:val="clear" w:color="auto" w:fill="EEEEEE"/>
          </w:tcPr>
          <w:p>
            <w:pPr>
              <w:spacing w:after="0"/>
              <w:rPr>
                <w:sz w:val="14"/>
                <w:szCs w:val="14"/>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123,059</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10.2%</w:t>
            </w: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447,167</w:t>
            </w:r>
          </w:p>
        </w:tc>
        <w:tc>
          <w:tcPr>
            <w:tcW w:w="20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43,863</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2,370,136</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337,096</w:t>
            </w:r>
          </w:p>
        </w:tc>
        <w:tc>
          <w:tcPr>
            <w:tcW w:w="240" w:type="dxa"/>
            <w:vAlign w:val="bottom"/>
          </w:tcPr>
          <w:p>
            <w:pPr>
              <w:spacing w:after="0"/>
              <w:rPr>
                <w:sz w:val="12"/>
                <w:szCs w:val="12"/>
                <w:color w:val="auto"/>
              </w:rPr>
            </w:pP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14.2%</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2,307,555</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380,297</w:t>
            </w:r>
          </w:p>
        </w:tc>
        <w:tc>
          <w:tcPr>
            <w:tcW w:w="220" w:type="dxa"/>
            <w:vAlign w:val="bottom"/>
          </w:tcPr>
          <w:p>
            <w:pPr>
              <w:spacing w:after="0"/>
              <w:rPr>
                <w:sz w:val="12"/>
                <w:szCs w:val="12"/>
                <w:color w:val="auto"/>
              </w:rPr>
            </w:pPr>
          </w:p>
        </w:tc>
        <w:tc>
          <w:tcPr>
            <w:tcW w:w="12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7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2520" w:type="dxa"/>
            <w:vAlign w:val="bottom"/>
            <w:gridSpan w:val="4"/>
          </w:tcPr>
          <w:p>
            <w:pPr>
              <w:jc w:val="center"/>
              <w:ind w:right="880"/>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880" w:type="dxa"/>
            <w:vAlign w:val="bottom"/>
            <w:vMerge w:val="restart"/>
            <w:shd w:val="clear" w:color="auto" w:fill="EEEEEE"/>
          </w:tcPr>
          <w:p>
            <w:pPr>
              <w:spacing w:after="0" w:line="20" w:lineRule="exact"/>
              <w:rPr>
                <w:sz w:val="1"/>
                <w:szCs w:val="1"/>
                <w:color w:val="auto"/>
              </w:rPr>
            </w:pPr>
          </w:p>
        </w:tc>
        <w:tc>
          <w:tcPr>
            <w:tcW w:w="140" w:type="dxa"/>
            <w:vAlign w:val="bottom"/>
            <w:vMerge w:val="restart"/>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vMerge w:val="restart"/>
            <w:shd w:val="clear" w:color="auto" w:fill="EEEEEE"/>
          </w:tcPr>
          <w:p>
            <w:pPr>
              <w:jc w:val="right"/>
              <w:ind w:right="260"/>
              <w:spacing w:after="0"/>
              <w:rPr>
                <w:sz w:val="20"/>
                <w:szCs w:val="20"/>
                <w:color w:val="auto"/>
              </w:rPr>
            </w:pPr>
            <w:r>
              <w:rPr>
                <w:rFonts w:ascii="Arial" w:cs="Arial" w:eastAsia="Arial" w:hAnsi="Arial"/>
                <w:sz w:val="14"/>
                <w:szCs w:val="14"/>
                <w:color w:val="auto"/>
              </w:rPr>
              <w:t>86,200</w:t>
            </w:r>
          </w:p>
        </w:tc>
        <w:tc>
          <w:tcPr>
            <w:tcW w:w="200" w:type="dxa"/>
            <w:vAlign w:val="bottom"/>
            <w:shd w:val="clear" w:color="auto" w:fill="EEEEEE"/>
          </w:tcPr>
          <w:p>
            <w:pPr>
              <w:spacing w:after="0" w:line="20" w:lineRule="exact"/>
              <w:rPr>
                <w:sz w:val="1"/>
                <w:szCs w:val="1"/>
                <w:color w:val="auto"/>
              </w:rPr>
            </w:pPr>
          </w:p>
        </w:tc>
        <w:tc>
          <w:tcPr>
            <w:tcW w:w="1160" w:type="dxa"/>
            <w:vAlign w:val="bottom"/>
            <w:gridSpan w:val="2"/>
            <w:vMerge w:val="restart"/>
            <w:shd w:val="clear" w:color="auto" w:fill="EEEEEE"/>
          </w:tcPr>
          <w:p>
            <w:pPr>
              <w:jc w:val="right"/>
              <w:ind w:right="240"/>
              <w:spacing w:after="0"/>
              <w:rPr>
                <w:sz w:val="20"/>
                <w:szCs w:val="20"/>
                <w:color w:val="auto"/>
              </w:rPr>
            </w:pPr>
            <w:r>
              <w:rPr>
                <w:rFonts w:ascii="Arial" w:cs="Arial" w:eastAsia="Arial" w:hAnsi="Arial"/>
                <w:sz w:val="14"/>
                <w:szCs w:val="14"/>
                <w:color w:val="auto"/>
              </w:rPr>
              <w:t>8,402</w:t>
            </w:r>
          </w:p>
        </w:tc>
        <w:tc>
          <w:tcPr>
            <w:tcW w:w="136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9.7%</w:t>
            </w:r>
          </w:p>
        </w:tc>
        <w:tc>
          <w:tcPr>
            <w:tcW w:w="140" w:type="dxa"/>
            <w:vAlign w:val="bottom"/>
            <w:vMerge w:val="restart"/>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66,984</w:t>
            </w:r>
          </w:p>
        </w:tc>
        <w:tc>
          <w:tcPr>
            <w:tcW w:w="200" w:type="dxa"/>
            <w:vAlign w:val="bottom"/>
            <w:shd w:val="clear" w:color="auto" w:fill="EEEEEE"/>
          </w:tcPr>
          <w:p>
            <w:pPr>
              <w:spacing w:after="0" w:line="20" w:lineRule="exact"/>
              <w:rPr>
                <w:sz w:val="1"/>
                <w:szCs w:val="1"/>
                <w:color w:val="auto"/>
              </w:rPr>
            </w:pPr>
          </w:p>
        </w:tc>
        <w:tc>
          <w:tcPr>
            <w:tcW w:w="112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7,752</w:t>
            </w:r>
          </w:p>
        </w:tc>
        <w:tc>
          <w:tcPr>
            <w:tcW w:w="12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line="20" w:lineRule="exact"/>
              <w:rPr>
                <w:sz w:val="1"/>
                <w:szCs w:val="1"/>
                <w:color w:val="auto"/>
              </w:rPr>
            </w:pPr>
          </w:p>
        </w:tc>
      </w:tr>
      <w:tr>
        <w:trPr>
          <w:trHeight w:val="142"/>
        </w:trPr>
        <w:tc>
          <w:tcPr>
            <w:tcW w:w="2400" w:type="dxa"/>
            <w:vAlign w:val="bottom"/>
            <w:gridSpan w:val="4"/>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w:t>
            </w:r>
          </w:p>
        </w:tc>
        <w:tc>
          <w:tcPr>
            <w:tcW w:w="880" w:type="dxa"/>
            <w:vAlign w:val="bottom"/>
            <w:vMerge w:val="continue"/>
            <w:shd w:val="clear" w:color="auto" w:fill="EEEEEE"/>
          </w:tcPr>
          <w:p>
            <w:pPr>
              <w:spacing w:after="0"/>
              <w:rPr>
                <w:sz w:val="12"/>
                <w:szCs w:val="12"/>
                <w:color w:val="auto"/>
              </w:rPr>
            </w:pPr>
          </w:p>
        </w:tc>
        <w:tc>
          <w:tcPr>
            <w:tcW w:w="140" w:type="dxa"/>
            <w:vAlign w:val="bottom"/>
            <w:vMerge w:val="continue"/>
            <w:shd w:val="clear" w:color="auto" w:fill="EEEEEE"/>
          </w:tcPr>
          <w:p>
            <w:pPr>
              <w:spacing w:after="0"/>
              <w:rPr>
                <w:sz w:val="12"/>
                <w:szCs w:val="12"/>
                <w:color w:val="auto"/>
              </w:rPr>
            </w:pPr>
          </w:p>
        </w:tc>
        <w:tc>
          <w:tcPr>
            <w:tcW w:w="1240" w:type="dxa"/>
            <w:vAlign w:val="bottom"/>
            <w:gridSpan w:val="2"/>
            <w:vMerge w:val="continue"/>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60" w:type="dxa"/>
            <w:vAlign w:val="bottom"/>
            <w:gridSpan w:val="2"/>
            <w:vMerge w:val="continue"/>
            <w:shd w:val="clear" w:color="auto" w:fill="EEEEEE"/>
          </w:tcPr>
          <w:p>
            <w:pPr>
              <w:spacing w:after="0"/>
              <w:rPr>
                <w:sz w:val="12"/>
                <w:szCs w:val="12"/>
                <w:color w:val="auto"/>
              </w:rPr>
            </w:pPr>
          </w:p>
        </w:tc>
        <w:tc>
          <w:tcPr>
            <w:tcW w:w="1360" w:type="dxa"/>
            <w:vAlign w:val="bottom"/>
            <w:gridSpan w:val="2"/>
            <w:vMerge w:val="continue"/>
            <w:shd w:val="clear" w:color="auto" w:fill="EEEEEE"/>
          </w:tcPr>
          <w:p>
            <w:pPr>
              <w:spacing w:after="0"/>
              <w:rPr>
                <w:sz w:val="12"/>
                <w:szCs w:val="12"/>
                <w:color w:val="auto"/>
              </w:rPr>
            </w:pPr>
          </w:p>
        </w:tc>
        <w:tc>
          <w:tcPr>
            <w:tcW w:w="140" w:type="dxa"/>
            <w:vAlign w:val="bottom"/>
            <w:vMerge w:val="continue"/>
            <w:shd w:val="clear" w:color="auto" w:fill="EEEEEE"/>
          </w:tcPr>
          <w:p>
            <w:pPr>
              <w:spacing w:after="0"/>
              <w:rPr>
                <w:sz w:val="12"/>
                <w:szCs w:val="12"/>
                <w:color w:val="auto"/>
              </w:rPr>
            </w:pPr>
          </w:p>
        </w:tc>
        <w:tc>
          <w:tcPr>
            <w:tcW w:w="1180" w:type="dxa"/>
            <w:vAlign w:val="bottom"/>
            <w:gridSpan w:val="2"/>
            <w:vMerge w:val="continue"/>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20" w:type="dxa"/>
            <w:vAlign w:val="bottom"/>
            <w:gridSpan w:val="2"/>
            <w:vMerge w:val="continue"/>
            <w:shd w:val="clear" w:color="auto" w:fill="EEEEEE"/>
          </w:tcPr>
          <w:p>
            <w:pPr>
              <w:spacing w:after="0"/>
              <w:rPr>
                <w:sz w:val="12"/>
                <w:szCs w:val="12"/>
                <w:color w:val="auto"/>
              </w:rPr>
            </w:pPr>
          </w:p>
        </w:tc>
        <w:tc>
          <w:tcPr>
            <w:tcW w:w="1220" w:type="dxa"/>
            <w:vAlign w:val="bottom"/>
            <w:gridSpan w:val="2"/>
            <w:vMerge w:val="continue"/>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5"/>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40,000</w:t>
            </w: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3,822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25,000</w:t>
            </w:r>
          </w:p>
        </w:tc>
        <w:tc>
          <w:tcPr>
            <w:tcW w:w="2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2,343</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328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2,181,545</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96,870</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2,140,093</w:t>
            </w:r>
          </w:p>
        </w:tc>
        <w:tc>
          <w:tcPr>
            <w:tcW w:w="2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89,926</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3280" w:type="dxa"/>
            <w:vAlign w:val="bottom"/>
            <w:gridSpan w:val="5"/>
          </w:tcPr>
          <w:p>
            <w:pPr>
              <w:spacing w:after="0"/>
              <w:rPr>
                <w:sz w:val="20"/>
                <w:szCs w:val="20"/>
                <w:color w:val="auto"/>
              </w:rPr>
            </w:pPr>
            <w:r>
              <w:rPr>
                <w:rFonts w:ascii="Arial" w:cs="Arial" w:eastAsia="Arial" w:hAnsi="Arial"/>
                <w:sz w:val="14"/>
                <w:szCs w:val="14"/>
                <w:color w:val="auto"/>
              </w:rPr>
              <w:t>Subordinated renewable notes</w:t>
            </w:r>
          </w:p>
        </w:tc>
        <w:tc>
          <w:tcPr>
            <w:tcW w:w="1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14,982</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1,434</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16,533</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1,445</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4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360" w:type="dxa"/>
            <w:vAlign w:val="bottom"/>
            <w:gridSpan w:val="2"/>
            <w:vMerge w:val="restart"/>
            <w:shd w:val="clear" w:color="auto" w:fill="EEEEEE"/>
          </w:tcPr>
          <w:p>
            <w:pPr>
              <w:jc w:val="right"/>
              <w:ind w:right="220"/>
              <w:spacing w:after="0"/>
              <w:rPr>
                <w:sz w:val="20"/>
                <w:szCs w:val="20"/>
                <w:color w:val="auto"/>
              </w:rPr>
            </w:pPr>
            <w:r>
              <w:rPr>
                <w:rFonts w:ascii="Arial" w:cs="Arial" w:eastAsia="Arial" w:hAnsi="Arial"/>
                <w:sz w:val="14"/>
                <w:szCs w:val="14"/>
                <w:color w:val="auto"/>
              </w:rPr>
              <w:t>4.8%</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4"/>
                <w:szCs w:val="14"/>
                <w:color w:val="auto"/>
              </w:rPr>
              <w:t>4.5%</w:t>
            </w:r>
          </w:p>
        </w:tc>
        <w:tc>
          <w:tcPr>
            <w:tcW w:w="0" w:type="dxa"/>
            <w:vAlign w:val="bottom"/>
          </w:tcPr>
          <w:p>
            <w:pPr>
              <w:spacing w:after="0" w:line="20" w:lineRule="exact"/>
              <w:rPr>
                <w:sz w:val="1"/>
                <w:szCs w:val="1"/>
                <w:color w:val="auto"/>
              </w:rPr>
            </w:pPr>
          </w:p>
        </w:tc>
      </w:tr>
      <w:tr>
        <w:trPr>
          <w:trHeight w:val="169"/>
        </w:trPr>
        <w:tc>
          <w:tcPr>
            <w:tcW w:w="76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44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80" w:type="dxa"/>
            <w:vAlign w:val="bottom"/>
            <w:shd w:val="clear" w:color="auto" w:fill="EEEEEE"/>
          </w:tcPr>
          <w:p>
            <w:pPr>
              <w:spacing w:after="0"/>
              <w:rPr>
                <w:sz w:val="14"/>
                <w:szCs w:val="14"/>
                <w:color w:val="auto"/>
              </w:rPr>
            </w:pP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2,322,727</w:t>
            </w:r>
          </w:p>
        </w:tc>
        <w:tc>
          <w:tcPr>
            <w:tcW w:w="200" w:type="dxa"/>
            <w:vAlign w:val="bottom"/>
            <w:shd w:val="clear" w:color="auto" w:fill="EEEEEE"/>
          </w:tcPr>
          <w:p>
            <w:pPr>
              <w:spacing w:after="0"/>
              <w:rPr>
                <w:sz w:val="14"/>
                <w:szCs w:val="14"/>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110,528</w:t>
            </w:r>
          </w:p>
        </w:tc>
        <w:tc>
          <w:tcPr>
            <w:tcW w:w="240" w:type="dxa"/>
            <w:vAlign w:val="bottom"/>
            <w:vMerge w:val="continue"/>
            <w:shd w:val="clear" w:color="auto" w:fill="EEEEEE"/>
          </w:tcPr>
          <w:p>
            <w:pPr>
              <w:spacing w:after="0"/>
              <w:rPr>
                <w:sz w:val="14"/>
                <w:szCs w:val="14"/>
                <w:color w:val="auto"/>
              </w:rPr>
            </w:pPr>
          </w:p>
        </w:tc>
        <w:tc>
          <w:tcPr>
            <w:tcW w:w="1360" w:type="dxa"/>
            <w:vAlign w:val="bottom"/>
            <w:gridSpan w:val="2"/>
            <w:vMerge w:val="continue"/>
            <w:shd w:val="clear" w:color="auto" w:fill="EEEEEE"/>
          </w:tcPr>
          <w:p>
            <w:pPr>
              <w:spacing w:after="0"/>
              <w:rPr>
                <w:sz w:val="14"/>
                <w:szCs w:val="14"/>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2,248,610</w:t>
            </w:r>
          </w:p>
        </w:tc>
        <w:tc>
          <w:tcPr>
            <w:tcW w:w="200" w:type="dxa"/>
            <w:vAlign w:val="bottom"/>
            <w:shd w:val="clear" w:color="auto" w:fill="EEEEEE"/>
          </w:tcPr>
          <w:p>
            <w:pPr>
              <w:spacing w:after="0"/>
              <w:rPr>
                <w:sz w:val="14"/>
                <w:szCs w:val="14"/>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101,466</w:t>
            </w:r>
          </w:p>
        </w:tc>
        <w:tc>
          <w:tcPr>
            <w:tcW w:w="220" w:type="dxa"/>
            <w:vAlign w:val="bottom"/>
            <w:vMerge w:val="continue"/>
            <w:shd w:val="clear" w:color="auto" w:fill="EEEEEE"/>
          </w:tcPr>
          <w:p>
            <w:pPr>
              <w:spacing w:after="0"/>
              <w:rPr>
                <w:sz w:val="14"/>
                <w:szCs w:val="14"/>
                <w:color w:val="auto"/>
              </w:rPr>
            </w:pPr>
          </w:p>
        </w:tc>
        <w:tc>
          <w:tcPr>
            <w:tcW w:w="12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Net interest income/spread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Net interest margin (3)</w:t>
      </w:r>
    </w:p>
    <w:p>
      <w:pPr>
        <w:ind w:left="180" w:right="480" w:hanging="179"/>
        <w:spacing w:after="0" w:line="237" w:lineRule="auto"/>
        <w:rPr>
          <w:sz w:val="20"/>
          <w:szCs w:val="20"/>
          <w:color w:val="auto"/>
        </w:rPr>
      </w:pPr>
      <w:r>
        <w:rPr>
          <w:rFonts w:ascii="Arial" w:cs="Arial" w:eastAsia="Arial" w:hAnsi="Arial"/>
          <w:sz w:val="14"/>
          <w:szCs w:val="14"/>
          <w:color w:val="auto"/>
        </w:rPr>
        <w:t>Ratio of average interest earning assets to average interest bearing liabilities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2640" w:type="dxa"/>
            <w:vAlign w:val="bottom"/>
            <w:gridSpan w:val="2"/>
          </w:tcPr>
          <w:p>
            <w:pPr>
              <w:jc w:val="right"/>
              <w:ind w:right="1808"/>
              <w:spacing w:after="0" w:line="155" w:lineRule="exact"/>
              <w:rPr>
                <w:sz w:val="20"/>
                <w:szCs w:val="20"/>
                <w:color w:val="auto"/>
              </w:rPr>
            </w:pPr>
            <w:r>
              <w:rPr>
                <w:rFonts w:ascii="Arial" w:cs="Arial" w:eastAsia="Arial" w:hAnsi="Arial"/>
                <w:sz w:val="14"/>
                <w:szCs w:val="14"/>
                <w:color w:val="auto"/>
              </w:rPr>
              <w:t>226,568</w:t>
            </w:r>
          </w:p>
        </w:tc>
        <w:tc>
          <w:tcPr>
            <w:tcW w:w="14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278,831</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188"/>
              <w:spacing w:after="0"/>
              <w:rPr>
                <w:sz w:val="20"/>
                <w:szCs w:val="20"/>
                <w:color w:val="auto"/>
              </w:rPr>
            </w:pPr>
            <w:r>
              <w:rPr>
                <w:rFonts w:ascii="Arial" w:cs="Arial" w:eastAsia="Arial" w:hAnsi="Arial"/>
                <w:sz w:val="14"/>
                <w:szCs w:val="14"/>
                <w:color w:val="auto"/>
                <w:w w:val="83"/>
              </w:rPr>
              <w:t>102%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vMerge w:val="restart"/>
          </w:tcPr>
          <w:p>
            <w:pPr>
              <w:jc w:val="right"/>
              <w:ind w:right="428"/>
              <w:spacing w:after="0"/>
              <w:rPr>
                <w:sz w:val="20"/>
                <w:szCs w:val="20"/>
                <w:color w:val="auto"/>
              </w:rPr>
            </w:pPr>
            <w:r>
              <w:rPr>
                <w:rFonts w:ascii="Arial" w:cs="Arial" w:eastAsia="Arial" w:hAnsi="Arial"/>
                <w:sz w:val="14"/>
                <w:szCs w:val="14"/>
                <w:color w:val="auto"/>
              </w:rPr>
              <w:t>9.6%</w:t>
            </w:r>
          </w:p>
        </w:tc>
        <w:tc>
          <w:tcPr>
            <w:tcW w:w="1040" w:type="dxa"/>
            <w:vAlign w:val="bottom"/>
            <w:vMerge w:val="restart"/>
          </w:tcPr>
          <w:p>
            <w:pPr>
              <w:jc w:val="right"/>
              <w:ind w:right="148"/>
              <w:spacing w:after="0"/>
              <w:rPr>
                <w:sz w:val="20"/>
                <w:szCs w:val="20"/>
                <w:color w:val="auto"/>
              </w:rPr>
            </w:pPr>
            <w:r>
              <w:rPr>
                <w:rFonts w:ascii="Arial" w:cs="Arial" w:eastAsia="Arial" w:hAnsi="Arial"/>
                <w:sz w:val="14"/>
                <w:szCs w:val="14"/>
                <w:color w:val="auto"/>
              </w:rPr>
              <w:t>103%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line="20" w:lineRule="exact"/>
              <w:rPr>
                <w:sz w:val="1"/>
                <w:szCs w:val="1"/>
                <w:color w:val="auto"/>
              </w:rPr>
            </w:pPr>
          </w:p>
        </w:tc>
      </w:tr>
      <w:tr>
        <w:trPr>
          <w:trHeight w:val="144"/>
        </w:trPr>
        <w:tc>
          <w:tcPr>
            <w:tcW w:w="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-197485</wp:posOffset>
            </wp:positionV>
            <wp:extent cx="71323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160"/>
          </w:cols>
          <w:pgMar w:left="320" w:top="800"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4" w:lineRule="exact"/>
        <w:rPr>
          <w:sz w:val="20"/>
          <w:szCs w:val="20"/>
          <w:color w:val="auto"/>
        </w:rPr>
      </w:pPr>
    </w:p>
    <w:p>
      <w:pPr>
        <w:ind w:left="420" w:hanging="23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420" w:hanging="232"/>
        <w:spacing w:after="0" w:line="221" w:lineRule="auto"/>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420" w:hanging="23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income divided by average interest earning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Year Ended December 31, 2019</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Compared to December 31, 2018</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tcBorders>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89"/>
              </w:rPr>
              <w:t>Change Due</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91"/>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4"/>
            <w:vMerge w:val="restart"/>
          </w:tcPr>
          <w:p>
            <w:pPr>
              <w:jc w:val="center"/>
              <w:ind w:right="2500"/>
              <w:spacing w:after="0"/>
              <w:rPr>
                <w:sz w:val="20"/>
                <w:szCs w:val="20"/>
                <w:color w:val="auto"/>
              </w:rPr>
            </w:pPr>
            <w:r>
              <w:rPr>
                <w:rFonts w:ascii="Arial" w:cs="Arial" w:eastAsia="Arial" w:hAnsi="Arial"/>
                <w:sz w:val="18"/>
                <w:szCs w:val="18"/>
                <w:b w:val="1"/>
                <w:bCs w:val="1"/>
                <w:color w:val="auto"/>
                <w:w w:val="89"/>
              </w:rPr>
              <w:t>Interest Earning Assets</w:t>
            </w: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to Volume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gridSpan w:val="4"/>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4820" w:type="dxa"/>
            <w:vAlign w:val="bottom"/>
            <w:gridSpan w:val="6"/>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(122,397)</w:t>
            </w: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(127,037)</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w w:val="91"/>
              </w:rPr>
              <w:t>Finance receivables at fair value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79,196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75,045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10"/>
        </w:trPr>
        <w:tc>
          <w:tcPr>
            <w:tcW w:w="238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(43,201)</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(51,992)</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4820" w:type="dxa"/>
            <w:vAlign w:val="bottom"/>
            <w:gridSpan w:val="6"/>
          </w:tcPr>
          <w:p>
            <w:pPr>
              <w:jc w:val="center"/>
              <w:ind w:right="272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650</w:t>
            </w: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2,224</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1,479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6,944</w:t>
            </w: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w w:val="96"/>
              </w:rPr>
              <w:t>Subordinated renewable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38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5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9,062</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5,236</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4820" w:type="dxa"/>
            <w:vAlign w:val="bottom"/>
            <w:gridSpan w:val="6"/>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(52,263)</w:t>
            </w: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(57,228)</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0"/>
        </w:trPr>
        <w:tc>
          <w:tcPr>
            <w:tcW w:w="23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5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52" w:name="page53"/>
    <w:bookmarkEnd w:id="52"/>
    <w:p>
      <w:pPr>
        <w:jc w:val="both"/>
        <w:ind w:firstLine="648"/>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year ended December 31, 2019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$1,212.2 million for the twelve months ended December 31, 2019 compared to $447.2 million in the prior year period.</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Provision for credit losses was $85.8 million for the year ended December 31, 2019, a decrease of $47.3 million, or 35.5% compared to the prior year and represented 25.5%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The allowance applies only to our finance receivables originated through December 2017, which we refer to as our legacy portfolio. Since no receivables have been added to the legacy portfolio since December 2017, it has seasoned to the point where its weighted age is 42 months at December 31, 2019. We have also observed that receivables originated in 2017 have incurred credit losses at a significantly lower rate than receivables we originated in 2015 and 2016. The age of the legacy portfolio, its continuously declining balance and the significant variance of the relative credit performance of the vintage pools that make up the legacy portfolio have contributed to lower provisions for credit losses and lower levels of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expenses increased by $321,000, or 1.8%, to $17.9 million during the year ended December 31, 2019, compared to $17.6 million in the prior year, and represented 5.3% of total operating expenses. For the year ended December 31, 2019, we purchased 55,919 contracts representing $1,002.8 million in receivables compared to 52,731 contracts representing $902.4 million in receivables in the prior year.</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Occupancy expenses decreased by $120,000 or 1.6%, to $7.5 million compared to $7.6 million in the previous year and represented 2.2%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$84,000 or 8.5%, to $1,076,000 compared to $992,000 in the previous year and represented 0.2% of total operating expenses.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we recorded income tax expense of $3.8 million, representing an effective income tax rate of 41.0%. For the year ended December 31, 2018, we recorded income tax expense of $3.8 million, representing an effective income tax rate of 20.5%. This includes $2.1 million of income tax benefit related to certain tax planning strategies and other adjustments. Excluding the impact of the tax benefit, the effective tax rate for 2018 would have been 31.8%.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for the years ended December 31, 2020, 2019 and 2018 was $238.8 million, $216.8 million and $216.2 million, respectively. Net cash from operating activities is generally provided by net income from operations adjusted for significant non-cash items such as our provision for credit losses and interest accretion on fair value receivables.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investing activities for the year ended December 31, 2020 was $93.0 million. Net cash used in investing activities for the years ended December 31, 2019 and 2018 was $229.4 million and $242.2 million, respectively. Cash provided by investing activities primarily results from principal payments and other proceeds received on finance receivables. Cash used in investing activities generally relates to purchases of automobile contracts. Purchases of finance receivables were $739.7 million (includes acquisition fees paid), $1,004.2 million and $914.9 million in 2020, 2019 and 2018, respectively.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cash used in financing activities for the year ended December 31, 2020 was $328.5 million. Net cash provided by financing activities for the years ended December 31, 2019 and 2018 was $23.3 million and $31.4 million, respectively. Cash used or provided by financing activities is primarily related to the issuance of securitization trust debt, reduced by the amount of repayment of securitization trust debt and net proceeds or repayments on our warehouse lines of credit and other debt. We issued $714.5 million in new securitization trust debt in 2020 compared to $1,000.5 million in 2019 and $855.8 million in 2018. Repayments of securitization debt were $1,010.0 million, $966.1 million and $876.1 million in 2020, 2019 and 2018, respectively.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jc w:val="both"/>
        <w:ind w:firstLine="648"/>
        <w:spacing w:after="0" w:line="291"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December 31, 2020, we had unrestricted cash of $13.5 million and $179.5 million aggregate available borrowings under our three warehouse credit facilities (assuming the availability of sufficient eligible collateral). As of December 30, 2020, we had approximately $33.5 million of such eligible collateral. In February 2021, we repaid in full one of the facilities at maturity, leaving us with two facilities of $100 million each thereafter. During 2020, we completed three securitizations aggregating $714.5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December 31, 2020, we were in compliance with all such financial covenants.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and will continue to have a substantial amount of indebtedness. At December 31, 2020, we had approximately $1,969.4 million of debt outstanding. Such debt consisted primarily of $1,803.7 million of securitization trust debt and $119.0 million of debt from warehouse lines of credit. Since 2005, we have offered renewable subordinated notes to the public on a continuous basis, and such notes have maturities that range from six months to 10 years. We had $21.3 million in subordinated renewable notes outstanding at December 31, 2020. On May 16, 2018, we completed a $40.0 million securitization of residual interests from previously issued securitizations. At December 31, 2020, $25.6 million of this residual interest financing debt remains outstanding ($25.4 million net of deferred financing costs).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material contractual obligations as of December 31, 2020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8"/>
                <w:szCs w:val="18"/>
                <w:b w:val="1"/>
                <w:bCs w:val="1"/>
                <w:color w:val="auto"/>
              </w:rPr>
              <w:t>Payment Due by Period (1)</w:t>
            </w: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480"/>
              <w:spacing w:after="0" w:line="205" w:lineRule="exact"/>
              <w:rPr>
                <w:sz w:val="20"/>
                <w:szCs w:val="20"/>
                <w:color w:val="auto"/>
              </w:rPr>
            </w:pPr>
            <w:r>
              <w:rPr>
                <w:rFonts w:ascii="Arial" w:cs="Arial" w:eastAsia="Arial" w:hAnsi="Arial"/>
                <w:sz w:val="18"/>
                <w:szCs w:val="18"/>
                <w:b w:val="1"/>
                <w:bCs w:val="1"/>
                <w:color w:val="auto"/>
                <w:w w:val="88"/>
              </w:rPr>
              <w:t>Less than</w:t>
            </w:r>
          </w:p>
        </w:tc>
        <w:tc>
          <w:tcPr>
            <w:tcW w:w="220" w:type="dxa"/>
            <w:vAlign w:val="bottom"/>
          </w:tcPr>
          <w:p>
            <w:pPr>
              <w:spacing w:after="0"/>
              <w:rPr>
                <w:sz w:val="17"/>
                <w:szCs w:val="17"/>
                <w:color w:val="auto"/>
              </w:rPr>
            </w:pPr>
          </w:p>
        </w:tc>
        <w:tc>
          <w:tcPr>
            <w:tcW w:w="124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2 to 3</w:t>
            </w:r>
          </w:p>
        </w:tc>
        <w:tc>
          <w:tcPr>
            <w:tcW w:w="220" w:type="dxa"/>
            <w:vAlign w:val="bottom"/>
          </w:tcPr>
          <w:p>
            <w:pPr>
              <w:spacing w:after="0"/>
              <w:rPr>
                <w:sz w:val="17"/>
                <w:szCs w:val="17"/>
                <w:color w:val="auto"/>
              </w:rPr>
            </w:pPr>
          </w:p>
        </w:tc>
        <w:tc>
          <w:tcPr>
            <w:tcW w:w="1200" w:type="dxa"/>
            <w:vAlign w:val="bottom"/>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4 to 5</w:t>
            </w:r>
          </w:p>
        </w:tc>
        <w:tc>
          <w:tcPr>
            <w:tcW w:w="12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41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21,323</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9,506</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EEEEE"/>
          </w:tcPr>
          <w:p>
            <w:pPr>
              <w:ind w:left="500"/>
              <w:spacing w:after="0"/>
              <w:rPr>
                <w:sz w:val="20"/>
                <w:szCs w:val="20"/>
                <w:color w:val="auto"/>
              </w:rPr>
            </w:pPr>
            <w:r>
              <w:rPr>
                <w:rFonts w:ascii="Arial" w:cs="Arial" w:eastAsia="Arial" w:hAnsi="Arial"/>
                <w:sz w:val="18"/>
                <w:szCs w:val="18"/>
                <w:color w:val="auto"/>
                <w:w w:val="84"/>
              </w:rPr>
              <w:t>6,681</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3,484</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top w:val="single" w:sz="8" w:color="EEEEEE"/>
            </w:tcBorders>
            <w:shd w:val="clear" w:color="auto" w:fill="EEEEEE"/>
          </w:tcPr>
          <w:p>
            <w:pPr>
              <w:spacing w:after="0"/>
              <w:rPr>
                <w:sz w:val="18"/>
                <w:szCs w:val="18"/>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7"/>
                <w:szCs w:val="17"/>
                <w:color w:val="auto"/>
              </w:rPr>
            </w:pPr>
          </w:p>
        </w:tc>
        <w:tc>
          <w:tcPr>
            <w:tcW w:w="12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18,020</w:t>
            </w:r>
          </w:p>
        </w:tc>
        <w:tc>
          <w:tcPr>
            <w:tcW w:w="140" w:type="dxa"/>
            <w:vAlign w:val="bottom"/>
          </w:tcPr>
          <w:p>
            <w:pPr>
              <w:spacing w:after="0"/>
              <w:rPr>
                <w:sz w:val="17"/>
                <w:szCs w:val="17"/>
                <w:color w:val="auto"/>
              </w:rPr>
            </w:pPr>
          </w:p>
        </w:tc>
        <w:tc>
          <w:tcPr>
            <w:tcW w:w="13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8,687</w:t>
            </w:r>
          </w:p>
        </w:tc>
        <w:tc>
          <w:tcPr>
            <w:tcW w:w="220" w:type="dxa"/>
            <w:vAlign w:val="bottom"/>
          </w:tcPr>
          <w:p>
            <w:pPr>
              <w:spacing w:after="0"/>
              <w:rPr>
                <w:sz w:val="17"/>
                <w:szCs w:val="17"/>
                <w:color w:val="auto"/>
              </w:rPr>
            </w:pPr>
          </w:p>
        </w:tc>
        <w:tc>
          <w:tcPr>
            <w:tcW w:w="12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8,597</w:t>
            </w:r>
          </w:p>
        </w:tc>
        <w:tc>
          <w:tcPr>
            <w:tcW w:w="220" w:type="dxa"/>
            <w:vAlign w:val="bottom"/>
          </w:tcPr>
          <w:p>
            <w:pPr>
              <w:spacing w:after="0"/>
              <w:rPr>
                <w:sz w:val="17"/>
                <w:szCs w:val="17"/>
                <w:color w:val="auto"/>
              </w:rPr>
            </w:pPr>
          </w:p>
        </w:tc>
        <w:tc>
          <w:tcPr>
            <w:tcW w:w="12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736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_____________________</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jc w:val="both"/>
        <w:ind w:left="340" w:hanging="332"/>
        <w:spacing w:after="0" w:line="250"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$1,803.7 million as of December 31, 2020, is omitted from this table because it becomes due as and when the related receivables balance is reduced by payments and charge-offs. Expected payments, which will depend on the performance of such receivables, as to which there can be no assurance, are $818.4 million in 2021, $450.9 million in 2022, $350.7 million in 2023, $81.1 million in 2024, $83.7 million in 2025, and $18.7 million in 2026.</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represents subordinated renewable notes.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We anticipate repaying debt due in 2021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 $100 million one-year warehouse credit line with Citibank, N.A.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is structured to allow us to fund a portion of the purchase price of automobile contracts by borrowing from a credit facility to our consolidated subsidiary Page Eight Funding, LLC. The facility provides for effective advances up to 82.0% of eligible finance receivables. The loans under the facility accrue interest at one-month LIBOR plus 3.00% per annum, with a minimum rate of 3.75% per annum. In December 2020, this facility was amended to extend the revolving period to December 2022 and to include an amortization period through December 2023 for any receivables pledged to the facility at the end of the revolving period. At December 31, 2020 there was $45.7 million outstanding under this facility.</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Facility Established in April 2015. </w:t>
      </w:r>
      <w:r>
        <w:rPr>
          <w:rFonts w:ascii="Arial" w:cs="Arial" w:eastAsia="Arial" w:hAnsi="Arial"/>
          <w:sz w:val="16"/>
          <w:szCs w:val="16"/>
          <w:color w:val="auto"/>
        </w:rPr>
        <w:t>On April 17, 2015, we entered into an additional $100 million one-year warehouse credit line with Fortress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February 2019, this facility was amended to extend the revolving period to February 2021 followed by an amortization period through February 2023. At December 31, 2020 there was $42.6 million outstanding under this facility. In February 2021, we repaid this facility in full at its maturity date and elected not to renew it.</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Facility Established in November 2015. </w:t>
      </w:r>
      <w:r>
        <w:rPr>
          <w:rFonts w:ascii="Arial" w:cs="Arial" w:eastAsia="Arial" w:hAnsi="Arial"/>
          <w:sz w:val="18"/>
          <w:szCs w:val="18"/>
          <w:color w:val="auto"/>
        </w:rPr>
        <w:t>On November 24, 2015, we entered into an additional $100 million one-year warehouse credit line with</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The loans under the facility accrue interest at a commercial paper rate plus 4.00% per annum, with a minimum rate of 5.00% per annum. In December 2019, this facility was amended to extend the revolving period to December 2021 followed by an amortization period through December 2023 for any receivables pledged to the facility at the end of the revolving period. At December 31, 2020 there was $32.3 million outstanding under this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 the period from January 1, 2018 through December 31, 2020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09"/>
        </w:trPr>
        <w:tc>
          <w:tcPr>
            <w:tcW w:w="4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(Dollars 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Beginning balance</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39,478</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39,106</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Issuances</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4880" w:type="dxa"/>
            <w:vAlign w:val="bottom"/>
          </w:tcPr>
          <w:p>
            <w:pPr>
              <w:ind w:left="240"/>
              <w:spacing w:after="0"/>
              <w:rPr>
                <w:sz w:val="20"/>
                <w:szCs w:val="20"/>
                <w:color w:val="auto"/>
              </w:rPr>
            </w:pPr>
            <w:r>
              <w:rPr>
                <w:rFonts w:ascii="Arial" w:cs="Arial" w:eastAsia="Arial" w:hAnsi="Arial"/>
                <w:sz w:val="18"/>
                <w:szCs w:val="18"/>
                <w:color w:val="auto"/>
              </w:rPr>
              <w:t>Payments</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(14,424)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Capitalization of deferred financing costs</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(1,081)</w:t>
            </w: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23"/>
        </w:trPr>
        <w:tc>
          <w:tcPr>
            <w:tcW w:w="4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25,426</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39,478</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39,106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Beginning balance</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2,097,728</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2,063,627</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2,083,215</w:t>
            </w:r>
          </w:p>
        </w:tc>
      </w:tr>
      <w:tr>
        <w:trPr>
          <w:trHeight w:val="216"/>
        </w:trPr>
        <w:tc>
          <w:tcPr>
            <w:tcW w:w="4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Issuances</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714,543</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1,000,501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855,828</w:t>
            </w:r>
          </w:p>
        </w:tc>
      </w:tr>
      <w:tr>
        <w:trPr>
          <w:trHeight w:val="216"/>
        </w:trPr>
        <w:tc>
          <w:tcPr>
            <w:tcW w:w="4880" w:type="dxa"/>
            <w:vAlign w:val="bottom"/>
          </w:tcPr>
          <w:p>
            <w:pPr>
              <w:ind w:left="240"/>
              <w:spacing w:after="0"/>
              <w:rPr>
                <w:sz w:val="20"/>
                <w:szCs w:val="20"/>
                <w:color w:val="auto"/>
              </w:rPr>
            </w:pPr>
            <w:r>
              <w:rPr>
                <w:rFonts w:ascii="Arial" w:cs="Arial" w:eastAsia="Arial" w:hAnsi="Arial"/>
                <w:sz w:val="18"/>
                <w:szCs w:val="18"/>
                <w:color w:val="auto"/>
              </w:rPr>
              <w:t>Payments</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(1,009,988)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(966,144)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(876,094)</w:t>
            </w:r>
          </w:p>
        </w:tc>
      </w:tr>
      <w:tr>
        <w:trPr>
          <w:trHeight w:val="216"/>
        </w:trPr>
        <w:tc>
          <w:tcPr>
            <w:tcW w:w="4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Capitalization of deferred financing costs</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(4,862)</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(6,808)</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(6,198)</w:t>
            </w: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6,252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6,552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6,876</w:t>
            </w:r>
          </w:p>
        </w:tc>
      </w:tr>
      <w:tr>
        <w:trPr>
          <w:trHeight w:val="223"/>
        </w:trPr>
        <w:tc>
          <w:tcPr>
            <w:tcW w:w="4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1,803,673</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2,097,728</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2,063,627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SUBORDINATED RENEWABLE NOTES:</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Beginning balance</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17,534</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17,290</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16,566</w:t>
            </w:r>
          </w:p>
        </w:tc>
      </w:tr>
      <w:tr>
        <w:trPr>
          <w:trHeight w:val="216"/>
        </w:trPr>
        <w:tc>
          <w:tcPr>
            <w:tcW w:w="4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Issuances</w:t>
            </w:r>
          </w:p>
        </w:tc>
        <w:tc>
          <w:tcPr>
            <w:tcW w:w="1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6,750</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5,764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3,175</w:t>
            </w: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Payments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(5,520)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(2,451)</w:t>
            </w:r>
          </w:p>
        </w:tc>
      </w:tr>
      <w:tr>
        <w:trPr>
          <w:trHeight w:val="223"/>
        </w:trPr>
        <w:tc>
          <w:tcPr>
            <w:tcW w:w="4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21,323</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17,534</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Residual Interest Financing. </w:t>
      </w:r>
      <w:r>
        <w:rPr>
          <w:rFonts w:ascii="Arial" w:cs="Arial" w:eastAsia="Arial" w:hAnsi="Arial"/>
          <w:sz w:val="17"/>
          <w:szCs w:val="17"/>
          <w:color w:val="auto"/>
        </w:rPr>
        <w:t>On May 16, 2018, we completed a $40.0 million securitization of residual interests from previously issued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As of December 31, 2020, $25.6 million of residual interest financing debt remains outstanding. This amount does not exclude $150,000 in unamortized debt issuance costs. These debt issuance costs are presented as a direct deduction to the carrying amount of the debt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jc w:val="both"/>
        <w:ind w:firstLine="648"/>
        <w:spacing w:after="0" w:line="275" w:lineRule="auto"/>
        <w:rPr>
          <w:sz w:val="20"/>
          <w:szCs w:val="20"/>
          <w:color w:val="auto"/>
        </w:rPr>
      </w:pPr>
      <w:r>
        <w:rPr>
          <w:rFonts w:ascii="Arial" w:cs="Arial" w:eastAsia="Arial" w:hAnsi="Arial"/>
          <w:sz w:val="17"/>
          <w:szCs w:val="17"/>
          <w:color w:val="auto"/>
        </w:rPr>
        <w:t>The agreed valuation of the collateral for the 2018-1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With respect to the securitizations conducted by CPS in 2017, only 80% of such amounts are included in the collateral. On each monthly payment date, the 2018-1 Notes are entitled to interest at the coupon rate and, if necessary, a principal payment necessary to maintain a specified minimum collateral ratio.</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Securitization Trust Debt. </w:t>
      </w:r>
      <w:r>
        <w:rPr>
          <w:rFonts w:ascii="Arial" w:cs="Arial" w:eastAsia="Arial" w:hAnsi="Arial"/>
          <w:sz w:val="18"/>
          <w:szCs w:val="18"/>
          <w:color w:val="auto"/>
        </w:rPr>
        <w:t>Since 2011, we treated all 37 of our securitizations of automobile contracts as secured financings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purposes, and the asset-backed securities issued in such securitizations remain on our consolidated balance sheet as securitization trust debt. We had $1,803.7 million of securitization trust debt outstanding at December 31, 2020.</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2020 there were $21.3 million of such notes outstanding.</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2020,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unexpected exogenous events, such as a widespread plague that might affect the ability or willingness of obligors to pay pursuant to the terms of contracts; mandates imposed in reaction to such events, such as prohibitions of otherwise permissible activity, which might impair the obligation to perform contracts, or the abilty of obligors to earn;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9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management of the Company has evaluated the effectiveness of the design and operation of the Company’s disclosure controls and procedures, as defined in Rules 13a-15(e) and 15d-15(e) under the Securities Exchange Act of 1934 (the "Exchange Act") as of December 31, 2020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fiscal quarter ended December 31, 2020, there were no changes in our internal control over financial reporting that have materially affected, or are reasonably likely to materially affect, our internal control over financial reporting.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We are responsible for establishing and maintaining adequate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with the participation of the Chief Executive and Chief Financial Officers, assessed the effectiveness of our internal control over financial reporting as of December 31, 2020.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2020, our internal control over financial reporting is effective based on those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2021 (the "2021 Proxy Statement"). The 2021 Proxy Statement will be filed not later than April 30, 2021. Information regarding executive officers of the registrant appears in Part I of this report,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2021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2021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2021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2021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Exhibit</w:t>
            </w:r>
          </w:p>
        </w:tc>
        <w:tc>
          <w:tcPr>
            <w:tcW w:w="9880" w:type="dxa"/>
            <w:vAlign w:val="bottom"/>
          </w:tcPr>
          <w:p>
            <w:pPr>
              <w:spacing w:after="0"/>
              <w:rPr>
                <w:sz w:val="18"/>
                <w:szCs w:val="18"/>
                <w:color w:val="auto"/>
              </w:rPr>
            </w:pPr>
          </w:p>
        </w:tc>
      </w:tr>
      <w:tr>
        <w:trPr>
          <w:trHeight w:val="230"/>
        </w:trPr>
        <w:tc>
          <w:tcPr>
            <w:tcW w:w="136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Number</w:t>
            </w:r>
          </w:p>
        </w:tc>
        <w:tc>
          <w:tcPr>
            <w:tcW w:w="9880" w:type="dxa"/>
            <w:vAlign w:val="bottom"/>
          </w:tcPr>
          <w:p>
            <w:pPr>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195"/>
        </w:trPr>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9880" w:type="dxa"/>
            <w:vAlign w:val="bottom"/>
            <w:tcBorders>
              <w:top w:val="single" w:sz="8" w:color="auto"/>
            </w:tcBorders>
          </w:tcPr>
          <w:p>
            <w:pPr>
              <w:spacing w:after="0" w:line="195" w:lineRule="exact"/>
              <w:rPr>
                <w:rFonts w:ascii="Arial" w:cs="Arial" w:eastAsia="Arial" w:hAnsi="Arial"/>
                <w:sz w:val="18"/>
                <w:szCs w:val="18"/>
                <w:color w:val="0000EE"/>
              </w:rPr>
            </w:pPr>
            <w:hyperlink r:id="rId77">
              <w:r>
                <w:rPr>
                  <w:rFonts w:ascii="Arial" w:cs="Arial" w:eastAsia="Arial" w:hAnsi="Arial"/>
                  <w:sz w:val="18"/>
                  <w:szCs w:val="18"/>
                  <w:u w:val="single" w:color="auto"/>
                  <w:color w:val="0000EE"/>
                </w:rPr>
                <w:t>Restated Articles of Incorporation</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 to Form 10-K filed March 31, 2009)</w:t>
            </w:r>
          </w:p>
        </w:tc>
      </w:tr>
      <w:tr>
        <w:trPr>
          <w:trHeight w:val="216"/>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9880" w:type="dxa"/>
            <w:vAlign w:val="bottom"/>
          </w:tcPr>
          <w:p>
            <w:pPr>
              <w:spacing w:after="0"/>
              <w:rPr>
                <w:rFonts w:ascii="Arial" w:cs="Arial" w:eastAsia="Arial" w:hAnsi="Arial"/>
                <w:sz w:val="18"/>
                <w:szCs w:val="18"/>
                <w:color w:val="0000EE"/>
              </w:rPr>
            </w:pPr>
            <w:hyperlink r:id="rId78">
              <w:r>
                <w:rPr>
                  <w:rFonts w:ascii="Arial" w:cs="Arial" w:eastAsia="Arial" w:hAnsi="Arial"/>
                  <w:sz w:val="18"/>
                  <w:szCs w:val="18"/>
                  <w:u w:val="single" w:color="auto"/>
                  <w:color w:val="0000EE"/>
                </w:rPr>
                <w:t>Certificate of Designation re Series B Preferred</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3.1.1 to Form 8-K filed by the registrant on December 30, 2010)</w:t>
            </w:r>
          </w:p>
        </w:tc>
      </w:tr>
      <w:tr>
        <w:trPr>
          <w:trHeight w:val="230"/>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9880" w:type="dxa"/>
            <w:vAlign w:val="bottom"/>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Amended and Restated Bylaws (Exhibit 3.3 to Form 8-K filed July 20, 2009)</w:t>
              </w:r>
            </w:hyperlink>
          </w:p>
        </w:tc>
      </w:tr>
    </w:tbl>
    <w:p>
      <w:pPr>
        <w:jc w:val="both"/>
        <w:ind w:left="1360" w:right="100" w:hanging="353"/>
        <w:spacing w:after="0" w:line="265" w:lineRule="auto"/>
        <w:tabs>
          <w:tab w:leader="none" w:pos="1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Instruments defining the rights of holders of long-term debt of certain consolidated subsidiaries of the registrant are omitted pursuant to the exclusion set forth in subdivisions (b)(iv)(iii)(A) and (b) (v) of Item 601 of Regulation S-K (17 CFR 229.601). The registrant agrees to provide copies of such instruments to the United States Securities and Exchange Commission upon request.</w:t>
      </w: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80">
        <w:r>
          <w:rPr>
            <w:rFonts w:ascii="Arial" w:cs="Arial" w:eastAsia="Arial" w:hAnsi="Arial"/>
            <w:sz w:val="16"/>
            <w:szCs w:val="16"/>
            <w:u w:val="single" w:color="auto"/>
            <w:color w:val="0000EE"/>
          </w:rPr>
          <w:t xml:space="preserve">Form of Indenture re Renewable Unsecured Subordinated Notes </w:t>
        </w:r>
      </w:hyperlink>
      <w:r>
        <w:rPr>
          <w:rFonts w:ascii="Arial" w:cs="Arial" w:eastAsia="Arial" w:hAnsi="Arial"/>
          <w:sz w:val="16"/>
          <w:szCs w:val="16"/>
          <w:color w:val="000000"/>
        </w:rPr>
        <w:t>(“RUS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S-2, no. 333-121913)</w:t>
      </w:r>
    </w:p>
    <w:p>
      <w:pPr>
        <w:spacing w:after="0" w:line="9" w:lineRule="exact"/>
        <w:rPr>
          <w:sz w:val="20"/>
          <w:szCs w:val="20"/>
          <w:color w:val="auto"/>
        </w:rPr>
      </w:pPr>
    </w:p>
    <w:p>
      <w:pPr>
        <w:ind w:left="78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4.2.1</w:t>
      </w:r>
      <w:r>
        <w:rPr>
          <w:sz w:val="20"/>
          <w:szCs w:val="20"/>
          <w:color w:val="auto"/>
        </w:rPr>
        <w:tab/>
      </w:r>
      <w:hyperlink r:id="rId81">
        <w:r>
          <w:rPr>
            <w:rFonts w:ascii="Arial" w:cs="Arial" w:eastAsia="Arial" w:hAnsi="Arial"/>
            <w:sz w:val="16"/>
            <w:szCs w:val="16"/>
            <w:u w:val="single" w:color="auto"/>
            <w:color w:val="0000EE"/>
          </w:rPr>
          <w:t>Form of RUS Notes (Exhibit 4.2 to Form S-2, no. 333-121913)</w:t>
        </w:r>
      </w:hyperlink>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82">
        <w:r>
          <w:rPr>
            <w:rFonts w:ascii="Arial" w:cs="Arial" w:eastAsia="Arial" w:hAnsi="Arial"/>
            <w:sz w:val="16"/>
            <w:szCs w:val="16"/>
            <w:u w:val="single" w:color="auto"/>
            <w:color w:val="0000EE"/>
          </w:rPr>
          <w:t xml:space="preserve">Form of Indenture re additional Renewable Unsecured Subordinated Notes </w:t>
        </w:r>
      </w:hyperlink>
      <w:r>
        <w:rPr>
          <w:rFonts w:ascii="Arial" w:cs="Arial" w:eastAsia="Arial" w:hAnsi="Arial"/>
          <w:sz w:val="16"/>
          <w:szCs w:val="16"/>
          <w:color w:val="000000"/>
        </w:rPr>
        <w:t>(“ARUS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S-1, no. 333-168976)</w:t>
      </w:r>
    </w:p>
    <w:p>
      <w:pPr>
        <w:spacing w:after="0" w:line="9" w:lineRule="exact"/>
        <w:rPr>
          <w:sz w:val="20"/>
          <w:szCs w:val="20"/>
          <w:color w:val="auto"/>
        </w:rPr>
      </w:pPr>
    </w:p>
    <w:p>
      <w:pPr>
        <w:ind w:left="78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4.3.1</w:t>
      </w:r>
      <w:r>
        <w:rPr>
          <w:sz w:val="20"/>
          <w:szCs w:val="20"/>
          <w:color w:val="auto"/>
        </w:rPr>
        <w:tab/>
      </w:r>
      <w:hyperlink r:id="rId83">
        <w:r>
          <w:rPr>
            <w:rFonts w:ascii="Arial" w:cs="Arial" w:eastAsia="Arial" w:hAnsi="Arial"/>
            <w:sz w:val="16"/>
            <w:szCs w:val="16"/>
            <w:u w:val="single" w:color="auto"/>
            <w:color w:val="0000EE"/>
          </w:rPr>
          <w:t xml:space="preserve">Form of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4.2 to Form S-1, no. 333-168976)</w:t>
      </w:r>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84">
        <w:r>
          <w:rPr>
            <w:rFonts w:ascii="Arial" w:cs="Arial" w:eastAsia="Arial" w:hAnsi="Arial"/>
            <w:sz w:val="16"/>
            <w:szCs w:val="16"/>
            <w:u w:val="single" w:color="auto"/>
            <w:color w:val="0000EE"/>
          </w:rPr>
          <w:t xml:space="preserve">Supplement dated December 7, 2010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4.3 to Form S-1, no. 333-168976)</w:t>
      </w:r>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85">
        <w:r>
          <w:rPr>
            <w:rFonts w:ascii="Arial" w:cs="Arial" w:eastAsia="Arial" w:hAnsi="Arial"/>
            <w:sz w:val="16"/>
            <w:szCs w:val="16"/>
            <w:u w:val="single" w:color="auto"/>
            <w:color w:val="0000EE"/>
          </w:rPr>
          <w:t xml:space="preserve">Supplement dated January 22, 2014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4.4 to Form S-1, no. 333-190766)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4.61</w:t>
      </w:r>
      <w:r>
        <w:rPr>
          <w:sz w:val="20"/>
          <w:szCs w:val="20"/>
          <w:color w:val="auto"/>
        </w:rPr>
        <w:tab/>
      </w:r>
      <w:hyperlink r:id="rId86">
        <w:r>
          <w:rPr>
            <w:rFonts w:ascii="Arial" w:cs="Arial" w:eastAsia="Arial" w:hAnsi="Arial"/>
            <w:sz w:val="16"/>
            <w:szCs w:val="16"/>
            <w:u w:val="single" w:color="auto"/>
            <w:color w:val="0000EE"/>
          </w:rPr>
          <w:t xml:space="preserve">Indenture re Notes issued by CPS Auto Receivables Trust 2015-B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4.61 to Form 8-K/A filed by the registrant on June 26, 2015)</w:t>
      </w:r>
    </w:p>
    <w:p>
      <w:pPr>
        <w:spacing w:after="0" w:line="9" w:lineRule="exact"/>
        <w:rPr>
          <w:sz w:val="20"/>
          <w:szCs w:val="20"/>
          <w:color w:val="auto"/>
        </w:rPr>
      </w:pPr>
    </w:p>
    <w:p>
      <w:pPr>
        <w:ind w:left="1360" w:right="160" w:hanging="530"/>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4.62</w:t>
      </w:r>
      <w:r>
        <w:rPr>
          <w:sz w:val="20"/>
          <w:szCs w:val="20"/>
          <w:color w:val="auto"/>
        </w:rPr>
        <w:tab/>
      </w:r>
      <w:hyperlink r:id="rId87">
        <w:r>
          <w:rPr>
            <w:rFonts w:ascii="Arial" w:cs="Arial" w:eastAsia="Arial" w:hAnsi="Arial"/>
            <w:sz w:val="18"/>
            <w:szCs w:val="18"/>
            <w:u w:val="single" w:color="auto"/>
            <w:color w:val="0000EE"/>
          </w:rPr>
          <w:t xml:space="preserve">Sale and Servicing Agreement dated as of June 1, 2015, related to notes issued by CPS Auto Receivables Trust 2015-B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4.62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Form 8-K/A filed by the registrant on June 26, 2015)</w:t>
      </w:r>
    </w:p>
    <w:p>
      <w:pPr>
        <w:spacing w:after="0" w:line="1"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4.63</w:t>
      </w:r>
      <w:r>
        <w:rPr>
          <w:sz w:val="20"/>
          <w:szCs w:val="20"/>
          <w:color w:val="auto"/>
        </w:rPr>
        <w:tab/>
      </w:r>
      <w:hyperlink r:id="rId88">
        <w:r>
          <w:rPr>
            <w:rFonts w:ascii="Arial" w:cs="Arial" w:eastAsia="Arial" w:hAnsi="Arial"/>
            <w:sz w:val="16"/>
            <w:szCs w:val="16"/>
            <w:u w:val="single" w:color="auto"/>
            <w:color w:val="0000EE"/>
          </w:rPr>
          <w:t xml:space="preserve">Indenture re Notes issued by CPS Auto Receivables Trust 2015-C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4.63 to Form 8-K filed by the registrant on September 22,</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4.64</w:t>
      </w:r>
      <w:r>
        <w:rPr>
          <w:sz w:val="20"/>
          <w:szCs w:val="20"/>
          <w:color w:val="auto"/>
        </w:rPr>
        <w:tab/>
      </w:r>
      <w:hyperlink r:id="rId89">
        <w:r>
          <w:rPr>
            <w:rFonts w:ascii="Arial" w:cs="Arial" w:eastAsia="Arial" w:hAnsi="Arial"/>
            <w:sz w:val="16"/>
            <w:szCs w:val="16"/>
            <w:u w:val="single" w:color="auto"/>
            <w:color w:val="0000EE"/>
          </w:rPr>
          <w:t xml:space="preserve">Sale and Servicing Agreement dated as of September 1, 2015, related to notes issued by CPS Auto Receivables Trust 2015-C </w:t>
        </w:r>
      </w:hyperlink>
      <w:r>
        <w:rPr>
          <w:rFonts w:ascii="Arial" w:cs="Arial" w:eastAsia="Arial" w:hAnsi="Arial"/>
          <w:sz w:val="16"/>
          <w:szCs w:val="16"/>
          <w:color w:val="000000"/>
        </w:rPr>
        <w:t>(exhibit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4.64 to Form 8-K filed by the registrant on September 22, 2015)</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4.65</w:t>
      </w:r>
      <w:r>
        <w:rPr>
          <w:sz w:val="20"/>
          <w:szCs w:val="20"/>
          <w:color w:val="auto"/>
        </w:rPr>
        <w:tab/>
      </w:r>
      <w:hyperlink r:id="rId90">
        <w:r>
          <w:rPr>
            <w:rFonts w:ascii="Arial" w:cs="Arial" w:eastAsia="Arial" w:hAnsi="Arial"/>
            <w:sz w:val="16"/>
            <w:szCs w:val="16"/>
            <w:u w:val="single" w:color="auto"/>
            <w:color w:val="0000EE"/>
          </w:rPr>
          <w:t xml:space="preserve">Indenture re Notes issued by CPS Auto Receivables Trust 2016-A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4.65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4.66</w:t>
      </w:r>
      <w:r>
        <w:rPr>
          <w:sz w:val="20"/>
          <w:szCs w:val="20"/>
          <w:color w:val="auto"/>
        </w:rPr>
        <w:tab/>
      </w:r>
      <w:hyperlink r:id="rId91">
        <w:r>
          <w:rPr>
            <w:rFonts w:ascii="Arial" w:cs="Arial" w:eastAsia="Arial" w:hAnsi="Arial"/>
            <w:sz w:val="16"/>
            <w:szCs w:val="16"/>
            <w:u w:val="single" w:color="auto"/>
            <w:color w:val="0000EE"/>
          </w:rPr>
          <w:t>Sale and Servicing Agreement dated as of September 1, 2015</w:t>
        </w:r>
      </w:hyperlink>
      <w:r>
        <w:rPr>
          <w:rFonts w:ascii="Arial" w:cs="Arial" w:eastAsia="Arial" w:hAnsi="Arial"/>
          <w:sz w:val="16"/>
          <w:szCs w:val="16"/>
          <w:color w:val="000000"/>
        </w:rPr>
        <w: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related to notes issued by CPS Auto Receivables Trust 2016-A (exhibit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4.66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4.67</w:t>
      </w:r>
      <w:r>
        <w:rPr>
          <w:sz w:val="20"/>
          <w:szCs w:val="20"/>
          <w:color w:val="auto"/>
        </w:rPr>
        <w:tab/>
      </w:r>
      <w:hyperlink r:id="rId92">
        <w:r>
          <w:rPr>
            <w:rFonts w:ascii="Arial" w:cs="Arial" w:eastAsia="Arial" w:hAnsi="Arial"/>
            <w:sz w:val="16"/>
            <w:szCs w:val="16"/>
            <w:u w:val="single" w:color="auto"/>
            <w:color w:val="0000EE"/>
          </w:rPr>
          <w:t xml:space="preserve">Indenture re Notes issued by CPS Auto Receivables Trust 2016-B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4.67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4.68</w:t>
      </w:r>
      <w:r>
        <w:rPr>
          <w:sz w:val="20"/>
          <w:szCs w:val="20"/>
          <w:color w:val="auto"/>
        </w:rPr>
        <w:tab/>
      </w:r>
      <w:hyperlink r:id="rId93">
        <w:r>
          <w:rPr>
            <w:rFonts w:ascii="Arial" w:cs="Arial" w:eastAsia="Arial" w:hAnsi="Arial"/>
            <w:sz w:val="16"/>
            <w:szCs w:val="16"/>
            <w:u w:val="single" w:color="auto"/>
            <w:color w:val="0000EE"/>
          </w:rPr>
          <w:t xml:space="preserve">Sale and Servicing Agreement dated as of September 1, 2015, related to notes issued by CPS Auto Receivables Trust 2016-B </w:t>
        </w:r>
      </w:hyperlink>
      <w:r>
        <w:rPr>
          <w:rFonts w:ascii="Arial" w:cs="Arial" w:eastAsia="Arial" w:hAnsi="Arial"/>
          <w:sz w:val="16"/>
          <w:szCs w:val="16"/>
          <w:color w:val="000000"/>
        </w:rPr>
        <w:t>(exhibit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4.68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4.69</w:t>
      </w:r>
      <w:r>
        <w:rPr>
          <w:sz w:val="20"/>
          <w:szCs w:val="20"/>
          <w:color w:val="auto"/>
        </w:rPr>
        <w:tab/>
      </w:r>
      <w:hyperlink r:id="rId94">
        <w:r>
          <w:rPr>
            <w:rFonts w:ascii="Arial" w:cs="Arial" w:eastAsia="Arial" w:hAnsi="Arial"/>
            <w:sz w:val="16"/>
            <w:szCs w:val="16"/>
            <w:u w:val="single" w:color="auto"/>
            <w:color w:val="0000EE"/>
          </w:rPr>
          <w:t xml:space="preserve">Indenture re Notes issued by CPS Auto Receivables Trust 2016-C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4.69 to Form 8-K filed by the registrant on July 27,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4.70</w:t>
      </w:r>
      <w:r>
        <w:rPr>
          <w:sz w:val="20"/>
          <w:szCs w:val="20"/>
          <w:color w:val="auto"/>
        </w:rPr>
        <w:tab/>
      </w:r>
      <w:hyperlink r:id="rId95">
        <w:r>
          <w:rPr>
            <w:rFonts w:ascii="Arial" w:cs="Arial" w:eastAsia="Arial" w:hAnsi="Arial"/>
            <w:sz w:val="16"/>
            <w:szCs w:val="16"/>
            <w:u w:val="single" w:color="auto"/>
            <w:color w:val="0000EE"/>
          </w:rPr>
          <w:t xml:space="preserve">Sale and Servicing Agreement dated as of September 1, 2016, related to notes issued by CPS Auto Receivables Trust 2016-C </w:t>
        </w:r>
      </w:hyperlink>
      <w:r>
        <w:rPr>
          <w:rFonts w:ascii="Arial" w:cs="Arial" w:eastAsia="Arial" w:hAnsi="Arial"/>
          <w:sz w:val="16"/>
          <w:szCs w:val="16"/>
          <w:color w:val="000000"/>
        </w:rPr>
        <w:t>(exhibit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4.70 to Form 8-K filed by the registrant on July 27, 2016)</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97">
        <w:r>
          <w:rPr>
            <w:rFonts w:ascii="Arial" w:cs="Arial" w:eastAsia="Arial" w:hAnsi="Arial"/>
            <w:sz w:val="16"/>
            <w:szCs w:val="16"/>
            <w:u w:val="single" w:color="auto"/>
            <w:color w:val="0000EE"/>
          </w:rPr>
          <w:t xml:space="preserve">1997 Long-Term Incentive Stock Plan </w:t>
        </w:r>
      </w:hyperlink>
      <w:r>
        <w:rPr>
          <w:rFonts w:ascii="Arial" w:cs="Arial" w:eastAsia="Arial" w:hAnsi="Arial"/>
          <w:sz w:val="16"/>
          <w:szCs w:val="16"/>
          <w:color w:val="000000"/>
        </w:rPr>
        <w:t>("1997</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Plan") (Exhibit 10.20 to Form S-2, no. 333-121913) **</w:t>
      </w:r>
    </w:p>
    <w:p>
      <w:pPr>
        <w:spacing w:after="0" w:line="23" w:lineRule="exact"/>
        <w:rPr>
          <w:sz w:val="20"/>
          <w:szCs w:val="20"/>
          <w:color w:val="auto"/>
        </w:rPr>
      </w:pPr>
    </w:p>
    <w:p>
      <w:pPr>
        <w:ind w:left="10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98">
        <w:r>
          <w:rPr>
            <w:rFonts w:ascii="Arial" w:cs="Arial" w:eastAsia="Arial" w:hAnsi="Arial"/>
            <w:sz w:val="16"/>
            <w:szCs w:val="16"/>
            <w:u w:val="single" w:color="auto"/>
            <w:color w:val="0000EE"/>
          </w:rPr>
          <w:t xml:space="preserve">Form of Option Agreement under 1997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10.2.1 to Form 10-K filed March 13, 2006) **</w:t>
      </w:r>
    </w:p>
    <w:p>
      <w:pPr>
        <w:spacing w:after="0" w:line="9" w:lineRule="exact"/>
        <w:rPr>
          <w:sz w:val="20"/>
          <w:szCs w:val="20"/>
          <w:color w:val="auto"/>
        </w:rPr>
      </w:pPr>
    </w:p>
    <w:p>
      <w:pPr>
        <w:ind w:left="1100" w:right="360" w:hanging="957"/>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9">
        <w:r>
          <w:rPr>
            <w:rFonts w:ascii="Arial" w:cs="Arial" w:eastAsia="Arial" w:hAnsi="Arial"/>
            <w:sz w:val="18"/>
            <w:szCs w:val="18"/>
            <w:u w:val="single" w:color="auto"/>
            <w:color w:val="0000EE"/>
          </w:rPr>
          <w:t xml:space="preserve">2006 Long-Term Equity Incentive Plan as amended May 18, 2015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 to pages A-1 through A-10 of the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definitive proxy statement filed by the registrant on April 27, 2015)**</w:t>
      </w:r>
    </w:p>
    <w:p>
      <w:pPr>
        <w:spacing w:after="0" w:line="1"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10.14.1</w:t>
      </w:r>
      <w:r>
        <w:rPr>
          <w:sz w:val="20"/>
          <w:szCs w:val="20"/>
          <w:color w:val="auto"/>
        </w:rPr>
        <w:tab/>
      </w:r>
      <w:hyperlink r:id="rId100">
        <w:r>
          <w:rPr>
            <w:rFonts w:ascii="Arial" w:cs="Arial" w:eastAsia="Arial" w:hAnsi="Arial"/>
            <w:sz w:val="16"/>
            <w:szCs w:val="16"/>
            <w:u w:val="single" w:color="auto"/>
            <w:color w:val="0000EE"/>
          </w:rPr>
          <w:t xml:space="preserve">Form of Option Agreement under the 2006 Long-Term Equity Incentive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10.14.1 to registrant's Form 10-K filed March</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 2007)**</w:t>
      </w:r>
    </w:p>
    <w:p>
      <w:pPr>
        <w:spacing w:after="0" w:line="9" w:lineRule="exact"/>
        <w:rPr>
          <w:sz w:val="20"/>
          <w:szCs w:val="20"/>
          <w:color w:val="auto"/>
        </w:rPr>
      </w:pPr>
    </w:p>
    <w:p>
      <w:pPr>
        <w:ind w:left="1100" w:right="240" w:hanging="1092"/>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101">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99.(D)(2)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1100" w:right="240" w:hanging="1092"/>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101">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99.(D)(3)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1100" w:hanging="731"/>
        <w:spacing w:after="0"/>
        <w:tabs>
          <w:tab w:leader="none" w:pos="1100" w:val="left"/>
        </w:tabs>
        <w:numPr>
          <w:ilvl w:val="0"/>
          <w:numId w:val="23"/>
        </w:numPr>
        <w:rPr>
          <w:rFonts w:ascii="Arial" w:cs="Arial" w:eastAsia="Arial" w:hAnsi="Arial"/>
          <w:sz w:val="18"/>
          <w:szCs w:val="18"/>
          <w:color w:val="0000EE"/>
        </w:rPr>
      </w:pPr>
      <w:hyperlink r:id="rId102">
        <w:r>
          <w:rPr>
            <w:rFonts w:ascii="Arial" w:cs="Arial" w:eastAsia="Arial" w:hAnsi="Arial"/>
            <w:sz w:val="18"/>
            <w:szCs w:val="18"/>
            <w:u w:val="single" w:color="auto"/>
            <w:color w:val="0000EE"/>
          </w:rPr>
          <w:t>Registrant’s Code of Ethics for Senior Financial Officers</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14 to Form 10-K filed March 13, 2006)</w:t>
      </w:r>
    </w:p>
    <w:p>
      <w:pPr>
        <w:spacing w:after="0" w:line="9" w:lineRule="exact"/>
        <w:rPr>
          <w:rFonts w:ascii="Arial" w:cs="Arial" w:eastAsia="Arial" w:hAnsi="Arial"/>
          <w:sz w:val="18"/>
          <w:szCs w:val="18"/>
          <w:color w:val="0000EE"/>
        </w:rPr>
      </w:pPr>
    </w:p>
    <w:p>
      <w:pPr>
        <w:ind w:left="1100" w:hanging="731"/>
        <w:spacing w:after="0"/>
        <w:tabs>
          <w:tab w:leader="none" w:pos="1100" w:val="left"/>
        </w:tabs>
        <w:numPr>
          <w:ilvl w:val="0"/>
          <w:numId w:val="24"/>
        </w:numPr>
        <w:rPr>
          <w:rFonts w:ascii="Arial" w:cs="Arial" w:eastAsia="Arial" w:hAnsi="Arial"/>
          <w:sz w:val="18"/>
          <w:szCs w:val="18"/>
          <w:color w:val="0000EE"/>
        </w:rPr>
      </w:pPr>
      <w:hyperlink w:anchor="page105">
        <w:r>
          <w:rPr>
            <w:rFonts w:ascii="Arial" w:cs="Arial" w:eastAsia="Arial" w:hAnsi="Arial"/>
            <w:sz w:val="18"/>
            <w:szCs w:val="18"/>
            <w:u w:val="single" w:color="auto"/>
            <w:color w:val="0000EE"/>
          </w:rPr>
          <w:t>List of subsidiaries of the registrant</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21 to Form 10-K filed March 16, 2020)</w:t>
      </w:r>
    </w:p>
    <w:p>
      <w:pPr>
        <w:spacing w:after="0" w:line="9" w:lineRule="exact"/>
        <w:rPr>
          <w:rFonts w:ascii="Arial" w:cs="Arial" w:eastAsia="Arial" w:hAnsi="Arial"/>
          <w:sz w:val="18"/>
          <w:szCs w:val="18"/>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6">
        <w:r>
          <w:rPr>
            <w:rFonts w:ascii="Arial" w:cs="Arial" w:eastAsia="Arial" w:hAnsi="Arial"/>
            <w:sz w:val="16"/>
            <w:szCs w:val="16"/>
            <w:u w:val="single" w:color="auto"/>
            <w:color w:val="0000EE"/>
          </w:rPr>
          <w:t xml:space="preserve">Consent of Crowe LLP </w:t>
        </w:r>
      </w:hyperlink>
      <w:r>
        <w:rPr>
          <w:rFonts w:ascii="Arial" w:cs="Arial" w:eastAsia="Arial" w:hAnsi="Arial"/>
          <w:sz w:val="16"/>
          <w:szCs w:val="16"/>
          <w:color w:val="000000"/>
        </w:rPr>
        <w:t>(filed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herewith)</w:t>
      </w:r>
    </w:p>
    <w:p>
      <w:pPr>
        <w:spacing w:after="0" w:line="9" w:lineRule="exact"/>
        <w:rPr>
          <w:rFonts w:ascii="Arial" w:cs="Arial" w:eastAsia="Arial" w:hAnsi="Arial"/>
          <w:sz w:val="18"/>
          <w:szCs w:val="18"/>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07">
        <w:r>
          <w:rPr>
            <w:rFonts w:ascii="Arial" w:cs="Arial" w:eastAsia="Arial" w:hAnsi="Arial"/>
            <w:sz w:val="16"/>
            <w:szCs w:val="16"/>
            <w:u w:val="single" w:color="auto"/>
            <w:color w:val="0000EE"/>
          </w:rPr>
          <w:t>Rule 13a-14(a) certification by Chief Executive Officer (filed herewith)</w:t>
        </w:r>
      </w:hyperlink>
    </w:p>
    <w:p>
      <w:pPr>
        <w:spacing w:after="0" w:line="9" w:lineRule="exact"/>
        <w:rPr>
          <w:rFonts w:ascii="Arial" w:cs="Arial" w:eastAsia="Arial" w:hAnsi="Arial"/>
          <w:sz w:val="18"/>
          <w:szCs w:val="18"/>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08">
        <w:r>
          <w:rPr>
            <w:rFonts w:ascii="Arial" w:cs="Arial" w:eastAsia="Arial" w:hAnsi="Arial"/>
            <w:sz w:val="16"/>
            <w:szCs w:val="16"/>
            <w:u w:val="single" w:color="auto"/>
            <w:color w:val="0000EE"/>
          </w:rPr>
          <w:t>Rule 13a-14(a) certification by Chief Financial Officer (filed herewith)</w:t>
        </w:r>
      </w:hyperlink>
    </w:p>
    <w:p>
      <w:pPr>
        <w:spacing w:after="0" w:line="9" w:lineRule="exact"/>
        <w:rPr>
          <w:rFonts w:ascii="Arial" w:cs="Arial" w:eastAsia="Arial" w:hAnsi="Arial"/>
          <w:sz w:val="18"/>
          <w:szCs w:val="18"/>
          <w:color w:val="auto"/>
        </w:rPr>
      </w:pPr>
    </w:p>
    <w:p>
      <w:pPr>
        <w:ind w:left="1100" w:hanging="731"/>
        <w:spacing w:after="0"/>
        <w:tabs>
          <w:tab w:leader="none" w:pos="1100" w:val="left"/>
        </w:tabs>
        <w:numPr>
          <w:ilvl w:val="0"/>
          <w:numId w:val="25"/>
        </w:numPr>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Section 1350 certification (filed herewith)</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center"/>
        <w:ind w:right="540"/>
        <w:spacing w:after="0"/>
        <w:rPr>
          <w:sz w:val="20"/>
          <w:szCs w:val="20"/>
          <w:color w:val="auto"/>
        </w:rPr>
      </w:pPr>
      <w:r>
        <w:rPr>
          <w:rFonts w:ascii="Arial" w:cs="Arial" w:eastAsia="Arial" w:hAnsi="Arial"/>
          <w:sz w:val="18"/>
          <w:szCs w:val="18"/>
          <w:color w:val="auto"/>
        </w:rPr>
        <w:t>61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900" w:top="800"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8080" w:type="dxa"/>
            <w:vAlign w:val="bottom"/>
            <w:gridSpan w:val="2"/>
          </w:tcPr>
          <w:p>
            <w:pPr>
              <w:ind w:left="202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March 10, 2021</w:t>
            </w:r>
          </w:p>
        </w:tc>
        <w:tc>
          <w:tcPr>
            <w:tcW w:w="8080" w:type="dxa"/>
            <w:vAlign w:val="bottom"/>
            <w:gridSpan w:val="2"/>
          </w:tcPr>
          <w:p>
            <w:pPr>
              <w:ind w:left="2020"/>
              <w:spacing w:after="0"/>
              <w:rPr>
                <w:sz w:val="20"/>
                <w:szCs w:val="20"/>
                <w:color w:val="auto"/>
              </w:rPr>
            </w:pPr>
            <w:r>
              <w:rPr>
                <w:rFonts w:ascii="Arial" w:cs="Arial" w:eastAsia="Arial" w:hAnsi="Arial"/>
                <w:sz w:val="18"/>
                <w:szCs w:val="18"/>
                <w:color w:val="auto"/>
              </w:rPr>
              <w:t>By: /s/ CHARLES E. BRADLEY, JR.</w:t>
            </w:r>
          </w:p>
        </w:tc>
      </w:tr>
      <w:tr>
        <w:trPr>
          <w:trHeight w:val="224"/>
        </w:trPr>
        <w:tc>
          <w:tcPr>
            <w:tcW w:w="3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195"/>
        </w:trPr>
        <w:tc>
          <w:tcPr>
            <w:tcW w:w="552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55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 ADAMS</w:t>
            </w:r>
          </w:p>
        </w:tc>
      </w:tr>
      <w:tr>
        <w:trPr>
          <w:trHeight w:val="224"/>
        </w:trPr>
        <w:tc>
          <w:tcPr>
            <w:tcW w:w="5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620"/>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M. GRASSO</w:t>
            </w:r>
          </w:p>
        </w:tc>
      </w:tr>
      <w:tr>
        <w:trPr>
          <w:trHeight w:val="224"/>
        </w:trPr>
        <w:tc>
          <w:tcPr>
            <w:tcW w:w="5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Lou Grasso, </w:t>
            </w:r>
            <w:r>
              <w:rPr>
                <w:rFonts w:ascii="Arial" w:cs="Arial" w:eastAsia="Arial" w:hAnsi="Arial"/>
                <w:sz w:val="18"/>
                <w:szCs w:val="18"/>
                <w:i w:val="1"/>
                <w:iCs w:val="1"/>
                <w:color w:val="auto"/>
              </w:rPr>
              <w:t>Director</w:t>
            </w:r>
          </w:p>
        </w:tc>
      </w:tr>
      <w:tr>
        <w:trPr>
          <w:trHeight w:val="634"/>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RAYHILL</w:t>
            </w:r>
          </w:p>
        </w:tc>
      </w:tr>
      <w:tr>
        <w:trPr>
          <w:trHeight w:val="224"/>
        </w:trPr>
        <w:tc>
          <w:tcPr>
            <w:tcW w:w="5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620"/>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ROBERTS</w:t>
            </w:r>
          </w:p>
        </w:tc>
      </w:tr>
      <w:tr>
        <w:trPr>
          <w:trHeight w:val="224"/>
        </w:trPr>
        <w:tc>
          <w:tcPr>
            <w:tcW w:w="5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620"/>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WASHER</w:t>
            </w:r>
          </w:p>
        </w:tc>
      </w:tr>
      <w:tr>
        <w:trPr>
          <w:trHeight w:val="224"/>
        </w:trPr>
        <w:tc>
          <w:tcPr>
            <w:tcW w:w="5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620"/>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WOOD</w:t>
            </w:r>
          </w:p>
        </w:tc>
      </w:tr>
      <w:tr>
        <w:trPr>
          <w:trHeight w:val="224"/>
        </w:trPr>
        <w:tc>
          <w:tcPr>
            <w:tcW w:w="55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620"/>
        </w:trPr>
        <w:tc>
          <w:tcPr>
            <w:tcW w:w="5520" w:type="dxa"/>
            <w:vAlign w:val="bottom"/>
          </w:tcPr>
          <w:p>
            <w:pPr>
              <w:spacing w:after="0"/>
              <w:rPr>
                <w:sz w:val="20"/>
                <w:szCs w:val="20"/>
                <w:color w:val="auto"/>
              </w:rPr>
            </w:pPr>
            <w:r>
              <w:rPr>
                <w:rFonts w:ascii="Arial" w:cs="Arial" w:eastAsia="Arial" w:hAnsi="Arial"/>
                <w:sz w:val="18"/>
                <w:szCs w:val="18"/>
                <w:color w:val="auto"/>
              </w:rPr>
              <w:t>March 10, 2021</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FRITZ</w:t>
            </w:r>
          </w:p>
        </w:tc>
      </w:tr>
      <w:tr>
        <w:trPr>
          <w:trHeight w:val="195"/>
        </w:trPr>
        <w:tc>
          <w:tcPr>
            <w:tcW w:w="552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 xml:space="preserve">Jeffrey P. Fritz, Executive </w:t>
            </w:r>
            <w:r>
              <w:rPr>
                <w:rFonts w:ascii="Arial" w:cs="Arial" w:eastAsia="Arial" w:hAnsi="Arial"/>
                <w:sz w:val="18"/>
                <w:szCs w:val="18"/>
                <w:i w:val="1"/>
                <w:iCs w:val="1"/>
                <w:color w:val="auto"/>
              </w:rPr>
              <w:t>Vice President and Chief Financial Officer</w:t>
            </w:r>
          </w:p>
        </w:tc>
      </w:tr>
      <w:tr>
        <w:trPr>
          <w:trHeight w:val="230"/>
        </w:trPr>
        <w:tc>
          <w:tcPr>
            <w:tcW w:w="5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890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8900" w:type="dxa"/>
            <w:vAlign w:val="bottom"/>
          </w:tcPr>
          <w:p>
            <w:pPr>
              <w:spacing w:after="0"/>
              <w:rPr>
                <w:sz w:val="24"/>
                <w:szCs w:val="24"/>
                <w:color w:val="auto"/>
              </w:rPr>
            </w:pPr>
          </w:p>
        </w:tc>
        <w:tc>
          <w:tcPr>
            <w:tcW w:w="23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7"/>
              </w:rPr>
              <w:t>Page Reference</w:t>
            </w:r>
          </w:p>
        </w:tc>
      </w:tr>
      <w:tr>
        <w:trPr>
          <w:trHeight w:val="237"/>
        </w:trPr>
        <w:tc>
          <w:tcPr>
            <w:tcW w:w="89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Report of Independent Registered Public Accounting Firm</w:t>
              </w:r>
            </w:hyperlink>
          </w:p>
        </w:tc>
        <w:tc>
          <w:tcPr>
            <w:tcW w:w="1560" w:type="dxa"/>
            <w:vAlign w:val="bottom"/>
          </w:tcPr>
          <w:p>
            <w:pPr>
              <w:spacing w:after="0"/>
              <w:rPr>
                <w:sz w:val="20"/>
                <w:szCs w:val="20"/>
                <w:color w:val="auto"/>
              </w:rPr>
            </w:pPr>
          </w:p>
        </w:tc>
        <w:tc>
          <w:tcPr>
            <w:tcW w:w="76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6"/>
              </w:rPr>
              <w:t>F-2</w:t>
            </w:r>
          </w:p>
        </w:tc>
      </w:tr>
      <w:tr>
        <w:trPr>
          <w:trHeight w:val="432"/>
        </w:trPr>
        <w:tc>
          <w:tcPr>
            <w:tcW w:w="89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Balance Sheets as of December 31, 2020 and 2019</w:t>
              </w:r>
            </w:hyperlink>
          </w:p>
        </w:tc>
        <w:tc>
          <w:tcPr>
            <w:tcW w:w="1560" w:type="dxa"/>
            <w:vAlign w:val="bottom"/>
          </w:tcPr>
          <w:p>
            <w:pPr>
              <w:spacing w:after="0"/>
              <w:rPr>
                <w:sz w:val="24"/>
                <w:szCs w:val="24"/>
                <w:color w:val="auto"/>
              </w:rPr>
            </w:pPr>
          </w:p>
        </w:tc>
        <w:tc>
          <w:tcPr>
            <w:tcW w:w="760" w:type="dxa"/>
            <w:vAlign w:val="bottom"/>
          </w:tcPr>
          <w:p>
            <w:pPr>
              <w:jc w:val="center"/>
              <w:ind w:right="330"/>
              <w:spacing w:after="0"/>
              <w:rPr>
                <w:sz w:val="20"/>
                <w:szCs w:val="20"/>
                <w:color w:val="auto"/>
              </w:rPr>
            </w:pPr>
            <w:r>
              <w:rPr>
                <w:rFonts w:ascii="Arial" w:cs="Arial" w:eastAsia="Arial" w:hAnsi="Arial"/>
                <w:sz w:val="18"/>
                <w:szCs w:val="18"/>
                <w:color w:val="auto"/>
                <w:w w:val="96"/>
              </w:rPr>
              <w:t>F-4</w:t>
            </w:r>
          </w:p>
        </w:tc>
      </w:tr>
      <w:tr>
        <w:trPr>
          <w:trHeight w:val="432"/>
        </w:trPr>
        <w:tc>
          <w:tcPr>
            <w:tcW w:w="89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Income for the years ended December 31, 2020, 2019 and 2018</w:t>
              </w:r>
            </w:hyperlink>
          </w:p>
        </w:tc>
        <w:tc>
          <w:tcPr>
            <w:tcW w:w="1560" w:type="dxa"/>
            <w:vAlign w:val="bottom"/>
          </w:tcPr>
          <w:p>
            <w:pPr>
              <w:spacing w:after="0"/>
              <w:rPr>
                <w:sz w:val="24"/>
                <w:szCs w:val="24"/>
                <w:color w:val="auto"/>
              </w:rPr>
            </w:pPr>
          </w:p>
        </w:tc>
        <w:tc>
          <w:tcPr>
            <w:tcW w:w="760" w:type="dxa"/>
            <w:vAlign w:val="bottom"/>
          </w:tcPr>
          <w:p>
            <w:pPr>
              <w:jc w:val="center"/>
              <w:ind w:right="330"/>
              <w:spacing w:after="0"/>
              <w:rPr>
                <w:sz w:val="20"/>
                <w:szCs w:val="20"/>
                <w:color w:val="auto"/>
              </w:rPr>
            </w:pPr>
            <w:r>
              <w:rPr>
                <w:rFonts w:ascii="Arial" w:cs="Arial" w:eastAsia="Arial" w:hAnsi="Arial"/>
                <w:sz w:val="18"/>
                <w:szCs w:val="18"/>
                <w:color w:val="auto"/>
                <w:w w:val="96"/>
              </w:rPr>
              <w:t>F-5</w:t>
            </w:r>
          </w:p>
        </w:tc>
      </w:tr>
      <w:tr>
        <w:trPr>
          <w:trHeight w:val="432"/>
        </w:trPr>
        <w:tc>
          <w:tcPr>
            <w:tcW w:w="89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Comprehensive Income for the years ended December 31, 2020, 2019 and 2018</w:t>
              </w:r>
            </w:hyperlink>
          </w:p>
        </w:tc>
        <w:tc>
          <w:tcPr>
            <w:tcW w:w="1560" w:type="dxa"/>
            <w:vAlign w:val="bottom"/>
          </w:tcPr>
          <w:p>
            <w:pPr>
              <w:spacing w:after="0"/>
              <w:rPr>
                <w:sz w:val="24"/>
                <w:szCs w:val="24"/>
                <w:color w:val="auto"/>
              </w:rPr>
            </w:pPr>
          </w:p>
        </w:tc>
        <w:tc>
          <w:tcPr>
            <w:tcW w:w="760" w:type="dxa"/>
            <w:vAlign w:val="bottom"/>
          </w:tcPr>
          <w:p>
            <w:pPr>
              <w:jc w:val="center"/>
              <w:ind w:right="330"/>
              <w:spacing w:after="0"/>
              <w:rPr>
                <w:sz w:val="20"/>
                <w:szCs w:val="20"/>
                <w:color w:val="auto"/>
              </w:rPr>
            </w:pPr>
            <w:r>
              <w:rPr>
                <w:rFonts w:ascii="Arial" w:cs="Arial" w:eastAsia="Arial" w:hAnsi="Arial"/>
                <w:sz w:val="18"/>
                <w:szCs w:val="18"/>
                <w:color w:val="auto"/>
                <w:w w:val="96"/>
              </w:rPr>
              <w:t>F-6</w:t>
            </w:r>
          </w:p>
        </w:tc>
      </w:tr>
      <w:tr>
        <w:trPr>
          <w:trHeight w:val="432"/>
        </w:trPr>
        <w:tc>
          <w:tcPr>
            <w:tcW w:w="89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Shareholders’ Equity for the years ended December 31, 2020, 2019 and 2018</w:t>
              </w:r>
            </w:hyperlink>
          </w:p>
        </w:tc>
        <w:tc>
          <w:tcPr>
            <w:tcW w:w="1560" w:type="dxa"/>
            <w:vAlign w:val="bottom"/>
          </w:tcPr>
          <w:p>
            <w:pPr>
              <w:spacing w:after="0"/>
              <w:rPr>
                <w:sz w:val="24"/>
                <w:szCs w:val="24"/>
                <w:color w:val="auto"/>
              </w:rPr>
            </w:pPr>
          </w:p>
        </w:tc>
        <w:tc>
          <w:tcPr>
            <w:tcW w:w="760" w:type="dxa"/>
            <w:vAlign w:val="bottom"/>
          </w:tcPr>
          <w:p>
            <w:pPr>
              <w:jc w:val="center"/>
              <w:ind w:right="330"/>
              <w:spacing w:after="0"/>
              <w:rPr>
                <w:sz w:val="20"/>
                <w:szCs w:val="20"/>
                <w:color w:val="auto"/>
              </w:rPr>
            </w:pPr>
            <w:r>
              <w:rPr>
                <w:rFonts w:ascii="Arial" w:cs="Arial" w:eastAsia="Arial" w:hAnsi="Arial"/>
                <w:sz w:val="18"/>
                <w:szCs w:val="18"/>
                <w:color w:val="auto"/>
                <w:w w:val="96"/>
              </w:rPr>
              <w:t>F-7</w:t>
            </w:r>
          </w:p>
        </w:tc>
      </w:tr>
      <w:tr>
        <w:trPr>
          <w:trHeight w:val="432"/>
        </w:trPr>
        <w:tc>
          <w:tcPr>
            <w:tcW w:w="890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Cash Flows for the years ended December 31, 2020, 2019 and 2018</w:t>
              </w:r>
            </w:hyperlink>
          </w:p>
        </w:tc>
        <w:tc>
          <w:tcPr>
            <w:tcW w:w="1560" w:type="dxa"/>
            <w:vAlign w:val="bottom"/>
          </w:tcPr>
          <w:p>
            <w:pPr>
              <w:spacing w:after="0"/>
              <w:rPr>
                <w:sz w:val="24"/>
                <w:szCs w:val="24"/>
                <w:color w:val="auto"/>
              </w:rPr>
            </w:pPr>
          </w:p>
        </w:tc>
        <w:tc>
          <w:tcPr>
            <w:tcW w:w="760" w:type="dxa"/>
            <w:vAlign w:val="bottom"/>
          </w:tcPr>
          <w:p>
            <w:pPr>
              <w:jc w:val="center"/>
              <w:ind w:right="330"/>
              <w:spacing w:after="0"/>
              <w:rPr>
                <w:sz w:val="20"/>
                <w:szCs w:val="20"/>
                <w:color w:val="auto"/>
              </w:rPr>
            </w:pPr>
            <w:r>
              <w:rPr>
                <w:rFonts w:ascii="Arial" w:cs="Arial" w:eastAsia="Arial" w:hAnsi="Arial"/>
                <w:sz w:val="18"/>
                <w:szCs w:val="18"/>
                <w:color w:val="auto"/>
                <w:w w:val="96"/>
              </w:rPr>
              <w:t>F-8</w:t>
            </w:r>
          </w:p>
        </w:tc>
      </w:tr>
      <w:tr>
        <w:trPr>
          <w:trHeight w:val="432"/>
        </w:trPr>
        <w:tc>
          <w:tcPr>
            <w:tcW w:w="890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Notes to Consolidated Financial Statements</w:t>
              </w:r>
            </w:hyperlink>
          </w:p>
        </w:tc>
        <w:tc>
          <w:tcPr>
            <w:tcW w:w="1560" w:type="dxa"/>
            <w:vAlign w:val="bottom"/>
          </w:tcPr>
          <w:p>
            <w:pPr>
              <w:spacing w:after="0"/>
              <w:rPr>
                <w:sz w:val="24"/>
                <w:szCs w:val="24"/>
                <w:color w:val="auto"/>
              </w:rPr>
            </w:pPr>
          </w:p>
        </w:tc>
        <w:tc>
          <w:tcPr>
            <w:tcW w:w="760" w:type="dxa"/>
            <w:vAlign w:val="bottom"/>
          </w:tcPr>
          <w:p>
            <w:pPr>
              <w:jc w:val="center"/>
              <w:ind w:right="330"/>
              <w:spacing w:after="0"/>
              <w:rPr>
                <w:sz w:val="20"/>
                <w:szCs w:val="20"/>
                <w:color w:val="auto"/>
              </w:rPr>
            </w:pPr>
            <w:r>
              <w:rPr>
                <w:rFonts w:ascii="Arial" w:cs="Arial" w:eastAsia="Arial" w:hAnsi="Arial"/>
                <w:sz w:val="18"/>
                <w:szCs w:val="18"/>
                <w:color w:val="auto"/>
                <w:w w:val="96"/>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Consumer Portfolio Services, Inc. and Subsidiaries (the "Company") as of December 31, 2020 and 2019, the related consolidated statements of income, comprehensive income, shareholders’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Explanatory Paragraph - Change in Accounting Principle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credit losses effective January 1, 2020 due to the adoption of Financial Accounting Standards Board (FASB) Accounting Standards Codification No. 326, Financial Instruments – Credit Losses (ASC 326). The Company adopted the new credit loss standard using the modified retrospective method such that prior period amounts are not adjusted and continue to be reported in accordance with previously applicable generally accepted accounting principles. The adoption of the new credit loss standard and its subsequent application is also communicated as a critical audit matter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Accounting for Loans at Fair Value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Notes 1 and 12 to the consolidated financial statements, the Company carries all finance receivables acquired after 2017 at fair value on a recurring basis. The Company had $1.5 billion in finance receivables that are carried at fair value, all of which are classified as level 3 fair values as they contain one or more inputs which are unobservable and significant to the fair value measurement. With assistance from a third party, the Company used a discounted cash flow model to measure the fair value of finance receivables. The significant assumptions used by the Company to estimate cash flows and calculate the fair value of these financial receivables include volatility relating to expected loss rates, timing of losses and market-based discount rates. These significant assumptions were based on market data, the Company's industry experience, and the Company’s expectations based on results of historical loan cohorts. Historical loan cohorts are pools of loans that are originated in the same month, the Company assesses performance of each individual cohort when assessing fair value.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the valuation of finance receivables carried at fair value as a critical audit matter as this estimate requires subjective auditor judgment. Our principal considerations in making this determination are (i) there was significant judgment and estimation by the Company in determining the inputs to estimate fair value, which in turn led to a high degree of auditor judgment, subjectivity, and effort in performing procedures related to the fair value of these finance receivables, and (ii) the audit effort involved professionals with specialized skill and knowledge to assist in evaluating the audit evidence obtained from these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primary audit procedures to address this critical audit matter included:</w:t>
      </w:r>
    </w:p>
    <w:p>
      <w:pPr>
        <w:spacing w:after="0" w:line="23" w:lineRule="exact"/>
        <w:rPr>
          <w:sz w:val="20"/>
          <w:szCs w:val="20"/>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Used an auditor employed valuation specialist to assist in testing the Company’s estimate of fair value of the finance receivables. Testing included evaluation of certain management significant assumptions and, evaluating the reasonableness of the methodology including a recalculation of the model.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Tested the completeness and accuracy of the underlying data used in the fair value of finance receivables estimate.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 – CECL Adoption and Reasonable and Supportable Forecasts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described in Notes 1 and 6 to the financial statements, effective January 1, 2020 the company adopted </w:t>
      </w:r>
      <w:r>
        <w:rPr>
          <w:rFonts w:ascii="Arial" w:cs="Arial" w:eastAsia="Arial" w:hAnsi="Arial"/>
          <w:sz w:val="16"/>
          <w:szCs w:val="16"/>
          <w:i w:val="1"/>
          <w:iCs w:val="1"/>
          <w:color w:val="auto"/>
        </w:rPr>
        <w:t>Accounting Standards Update 2016-13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Measurement of Credit Losses on Financial Instruments </w:t>
      </w:r>
      <w:r>
        <w:rPr>
          <w:rFonts w:ascii="Arial" w:cs="Arial" w:eastAsia="Arial" w:hAnsi="Arial"/>
          <w:sz w:val="16"/>
          <w:szCs w:val="16"/>
          <w:color w:val="auto"/>
        </w:rPr>
        <w:t>for its finance receivables acquired prior to 2018</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as the legacy portfolio). Upon adoption, the Company recorded a decrease to retained earnings of $92 million (see change in accounting principle explanatory paragraph above). As of December 31, 2020, the Company has a gross receivables portfolio of $492.1 million and a related allowance for finance credit losses (ACL) on loans of $80.8 million and provision for credit losses of $14.1 million for the year ended December 31, 2020. Management estimates the allowance using relevant information from internal and external sources, relating to past events, current conditions and reasonable and supportable forecasts. Historical loss experience for older receivables, aggregated into vintage pools based on the calendar quarter of origination is used to estimate expected losses for less seasoned quarterly vintage pools. This estimate is adjusted by certain qualitative factors that may impact future credit losses. The qualitative adjustment factors represent management’s estimate of the impact of the pandemic on future losses.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use of qualitative factors to estimate pandemic related losses requires significant judgment. Management applies qualitative factors to adjust its estimation of the timing and amount losses to represent its future economic forecast. We identified auditing the reasonableness of forecasts in its credit loss model as a critical audit matter as it involves especially subjective auditor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Tested the completeness and accuracy of data used in the calculation.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Back-tested forecasted losses to actual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reasonableness and appropriateness of the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Inspected and tested key assumptions and judgments.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13,466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130,686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135,537</w:t>
            </w: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1,523,726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1,444,038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492,133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897,530</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(80,790)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10"/>
        </w:trPr>
        <w:tc>
          <w:tcPr>
            <w:tcW w:w="53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3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411,343</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885,890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Furniture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EEEEEE"/>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828</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28,512</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15,480</w:t>
            </w:r>
          </w:p>
        </w:tc>
      </w:t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5,017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11,645</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32,317</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39,852</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2,145,895</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2,539,249</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-736600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gridSpan w:val="2"/>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43,112</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47,077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118,999</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134,791</w:t>
            </w: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25,426</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39,478</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1,803,673</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2,097,728</w:t>
            </w:r>
          </w:p>
        </w:tc>
      </w:tr>
      <w:tr>
        <w:trPr>
          <w:trHeight w:val="230"/>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21,323</w:t>
            </w: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17,534</w:t>
            </w: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FFFFFF"/>
              </w:rPr>
              <w:t>Total Liabilities</w:t>
            </w: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2,012,533</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2,336,608</w:t>
            </w: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0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authorized 75,000,000 shares; 22,737,342 and 22,530,918 shares issued</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and outstanding at December 31, 2020 and December 31, 2019, respectively</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72,926</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71,257</w:t>
            </w: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69,007</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139,805</w:t>
            </w: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(8,571)</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(8,421)</w:t>
            </w:r>
          </w:p>
        </w:tc>
      </w:tr>
      <w:tr>
        <w:trPr>
          <w:trHeight w:val="210"/>
        </w:trPr>
        <w:tc>
          <w:tcPr>
            <w:tcW w:w="7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EEEEEE"/>
              </w:rPr>
              <w:t>Total stockholders' equity</w:t>
            </w:r>
          </w:p>
        </w:tc>
        <w:tc>
          <w:tcPr>
            <w:tcW w:w="16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133,362</w:t>
            </w:r>
          </w:p>
        </w:tc>
        <w:tc>
          <w:tcPr>
            <w:tcW w:w="3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202,641</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5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75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EEEEEE"/>
              </w:rPr>
              <w:t>Total liabilities and stockholders' equity</w:t>
            </w:r>
          </w:p>
        </w:tc>
        <w:tc>
          <w:tcPr>
            <w:tcW w:w="160" w:type="dxa"/>
            <w:vAlign w:val="bottom"/>
            <w:tcBorders>
              <w:bottom w:val="single" w:sz="8" w:color="EEEEEE"/>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2,145,895</w:t>
            </w:r>
          </w:p>
        </w:tc>
        <w:tc>
          <w:tcPr>
            <w:tcW w:w="320" w:type="dxa"/>
            <w:vAlign w:val="bottom"/>
            <w:tcBorders>
              <w:bottom w:val="single" w:sz="8" w:color="EEEEEE"/>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2,539,249</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b w:val="1"/>
                <w:bCs w:val="1"/>
                <w:color w:val="auto"/>
                <w:w w:val="89"/>
              </w:rPr>
              <w:t>Year Ended December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4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294,982</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337,096</w:t>
            </w: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380,297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Mark to finance receivables measured at fair value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(29,528)</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11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5,707</w:t>
            </w:r>
          </w:p>
        </w:tc>
        <w:tc>
          <w:tcPr>
            <w:tcW w:w="2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8,704</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9,478</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EEEEEE"/>
            </w:tcBorders>
          </w:tcPr>
          <w:p>
            <w:pPr>
              <w:spacing w:after="0"/>
              <w:rPr>
                <w:sz w:val="20"/>
                <w:szCs w:val="20"/>
                <w:color w:val="auto"/>
              </w:rPr>
            </w:pPr>
            <w:r>
              <w:rPr>
                <w:rFonts w:ascii="Arial" w:cs="Arial" w:eastAsia="Arial" w:hAnsi="Arial"/>
                <w:sz w:val="18"/>
                <w:szCs w:val="18"/>
                <w:color w:val="FFFFFF"/>
              </w:rPr>
              <w:t>Total revenues</w:t>
            </w:r>
          </w:p>
        </w:tc>
        <w:tc>
          <w:tcPr>
            <w:tcW w:w="118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271,161</w:t>
            </w:r>
          </w:p>
        </w:tc>
        <w:tc>
          <w:tcPr>
            <w:tcW w:w="3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345,800</w:t>
            </w:r>
          </w:p>
        </w:tc>
        <w:tc>
          <w:tcPr>
            <w:tcW w:w="3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389,775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80,198</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80,877</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79,318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31,981</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33,004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31,037</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101,338</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110,528</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101,466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14,113</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85,773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133,080</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14,206</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17,893</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17,572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Occupancy</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7,421</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7,487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30"/>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1,784</w:t>
            </w:r>
          </w:p>
        </w:tc>
        <w:tc>
          <w:tcPr>
            <w:tcW w:w="2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251,041</w:t>
            </w:r>
          </w:p>
        </w:tc>
        <w:tc>
          <w:tcPr>
            <w:tcW w:w="3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336,638</w:t>
            </w:r>
          </w:p>
        </w:tc>
        <w:tc>
          <w:tcPr>
            <w:tcW w:w="3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371,072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 (benefit)</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20,120</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(1,557)</w:t>
            </w:r>
          </w:p>
        </w:tc>
        <w:tc>
          <w:tcPr>
            <w:tcW w:w="2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3,756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23"/>
        </w:trPr>
        <w:tc>
          <w:tcPr>
            <w:tcW w:w="5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21,677</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5,406</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0.96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0.90</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0.22</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22,611</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22,416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21,989</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24,003</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24,064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21,677</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5,406</w:t>
            </w: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14,862</w:t>
            </w: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w w:val="92"/>
              </w:rPr>
              <w:t>Other comprehensive income (loss); change in funded status of pension plan, net of</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220" w:type="dxa"/>
            <w:vAlign w:val="bottom"/>
          </w:tcPr>
          <w:p>
            <w:pPr>
              <w:ind w:left="180"/>
              <w:spacing w:after="0"/>
              <w:rPr>
                <w:sz w:val="20"/>
                <w:szCs w:val="20"/>
                <w:color w:val="auto"/>
              </w:rPr>
            </w:pPr>
            <w:r>
              <w:rPr>
                <w:rFonts w:ascii="Arial" w:cs="Arial" w:eastAsia="Arial" w:hAnsi="Arial"/>
                <w:sz w:val="18"/>
                <w:szCs w:val="18"/>
                <w:color w:val="auto"/>
              </w:rPr>
              <w:t>$55, $330 and $173 in tax for 2020, 2019 and 2018, respectively</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r>
      <w:tr>
        <w:trPr>
          <w:trHeight w:val="223"/>
        </w:trPr>
        <w:tc>
          <w:tcPr>
            <w:tcW w:w="6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21,527</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4,539</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center"/>
              <w:ind w:right="339"/>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4180" w:type="dxa"/>
            <w:vAlign w:val="bottom"/>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6"/>
                <w:szCs w:val="16"/>
                <w:color w:val="auto"/>
              </w:rPr>
            </w:pPr>
          </w:p>
        </w:tc>
        <w:tc>
          <w:tcPr>
            <w:tcW w:w="136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4180" w:type="dxa"/>
            <w:vAlign w:val="bottom"/>
          </w:tcPr>
          <w:p>
            <w:pPr>
              <w:spacing w:after="0"/>
              <w:rPr>
                <w:sz w:val="13"/>
                <w:szCs w:val="13"/>
                <w:color w:val="auto"/>
              </w:rPr>
            </w:pPr>
          </w:p>
        </w:tc>
        <w:tc>
          <w:tcPr>
            <w:tcW w:w="134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360" w:type="dxa"/>
            <w:vAlign w:val="bottom"/>
            <w:gridSpan w:val="2"/>
          </w:tcPr>
          <w:p>
            <w:pPr>
              <w:jc w:val="center"/>
              <w:ind w:right="359"/>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9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Total</w:t>
            </w:r>
          </w:p>
        </w:tc>
      </w:tr>
      <w:tr>
        <w:trPr>
          <w:trHeight w:val="142"/>
        </w:trPr>
        <w:tc>
          <w:tcPr>
            <w:tcW w:w="418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Balance at January 1, 2018</w:t>
            </w: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21,489</w:t>
            </w:r>
          </w:p>
        </w:tc>
        <w:tc>
          <w:tcPr>
            <w:tcW w:w="20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EEEEEE"/>
            </w:tcBorders>
            <w:shd w:val="clear" w:color="auto" w:fill="EEEEEE"/>
          </w:tcPr>
          <w:p>
            <w:pPr>
              <w:spacing w:after="0"/>
              <w:rPr>
                <w:sz w:val="12"/>
                <w:szCs w:val="12"/>
                <w:color w:val="auto"/>
              </w:rPr>
            </w:pPr>
          </w:p>
        </w:tc>
        <w:tc>
          <w:tcPr>
            <w:tcW w:w="320" w:type="dxa"/>
            <w:vAlign w:val="bottom"/>
            <w:tcBorders>
              <w:top w:val="single" w:sz="8" w:color="auto"/>
            </w:tcBorders>
            <w:shd w:val="clear" w:color="auto" w:fill="EEEEEE"/>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71,582</w:t>
            </w:r>
          </w:p>
        </w:tc>
        <w:tc>
          <w:tcPr>
            <w:tcW w:w="20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119,537</w:t>
            </w:r>
          </w:p>
        </w:tc>
        <w:tc>
          <w:tcPr>
            <w:tcW w:w="34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(7,182)</w:t>
            </w:r>
          </w:p>
        </w:tc>
        <w:tc>
          <w:tcPr>
            <w:tcW w:w="3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183,937</w:t>
            </w:r>
          </w:p>
        </w:tc>
        <w:tc>
          <w:tcPr>
            <w:tcW w:w="100" w:type="dxa"/>
            <w:vAlign w:val="bottom"/>
            <w:tcBorders>
              <w:top w:val="single" w:sz="8" w:color="EEEEEE"/>
            </w:tcBorders>
            <w:shd w:val="clear" w:color="auto" w:fill="EEEEEE"/>
          </w:tcPr>
          <w:p>
            <w:pPr>
              <w:spacing w:after="0"/>
              <w:rPr>
                <w:sz w:val="12"/>
                <w:szCs w:val="12"/>
                <w:color w:val="auto"/>
              </w:rPr>
            </w:pPr>
          </w:p>
        </w:tc>
      </w:tr>
      <w:tr>
        <w:trPr>
          <w:trHeight w:val="148"/>
        </w:trPr>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1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Common stock issued upon exercise of options and warrants</w:t>
            </w:r>
          </w:p>
        </w:tc>
        <w:tc>
          <w:tcPr>
            <w:tcW w:w="13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2,315</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483</w:t>
            </w: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483</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(5,307)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(5,307)</w:t>
            </w:r>
          </w:p>
        </w:tc>
      </w:tr>
      <w:tr>
        <w:trPr>
          <w:trHeight w:val="149"/>
        </w:trPr>
        <w:tc>
          <w:tcPr>
            <w:tcW w:w="41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3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39"/>
              <w:spacing w:after="0" w:line="149" w:lineRule="exact"/>
              <w:rPr>
                <w:sz w:val="20"/>
                <w:szCs w:val="20"/>
                <w:color w:val="auto"/>
              </w:rPr>
            </w:pPr>
            <w:r>
              <w:rPr>
                <w:rFonts w:ascii="Arial" w:cs="Arial" w:eastAsia="Arial" w:hAnsi="Arial"/>
                <w:sz w:val="14"/>
                <w:szCs w:val="14"/>
                <w:color w:val="auto"/>
              </w:rPr>
              <w:t>(372)</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(372)</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3,515</w:t>
            </w:r>
          </w:p>
        </w:tc>
      </w:tr>
      <w:tr>
        <w:trPr>
          <w:trHeight w:val="162"/>
        </w:trPr>
        <w:tc>
          <w:tcPr>
            <w:tcW w:w="4180" w:type="dxa"/>
            <w:vAlign w:val="bottom"/>
            <w:shd w:val="clear" w:color="auto" w:fill="EEEEEE"/>
          </w:tcPr>
          <w:p>
            <w:pPr>
              <w:spacing w:after="0"/>
              <w:rPr>
                <w:sz w:val="20"/>
                <w:szCs w:val="20"/>
                <w:color w:val="auto"/>
              </w:rPr>
            </w:pPr>
            <w:r>
              <w:rPr>
                <w:rFonts w:ascii="Arial" w:cs="Arial" w:eastAsia="Arial" w:hAnsi="Arial"/>
                <w:sz w:val="14"/>
                <w:szCs w:val="14"/>
                <w:color w:val="auto"/>
              </w:rPr>
              <w:t>Net income</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14,862</w:t>
            </w:r>
          </w:p>
        </w:tc>
        <w:tc>
          <w:tcPr>
            <w:tcW w:w="60" w:type="dxa"/>
            <w:vAlign w:val="bottom"/>
            <w:shd w:val="clear" w:color="auto" w:fill="EEEEEE"/>
          </w:tcPr>
          <w:p>
            <w:pPr>
              <w:spacing w:after="0"/>
              <w:rPr>
                <w:sz w:val="14"/>
                <w:szCs w:val="14"/>
                <w:color w:val="auto"/>
              </w:rPr>
            </w:pPr>
          </w:p>
        </w:tc>
        <w:tc>
          <w:tcPr>
            <w:tcW w:w="1360" w:type="dxa"/>
            <w:vAlign w:val="bottom"/>
            <w:gridSpan w:val="2"/>
            <w:shd w:val="clear" w:color="auto" w:fill="EEEEEE"/>
          </w:tcPr>
          <w:p>
            <w:pPr>
              <w:jc w:val="right"/>
              <w:ind w:right="279"/>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14,862</w:t>
            </w:r>
          </w:p>
        </w:tc>
      </w:tr>
      <w:tr>
        <w:trPr>
          <w:trHeight w:val="196"/>
        </w:trPr>
        <w:tc>
          <w:tcPr>
            <w:tcW w:w="4180" w:type="dxa"/>
            <w:vAlign w:val="bottom"/>
            <w:tcBorders>
              <w:bottom w:val="single" w:sz="8" w:color="EEEEEE"/>
            </w:tcBorders>
          </w:tcPr>
          <w:p>
            <w:pPr>
              <w:spacing w:after="0" w:line="155" w:lineRule="exact"/>
              <w:rPr>
                <w:sz w:val="20"/>
                <w:szCs w:val="20"/>
                <w:color w:val="auto"/>
              </w:rPr>
            </w:pPr>
            <w:r>
              <w:rPr>
                <w:rFonts w:ascii="Arial" w:cs="Arial" w:eastAsia="Arial" w:hAnsi="Arial"/>
                <w:sz w:val="14"/>
                <w:szCs w:val="14"/>
                <w:color w:val="auto"/>
              </w:rPr>
              <w:t>Balance at December 31, 2018</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22,422</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70,273</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134,399</w:t>
            </w:r>
          </w:p>
        </w:tc>
        <w:tc>
          <w:tcPr>
            <w:tcW w:w="340" w:type="dxa"/>
            <w:vAlign w:val="bottom"/>
            <w:tcBorders>
              <w:bottom w:val="single" w:sz="8" w:color="EEEEEE"/>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(7,554</w:t>
            </w:r>
          </w:p>
        </w:tc>
        <w:tc>
          <w:tcPr>
            <w:tcW w:w="320" w:type="dxa"/>
            <w:vAlign w:val="bottom"/>
            <w:tcBorders>
              <w:bottom w:val="single" w:sz="8" w:color="EEEEEE"/>
            </w:tcBorders>
          </w:tcPr>
          <w:p>
            <w:pPr>
              <w:jc w:val="right"/>
              <w:ind w:right="2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197,118</w:t>
            </w:r>
          </w:p>
        </w:tc>
        <w:tc>
          <w:tcPr>
            <w:tcW w:w="100" w:type="dxa"/>
            <w:vAlign w:val="bottom"/>
            <w:tcBorders>
              <w:bottom w:val="single" w:sz="8" w:color="EEEEEE"/>
            </w:tcBorders>
          </w:tcPr>
          <w:p>
            <w:pPr>
              <w:spacing w:after="0"/>
              <w:rPr>
                <w:sz w:val="17"/>
                <w:szCs w:val="17"/>
                <w:color w:val="auto"/>
              </w:rPr>
            </w:pPr>
          </w:p>
        </w:tc>
      </w:tr>
      <w:tr>
        <w:trPr>
          <w:trHeight w:val="129"/>
        </w:trPr>
        <w:tc>
          <w:tcPr>
            <w:tcW w:w="418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1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Common stock issued upon exercise of options and warrants</w:t>
            </w:r>
          </w:p>
        </w:tc>
        <w:tc>
          <w:tcPr>
            <w:tcW w:w="13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488</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352</w:t>
            </w: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352</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(1,440)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(1,440)</w:t>
            </w:r>
          </w:p>
        </w:tc>
      </w:tr>
      <w:tr>
        <w:trPr>
          <w:trHeight w:val="148"/>
        </w:trPr>
        <w:tc>
          <w:tcPr>
            <w:tcW w:w="41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3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39"/>
              <w:spacing w:after="0" w:line="149" w:lineRule="exact"/>
              <w:rPr>
                <w:sz w:val="20"/>
                <w:szCs w:val="20"/>
                <w:color w:val="auto"/>
              </w:rPr>
            </w:pPr>
            <w:r>
              <w:rPr>
                <w:rFonts w:ascii="Arial" w:cs="Arial" w:eastAsia="Arial" w:hAnsi="Arial"/>
                <w:sz w:val="14"/>
                <w:szCs w:val="14"/>
                <w:color w:val="auto"/>
              </w:rPr>
              <w:t>(867)</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(867)</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2,072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2,072</w:t>
            </w:r>
          </w:p>
        </w:tc>
      </w:tr>
      <w:tr>
        <w:trPr>
          <w:trHeight w:val="162"/>
        </w:trPr>
        <w:tc>
          <w:tcPr>
            <w:tcW w:w="4180" w:type="dxa"/>
            <w:vAlign w:val="bottom"/>
            <w:shd w:val="clear" w:color="auto" w:fill="EEEEEE"/>
          </w:tcPr>
          <w:p>
            <w:pPr>
              <w:spacing w:after="0"/>
              <w:rPr>
                <w:sz w:val="20"/>
                <w:szCs w:val="20"/>
                <w:color w:val="auto"/>
              </w:rPr>
            </w:pPr>
            <w:r>
              <w:rPr>
                <w:rFonts w:ascii="Arial" w:cs="Arial" w:eastAsia="Arial" w:hAnsi="Arial"/>
                <w:sz w:val="14"/>
                <w:szCs w:val="14"/>
                <w:color w:val="auto"/>
              </w:rPr>
              <w:t>Net income</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5,406</w:t>
            </w:r>
          </w:p>
        </w:tc>
        <w:tc>
          <w:tcPr>
            <w:tcW w:w="60" w:type="dxa"/>
            <w:vAlign w:val="bottom"/>
            <w:shd w:val="clear" w:color="auto" w:fill="EEEEEE"/>
          </w:tcPr>
          <w:p>
            <w:pPr>
              <w:spacing w:after="0"/>
              <w:rPr>
                <w:sz w:val="14"/>
                <w:szCs w:val="14"/>
                <w:color w:val="auto"/>
              </w:rPr>
            </w:pPr>
          </w:p>
        </w:tc>
        <w:tc>
          <w:tcPr>
            <w:tcW w:w="1360" w:type="dxa"/>
            <w:vAlign w:val="bottom"/>
            <w:gridSpan w:val="2"/>
            <w:shd w:val="clear" w:color="auto" w:fill="EEEEEE"/>
          </w:tcPr>
          <w:p>
            <w:pPr>
              <w:jc w:val="right"/>
              <w:ind w:right="279"/>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5,406</w:t>
            </w:r>
          </w:p>
        </w:tc>
      </w:tr>
      <w:tr>
        <w:trPr>
          <w:trHeight w:val="195"/>
        </w:trPr>
        <w:tc>
          <w:tcPr>
            <w:tcW w:w="4180" w:type="dxa"/>
            <w:vAlign w:val="bottom"/>
            <w:tcBorders>
              <w:bottom w:val="single" w:sz="8" w:color="EEEEEE"/>
            </w:tcBorders>
          </w:tcPr>
          <w:p>
            <w:pPr>
              <w:spacing w:after="0" w:line="155" w:lineRule="exact"/>
              <w:rPr>
                <w:sz w:val="20"/>
                <w:szCs w:val="20"/>
                <w:color w:val="auto"/>
              </w:rPr>
            </w:pPr>
            <w:r>
              <w:rPr>
                <w:rFonts w:ascii="Arial" w:cs="Arial" w:eastAsia="Arial" w:hAnsi="Arial"/>
                <w:sz w:val="14"/>
                <w:szCs w:val="14"/>
                <w:color w:val="auto"/>
              </w:rPr>
              <w:t>Balance at December 31, 2019</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22,531</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71,257</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139,805</w:t>
            </w:r>
          </w:p>
        </w:tc>
        <w:tc>
          <w:tcPr>
            <w:tcW w:w="340" w:type="dxa"/>
            <w:vAlign w:val="bottom"/>
            <w:tcBorders>
              <w:bottom w:val="single" w:sz="8" w:color="EEEEEE"/>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(8,421</w:t>
            </w:r>
          </w:p>
        </w:tc>
        <w:tc>
          <w:tcPr>
            <w:tcW w:w="320" w:type="dxa"/>
            <w:vAlign w:val="bottom"/>
            <w:tcBorders>
              <w:bottom w:val="single" w:sz="8" w:color="EEEEEE"/>
            </w:tcBorders>
          </w:tcPr>
          <w:p>
            <w:pPr>
              <w:jc w:val="right"/>
              <w:ind w:right="2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202,641</w:t>
            </w:r>
          </w:p>
        </w:tc>
        <w:tc>
          <w:tcPr>
            <w:tcW w:w="100" w:type="dxa"/>
            <w:vAlign w:val="bottom"/>
            <w:tcBorders>
              <w:bottom w:val="single" w:sz="8" w:color="EEEEEE"/>
            </w:tcBorders>
          </w:tcPr>
          <w:p>
            <w:pPr>
              <w:spacing w:after="0"/>
              <w:rPr>
                <w:sz w:val="17"/>
                <w:szCs w:val="17"/>
                <w:color w:val="auto"/>
              </w:rPr>
            </w:pPr>
          </w:p>
        </w:tc>
      </w:tr>
      <w:tr>
        <w:trPr>
          <w:trHeight w:val="129"/>
        </w:trPr>
        <w:tc>
          <w:tcPr>
            <w:tcW w:w="418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Adoption of ASC 326</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(92,475)</w:t>
            </w:r>
          </w:p>
        </w:tc>
        <w:tc>
          <w:tcPr>
            <w:tcW w:w="60" w:type="dxa"/>
            <w:vAlign w:val="bottom"/>
          </w:tcPr>
          <w:p>
            <w:pPr>
              <w:spacing w:after="0"/>
              <w:rPr>
                <w:sz w:val="14"/>
                <w:szCs w:val="14"/>
                <w:color w:val="auto"/>
              </w:rPr>
            </w:pPr>
          </w:p>
        </w:tc>
        <w:tc>
          <w:tcPr>
            <w:tcW w:w="136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(92,475)</w:t>
            </w:r>
          </w:p>
        </w:tc>
      </w:tr>
      <w:tr>
        <w:trPr>
          <w:trHeight w:val="155"/>
        </w:trPr>
        <w:tc>
          <w:tcPr>
            <w:tcW w:w="418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Balance at January 1, 2020</w:t>
            </w: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22,531</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320" w:type="dxa"/>
            <w:vAlign w:val="bottom"/>
            <w:tcBorders>
              <w:top w:val="single" w:sz="8" w:color="auto"/>
              <w:bottom w:val="single" w:sz="8" w:color="auto"/>
            </w:tcBorders>
            <w:shd w:val="clear" w:color="auto" w:fill="EEEEEE"/>
          </w:tcPr>
          <w:p>
            <w:pPr>
              <w:spacing w:after="0"/>
              <w:rPr>
                <w:sz w:val="13"/>
                <w:szCs w:val="13"/>
                <w:color w:val="auto"/>
              </w:rPr>
            </w:pP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71,257</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spacing w:after="0"/>
              <w:rPr>
                <w:sz w:val="13"/>
                <w:szCs w:val="13"/>
                <w:color w:val="auto"/>
              </w:rPr>
            </w:pP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47,330</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60" w:type="dxa"/>
            <w:vAlign w:val="bottom"/>
            <w:tcBorders>
              <w:top w:val="single" w:sz="8" w:color="auto"/>
              <w:bottom w:val="single" w:sz="8" w:color="auto"/>
            </w:tcBorders>
            <w:shd w:val="clear" w:color="auto" w:fill="EEEEEE"/>
          </w:tcPr>
          <w:p>
            <w:pPr>
              <w:spacing w:after="0"/>
              <w:rPr>
                <w:sz w:val="13"/>
                <w:szCs w:val="13"/>
                <w:color w:val="auto"/>
              </w:rPr>
            </w:pPr>
          </w:p>
        </w:tc>
        <w:tc>
          <w:tcPr>
            <w:tcW w:w="10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(8,421</w:t>
            </w:r>
          </w:p>
        </w:tc>
        <w:tc>
          <w:tcPr>
            <w:tcW w:w="320" w:type="dxa"/>
            <w:vAlign w:val="bottom"/>
            <w:tcBorders>
              <w:top w:val="single" w:sz="8" w:color="EEEEEE"/>
              <w:bottom w:val="single" w:sz="8" w:color="EEEEEE"/>
            </w:tcBorders>
            <w:shd w:val="clear" w:color="auto" w:fill="EEEEEE"/>
          </w:tcPr>
          <w:p>
            <w:pPr>
              <w:jc w:val="right"/>
              <w:ind w:right="2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EEEEEE"/>
          </w:tcPr>
          <w:p>
            <w:pPr>
              <w:spacing w:after="0"/>
              <w:rPr>
                <w:sz w:val="13"/>
                <w:szCs w:val="13"/>
                <w:color w:val="auto"/>
              </w:rPr>
            </w:pPr>
          </w:p>
        </w:tc>
        <w:tc>
          <w:tcPr>
            <w:tcW w:w="8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110,166</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1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Common stock issued upon exercise of options and warrants</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949</w:t>
            </w:r>
          </w:p>
        </w:tc>
      </w:tr>
      <w:tr>
        <w:trPr>
          <w:trHeight w:val="148"/>
        </w:trPr>
        <w:tc>
          <w:tcPr>
            <w:tcW w:w="41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Repurchase of common stock</w:t>
            </w:r>
          </w:p>
        </w:tc>
        <w:tc>
          <w:tcPr>
            <w:tcW w:w="134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(352)</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(1,215)</w:t>
            </w: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(1,215)</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(150)</w:t>
            </w: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w:t>
            </w:r>
          </w:p>
        </w:tc>
      </w:tr>
      <w:tr>
        <w:trPr>
          <w:trHeight w:val="148"/>
        </w:trPr>
        <w:tc>
          <w:tcPr>
            <w:tcW w:w="41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1,935</w:t>
            </w: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1,935</w:t>
            </w: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21,677</w:t>
            </w:r>
          </w:p>
        </w:tc>
        <w:tc>
          <w:tcPr>
            <w:tcW w:w="60" w:type="dxa"/>
            <w:vAlign w:val="bottom"/>
          </w:tcPr>
          <w:p>
            <w:pPr>
              <w:spacing w:after="0"/>
              <w:rPr>
                <w:sz w:val="14"/>
                <w:szCs w:val="14"/>
                <w:color w:val="auto"/>
              </w:rPr>
            </w:pPr>
          </w:p>
        </w:tc>
        <w:tc>
          <w:tcPr>
            <w:tcW w:w="136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21,677</w:t>
            </w:r>
          </w:p>
        </w:tc>
      </w:tr>
      <w:tr>
        <w:trPr>
          <w:trHeight w:val="156"/>
        </w:trPr>
        <w:tc>
          <w:tcPr>
            <w:tcW w:w="418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Balance at December 31, 2020</w:t>
            </w: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22,737</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320" w:type="dxa"/>
            <w:vAlign w:val="bottom"/>
            <w:tcBorders>
              <w:top w:val="single" w:sz="8" w:color="auto"/>
              <w:bottom w:val="single" w:sz="8" w:color="auto"/>
            </w:tcBorders>
            <w:shd w:val="clear" w:color="auto" w:fill="EEEEEE"/>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72,926</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69,007</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(8,571</w:t>
            </w:r>
          </w:p>
        </w:tc>
        <w:tc>
          <w:tcPr>
            <w:tcW w:w="320" w:type="dxa"/>
            <w:vAlign w:val="bottom"/>
            <w:tcBorders>
              <w:top w:val="single" w:sz="8" w:color="EEEEEE"/>
              <w:bottom w:val="single" w:sz="8" w:color="EEEEEE"/>
            </w:tcBorders>
            <w:shd w:val="clear" w:color="auto" w:fill="EEEEEE"/>
          </w:tcPr>
          <w:p>
            <w:pPr>
              <w:jc w:val="right"/>
              <w:ind w:right="2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EEEEEE"/>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133,362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2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EEEEEE"/>
            </w:tcBorders>
          </w:tcPr>
          <w:p>
            <w:pPr>
              <w:spacing w:after="0"/>
              <w:rPr>
                <w:sz w:val="19"/>
                <w:szCs w:val="19"/>
                <w:color w:val="auto"/>
              </w:rPr>
            </w:pPr>
          </w:p>
        </w:tc>
      </w:tr>
      <w:tr>
        <w:trPr>
          <w:trHeight w:val="209"/>
        </w:trPr>
        <w:tc>
          <w:tcPr>
            <w:tcW w:w="62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21,677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5,406</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14,862</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Accretion of deferred acquisition fees and origination costs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1,757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2,655</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 interest income accretion on fair value receivables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133,771</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90,383</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26,162</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1,784</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992</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8,102</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8,281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8,453</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Mark to fair value of finance receivables measured at fair value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29,528</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(2,109)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Provision for credit losses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14,113</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85,773</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133,080</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1,935</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2,072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3,515</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540"/>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6,628</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20,324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14,784</w:t>
            </w:r>
          </w:p>
        </w:tc>
      </w:tr>
      <w:tr>
        <w:trPr>
          <w:trHeight w:val="216"/>
        </w:trPr>
        <w:tc>
          <w:tcPr>
            <w:tcW w:w="6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2,713</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7,464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(4,161)</w:t>
            </w:r>
          </w:p>
        </w:tc>
      </w:tr>
      <w:tr>
        <w:trPr>
          <w:trHeight w:val="216"/>
        </w:trPr>
        <w:tc>
          <w:tcPr>
            <w:tcW w:w="6220" w:type="dxa"/>
            <w:vAlign w:val="bottom"/>
          </w:tcPr>
          <w:p>
            <w:pPr>
              <w:ind w:left="5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21,493</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3,708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13,258</w:t>
            </w:r>
          </w:p>
        </w:tc>
      </w:tr>
      <w:tr>
        <w:trPr>
          <w:trHeight w:val="229"/>
        </w:trPr>
        <w:tc>
          <w:tcPr>
            <w:tcW w:w="6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(4,115)</w:t>
            </w:r>
          </w:p>
        </w:tc>
        <w:tc>
          <w:tcPr>
            <w:tcW w:w="2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(7,351)</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2,605</w:t>
            </w:r>
          </w:p>
        </w:tc>
      </w:tr>
      <w:tr>
        <w:trPr>
          <w:trHeight w:val="209"/>
        </w:trPr>
        <w:tc>
          <w:tcPr>
            <w:tcW w:w="6220" w:type="dxa"/>
            <w:vAlign w:val="bottom"/>
            <w:tcBorders>
              <w:bottom w:val="single" w:sz="8" w:color="EEEEEE"/>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238,767</w:t>
            </w:r>
          </w:p>
        </w:tc>
        <w:tc>
          <w:tcPr>
            <w:tcW w:w="3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216,784</w:t>
            </w:r>
          </w:p>
        </w:tc>
        <w:tc>
          <w:tcPr>
            <w:tcW w:w="3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216,205</w:t>
            </w:r>
          </w:p>
        </w:tc>
        <w:tc>
          <w:tcPr>
            <w:tcW w:w="100" w:type="dxa"/>
            <w:vAlign w:val="bottom"/>
            <w:tcBorders>
              <w:bottom w:val="single" w:sz="8" w:color="EEEEEE"/>
            </w:tcBorders>
          </w:tcPr>
          <w:p>
            <w:pPr>
              <w:spacing w:after="0"/>
              <w:rPr>
                <w:sz w:val="18"/>
                <w:szCs w:val="18"/>
                <w:color w:val="auto"/>
              </w:rPr>
            </w:pPr>
          </w:p>
        </w:tc>
      </w:tr>
      <w:tr>
        <w:trPr>
          <w:trHeight w:val="210"/>
        </w:trPr>
        <w:tc>
          <w:tcPr>
            <w:tcW w:w="62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332,296</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481,289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605,353</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(739,734)</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(1,004,194)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(914,949)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on receivables portfolio at fair value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496,747</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292,948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67,721</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3,746</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1,354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757</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Purchase of furniture and equipment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(1,077)</w:t>
            </w:r>
          </w:p>
        </w:tc>
      </w:tr>
      <w:tr>
        <w:trPr>
          <w:trHeight w:val="210"/>
        </w:trPr>
        <w:tc>
          <w:tcPr>
            <w:tcW w:w="6220" w:type="dxa"/>
            <w:vAlign w:val="bottom"/>
            <w:tcBorders>
              <w:top w:val="single" w:sz="8" w:color="EEEEEE"/>
            </w:tcBorders>
            <w:shd w:val="clear" w:color="auto" w:fill="EEEEEE"/>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93,031</w:t>
            </w:r>
          </w:p>
        </w:tc>
        <w:tc>
          <w:tcPr>
            <w:tcW w:w="3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(229,354</w:t>
            </w:r>
          </w:p>
        </w:tc>
        <w:tc>
          <w:tcPr>
            <w:tcW w:w="300" w:type="dxa"/>
            <w:vAlign w:val="bottom"/>
            <w:tcBorders>
              <w:top w:val="single" w:sz="8" w:color="EEEEEE"/>
            </w:tcBorders>
            <w:shd w:val="clear" w:color="auto" w:fill="EEEEEE"/>
          </w:tcPr>
          <w:p>
            <w:pPr>
              <w:jc w:val="right"/>
              <w:ind w:right="1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(242,195</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22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714,543</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1,000,501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855,828</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6,750</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5,764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3,175</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(2,961)</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(5,520)</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(2,451)</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advances (repayments) of warehouse lines of credit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(16,271)</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23,809</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advances (repayments) of residual interest financing debt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(14,424)</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40,000</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(1,009,988)</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(966,144)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(876,094)</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(5,861)</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(8,921)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(8,039)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(1,215)</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(1,440)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(5,307)</w:t>
            </w:r>
          </w:p>
        </w:tc>
      </w:tr>
      <w:tr>
        <w:trPr>
          <w:trHeight w:val="230"/>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352</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483</w:t>
            </w:r>
          </w:p>
        </w:tc>
      </w:tr>
      <w:tr>
        <w:trPr>
          <w:trHeight w:val="210"/>
        </w:trPr>
        <w:tc>
          <w:tcPr>
            <w:tcW w:w="6220" w:type="dxa"/>
            <w:vAlign w:val="bottom"/>
            <w:tcBorders>
              <w:bottom w:val="single" w:sz="8" w:color="EEEEEE"/>
            </w:tcBorders>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(328,478</w:t>
            </w:r>
          </w:p>
        </w:tc>
        <w:tc>
          <w:tcPr>
            <w:tcW w:w="360" w:type="dxa"/>
            <w:vAlign w:val="bottom"/>
            <w:tcBorders>
              <w:bottom w:val="single" w:sz="8" w:color="EEEEEE"/>
            </w:tcBorders>
          </w:tcPr>
          <w:p>
            <w:pPr>
              <w:jc w:val="right"/>
              <w:ind w:right="2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23,292</w:t>
            </w:r>
          </w:p>
        </w:tc>
        <w:tc>
          <w:tcPr>
            <w:tcW w:w="3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31,404</w:t>
            </w:r>
          </w:p>
        </w:tc>
        <w:tc>
          <w:tcPr>
            <w:tcW w:w="100" w:type="dxa"/>
            <w:vAlign w:val="bottom"/>
            <w:tcBorders>
              <w:bottom w:val="single" w:sz="8" w:color="EEEEEE"/>
            </w:tcBorders>
          </w:tcPr>
          <w:p>
            <w:pPr>
              <w:spacing w:after="0"/>
              <w:rPr>
                <w:sz w:val="18"/>
                <w:szCs w:val="18"/>
                <w:color w:val="auto"/>
              </w:rPr>
            </w:pPr>
          </w:p>
        </w:tc>
      </w:tr>
      <w:tr>
        <w:trPr>
          <w:trHeight w:val="210"/>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3,320</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EEEEEE"/>
          </w:tcPr>
          <w:p>
            <w:pPr>
              <w:spacing w:after="0"/>
              <w:rPr>
                <w:sz w:val="18"/>
                <w:szCs w:val="18"/>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140,832</w:t>
            </w:r>
          </w:p>
        </w:tc>
        <w:tc>
          <w:tcPr>
            <w:tcW w:w="280" w:type="dxa"/>
            <w:vAlign w:val="bottom"/>
          </w:tcPr>
          <w:p>
            <w:pPr>
              <w:spacing w:after="0"/>
              <w:rPr>
                <w:sz w:val="19"/>
                <w:szCs w:val="19"/>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130,110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124,696</w:t>
            </w:r>
          </w:p>
        </w:tc>
      </w:tr>
      <w:tr>
        <w:trPr>
          <w:trHeight w:val="223"/>
        </w:trPr>
        <w:tc>
          <w:tcPr>
            <w:tcW w:w="6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144,152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140,832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130,110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5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93,571</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101,812</w:t>
            </w: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92,405</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(23,997)</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(5,156)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417</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Non-cash financing activities: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Right-of-use asset,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(21,869)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23,327</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Deferred office rent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California, Ohio, Indiana, North Carolina, and Texas represented 13.5%, 11.1%, 5.4%, 5.3% and 5.1%, respectively, of contracts purchased during 2020 compared with 12.6%, 10.8%, 6.3%, 5.4% and 4.2% respectively in 2019. No other state had a concentration in excess of 5.1% in 2020. We specialize in contracts with vehicle purchasers who generally would not be expected to qualify for traditional financing provided by commercial banks or automobile manufacturers’ captive finance companies.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2020, our unrestricted cash balance was $13.5 million, which exceeded the minimum amounts required by our financial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re-evaluate the fair value of such receivables at the close of each measurement period. If the reevaluation were to yield a value materially different from the recorded value, an adjustment would be required. For the period ended December 31, 2020, the Company considered the effect of the pandemic on the portfolio of finance receivables carried at fair value and recorded a mark down to that portfolio of $29.5 million.</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current expected credit losses that can be reasonably estimated in our portfolio of finance receivable contracts.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Dealer acquisition fees and deferred origination costs are applied to the recorded value of finance receivables and are accreted into earnings as an adjustment to the yield over the estimated life of the Contract using the interest method. However, for receivables measured at fair value, we do not record acquisition fees as an amortizing asset related to the receivables, nor do we capitalize costs of acquiring the receivables. Rather we recognize the costs of acquisition as expenses in the period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$3.8 million and $7.5 million at December 31, 2020 and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660"/>
              <w:spacing w:after="0"/>
              <w:rPr>
                <w:sz w:val="20"/>
                <w:szCs w:val="20"/>
                <w:color w:val="auto"/>
              </w:rPr>
            </w:pPr>
            <w:r>
              <w:rPr>
                <w:rFonts w:ascii="Arial" w:cs="Arial" w:eastAsia="Arial" w:hAnsi="Arial"/>
                <w:sz w:val="18"/>
                <w:szCs w:val="18"/>
                <w:color w:val="auto"/>
                <w:w w:val="96"/>
              </w:rPr>
              <w:t>The following table presents the primary components of Other Income:</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62"/>
        </w:trPr>
        <w:tc>
          <w:tcPr>
            <w:tcW w:w="6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left="330"/>
              <w:spacing w:after="0"/>
              <w:rPr>
                <w:sz w:val="20"/>
                <w:szCs w:val="20"/>
                <w:color w:val="auto"/>
              </w:rPr>
            </w:pPr>
            <w:r>
              <w:rPr>
                <w:rFonts w:ascii="Arial" w:cs="Arial" w:eastAsia="Arial" w:hAnsi="Arial"/>
                <w:sz w:val="18"/>
                <w:szCs w:val="18"/>
                <w:b w:val="1"/>
                <w:bCs w:val="1"/>
                <w:color w:val="auto"/>
                <w:w w:val="90"/>
              </w:rPr>
              <w:t>Year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24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3"/>
              </w:rPr>
              <w:t>3,312</w:t>
            </w:r>
          </w:p>
        </w:tc>
        <w:tc>
          <w:tcPr>
            <w:tcW w:w="280" w:type="dxa"/>
            <w:vAlign w:val="bottom"/>
            <w:shd w:val="clear" w:color="auto" w:fill="EEEEEE"/>
          </w:tcPr>
          <w:p>
            <w:pPr>
              <w:jc w:val="right"/>
              <w:ind w:right="121"/>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4,659</w:t>
            </w:r>
          </w:p>
        </w:tc>
        <w:tc>
          <w:tcPr>
            <w:tcW w:w="280" w:type="dxa"/>
            <w:vAlign w:val="bottom"/>
            <w:gridSpan w:val="2"/>
            <w:shd w:val="clear" w:color="auto" w:fill="EEEEEE"/>
          </w:tcPr>
          <w:p>
            <w:pPr>
              <w:jc w:val="right"/>
              <w:ind w:right="149"/>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5,829</w:t>
            </w:r>
          </w:p>
        </w:tc>
        <w:tc>
          <w:tcPr>
            <w:tcW w:w="80" w:type="dxa"/>
            <w:vAlign w:val="bottom"/>
            <w:shd w:val="clear" w:color="auto" w:fill="EEEEEE"/>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1,490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2,440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r>
      <w:tr>
        <w:trPr>
          <w:trHeight w:val="216"/>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Sales tax refunds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887</w:t>
            </w:r>
          </w:p>
        </w:tc>
      </w:tr>
      <w:tr>
        <w:trPr>
          <w:trHeight w:val="230"/>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814</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5,707</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Earnings per share were calculated using the weighted average number of shares outstanding for the related period. The following table illustrates the computation of basic and diluted earnings per share: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w w:val="90"/>
              </w:rPr>
              <w:t>Year Ended December 31,</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60" w:type="dxa"/>
            <w:vAlign w:val="bottom"/>
            <w:gridSpan w:val="7"/>
          </w:tcPr>
          <w:p>
            <w:pPr>
              <w:jc w:val="right"/>
              <w:spacing w:after="0"/>
              <w:rPr>
                <w:sz w:val="20"/>
                <w:szCs w:val="20"/>
                <w:color w:val="auto"/>
              </w:rPr>
            </w:pPr>
            <w:r>
              <w:rPr>
                <w:rFonts w:ascii="Arial" w:cs="Arial" w:eastAsia="Arial" w:hAnsi="Arial"/>
                <w:sz w:val="18"/>
                <w:szCs w:val="18"/>
                <w:b w:val="1"/>
                <w:bCs w:val="1"/>
                <w:color w:val="auto"/>
                <w:w w:val="90"/>
              </w:rPr>
              <w:t>(In thousands, except per share data)</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Numerator for basic and diluted earnings per share</w:t>
            </w:r>
          </w:p>
        </w:tc>
        <w:tc>
          <w:tcPr>
            <w:tcW w:w="1240" w:type="dxa"/>
            <w:vAlign w:val="bottom"/>
            <w:gridSpan w:val="2"/>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21,677</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5,406</w:t>
            </w:r>
          </w:p>
        </w:tc>
        <w:tc>
          <w:tcPr>
            <w:tcW w:w="440" w:type="dxa"/>
            <w:vAlign w:val="bottom"/>
            <w:gridSpan w:val="2"/>
            <w:shd w:val="clear" w:color="auto" w:fill="EEEEEE"/>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14,862</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Denominator:</w:t>
            </w:r>
          </w:p>
        </w:tc>
        <w:tc>
          <w:tcPr>
            <w:tcW w:w="3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Denominator for basic earnings per share</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40"/>
              <w:spacing w:after="0"/>
              <w:rPr>
                <w:sz w:val="20"/>
                <w:szCs w:val="20"/>
                <w:color w:val="auto"/>
              </w:rPr>
            </w:pPr>
            <w:r>
              <w:rPr>
                <w:rFonts w:ascii="Arial" w:cs="Arial" w:eastAsia="Arial" w:hAnsi="Arial"/>
                <w:sz w:val="18"/>
                <w:szCs w:val="18"/>
                <w:color w:val="auto"/>
                <w:w w:val="98"/>
              </w:rPr>
              <w:t>- weighted average number of common shares outstanding during the year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22,611</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22,416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Incremental common shares attributable to exercise of outstanding options and</w:t>
            </w: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38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1,392</w:t>
            </w:r>
          </w:p>
        </w:tc>
        <w:tc>
          <w:tcPr>
            <w:tcW w:w="2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1,648</w:t>
            </w:r>
          </w:p>
        </w:tc>
        <w:tc>
          <w:tcPr>
            <w:tcW w:w="2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2,999</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Denominator for diluted earnings per share</w:t>
            </w:r>
          </w:p>
        </w:tc>
        <w:tc>
          <w:tcPr>
            <w:tcW w:w="380" w:type="dxa"/>
            <w:vAlign w:val="bottom"/>
            <w:tcBorders>
              <w:bottom w:val="single" w:sz="8" w:color="EEEEEE"/>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24,003</w:t>
            </w:r>
          </w:p>
        </w:tc>
        <w:tc>
          <w:tcPr>
            <w:tcW w:w="3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24,064</w:t>
            </w:r>
          </w:p>
        </w:tc>
        <w:tc>
          <w:tcPr>
            <w:tcW w:w="3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24,988</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380" w:type="dxa"/>
            <w:vAlign w:val="bottom"/>
            <w:tcBorders>
              <w:bottom w:val="single" w:sz="8" w:color="EEEEEE"/>
            </w:tcBorders>
            <w:shd w:val="clear" w:color="auto" w:fill="EEEEEE"/>
          </w:tcPr>
          <w:p>
            <w:pPr>
              <w:spacing w:after="0"/>
              <w:rPr>
                <w:sz w:val="17"/>
                <w:szCs w:val="17"/>
                <w:color w:val="auto"/>
              </w:rPr>
            </w:pPr>
          </w:p>
        </w:tc>
        <w:tc>
          <w:tcPr>
            <w:tcW w:w="860" w:type="dxa"/>
            <w:vAlign w:val="bottom"/>
            <w:tcBorders>
              <w:bottom w:val="single" w:sz="8" w:color="auto"/>
            </w:tcBorders>
            <w:shd w:val="clear" w:color="auto" w:fill="EEEEEE"/>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0.96</w:t>
            </w:r>
          </w:p>
        </w:tc>
        <w:tc>
          <w:tcPr>
            <w:tcW w:w="36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0.24</w:t>
            </w:r>
          </w:p>
        </w:tc>
        <w:tc>
          <w:tcPr>
            <w:tcW w:w="3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420" w:type="dxa"/>
            <w:vAlign w:val="bottom"/>
            <w:tcBorders>
              <w:bottom w:val="single" w:sz="8" w:color="auto"/>
            </w:tcBorders>
            <w:shd w:val="clear" w:color="auto" w:fill="EEEEEE"/>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0.68</w:t>
            </w: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8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0.90</w:t>
            </w:r>
          </w:p>
        </w:tc>
        <w:tc>
          <w:tcPr>
            <w:tcW w:w="3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Incremental shares of 13.6 million, 11.3 million and 10.3 million related to stock options and warrants have been excluded from the diluted earnings per share calculation for the years ended December 31, 2020, 2019 and 2018, respectively, because the effect is anti-dilutive.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debt issuance costs are presented as a direct deduction to the carrying amount of the related debt on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Company accounts for stock-based compensation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that generally requires entities to recognize the cost of employee services received in exchange for awards of stock options, restricted stock or other equity instruments, based on the grant date fair value of those awards. Compensation cost is recognized for awards issued to employees based on the fair value of these awards at the date of grant. A Black-Scholes model is utilized to estimate the fair value of stock options. This cost is recognized over the period which an employee is required to provide services in exchange for the award, generally the vesting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are material estimates that could be susceptible to changes in the near term and, accordingly,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2020 we were in compliance with all such financial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recorded a liability as of December 31, 2020, which represents our estimate of the immaterial aggregate probable incurred losses for legal contingencies. The amount of losses that may ultimately be incurred, over and above such losses as are probable, cannot be estimated with certainty.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Codification ("ASC")Topic 326, which changes the criteria under which credit losses on financial instruments (such as the Company’s finance receivables) are measured. ASC 326 introduces a new credit reserving model known as the Current Expected Credit Loss (“CECL”) model, which replaces the incurred loss impairment methodology previously used under U.S. GAAP with a methodology that records currently the expected lifetime credit losses on financial instruments. To establish such lifetime credit loss estimates, consideration of a broadened range of reasonable and supportable information to establish credit loss estimates is required. ASC 326 was initially scheduled to become effective for interim and annual reporting periods beginning after December 15, 2019, however on October 16, 2019, the FASB changed the effective date for smaller reporting companies to interim and annual reporting periods beginning after December 15, 2022, with early adoption permitted.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2020, the Company adopted the CECL model.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 and not a current period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Results for the year ended December 31, 2020 include the estimated potential effect on credit performance resulting from the pandemic. We recorded a $14.1 million charge to the provision for credit losses for the legacy portfolio accounted for under CECL and a $29.5 million mark down to the recorded value of the finance receivables measured at fair value.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w:t>
      </w:r>
      <w:r>
        <w:rPr>
          <w:rFonts w:ascii="Arial" w:cs="Arial" w:eastAsia="Arial" w:hAnsi="Arial"/>
          <w:sz w:val="18"/>
          <w:szCs w:val="18"/>
          <w:color w:val="323232"/>
        </w:rPr>
        <w:t>ignificant changes in any of those inputs, which in turn may have a</w:t>
      </w:r>
      <w:r>
        <w:rPr>
          <w:rFonts w:ascii="Arial" w:cs="Arial" w:eastAsia="Arial" w:hAnsi="Arial"/>
          <w:sz w:val="18"/>
          <w:szCs w:val="18"/>
          <w:color w:val="auto"/>
        </w:rPr>
        <w:t xml:space="preserve"> </w:t>
      </w:r>
      <w:r>
        <w:rPr>
          <w:rFonts w:ascii="Arial" w:cs="Arial" w:eastAsia="Arial" w:hAnsi="Arial"/>
          <w:sz w:val="18"/>
          <w:szCs w:val="18"/>
          <w:color w:val="323232"/>
        </w:rPr>
        <w:t>significant effect on our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Restricted cash consists of cash and cash equivalent accounts relating to our outstanding securitization trusts and credit facilities. The amount of restricted cash on our Consolidated Balance Sheets was $130.7 million and $135.5 million as of December 31, 2020 and 2019, respectively.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$52.2 million and $54.8 million as of December 31,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1060" w:type="dxa"/>
            <w:vAlign w:val="bottom"/>
            <w:shd w:val="clear" w:color="auto" w:fill="EEEEEE"/>
          </w:tcPr>
          <w:p>
            <w:pPr>
              <w:jc w:val="right"/>
              <w:ind w:right="90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5"/>
              </w:rPr>
              <w:t>491,307</w:t>
            </w:r>
          </w:p>
        </w:tc>
        <w:tc>
          <w:tcPr>
            <w:tcW w:w="520" w:type="dxa"/>
            <w:vAlign w:val="bottom"/>
            <w:shd w:val="clear" w:color="auto" w:fill="EEEEEE"/>
          </w:tcPr>
          <w:p>
            <w:pPr>
              <w:jc w:val="right"/>
              <w:ind w:right="3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895,566</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Unearned acquisition fees, discounts and deferred origination costs, net</w:t>
            </w:r>
          </w:p>
        </w:tc>
        <w:tc>
          <w:tcPr>
            <w:tcW w:w="10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826</w:t>
            </w:r>
          </w:p>
        </w:tc>
        <w:tc>
          <w:tcPr>
            <w:tcW w:w="5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23"/>
        </w:trPr>
        <w:tc>
          <w:tcPr>
            <w:tcW w:w="74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receivables</w:t>
            </w:r>
          </w:p>
        </w:tc>
        <w:tc>
          <w:tcPr>
            <w:tcW w:w="1060" w:type="dxa"/>
            <w:vAlign w:val="bottom"/>
            <w:tcBorders>
              <w:top w:val="single" w:sz="8" w:color="auto"/>
              <w:bottom w:val="single" w:sz="8" w:color="auto"/>
            </w:tcBorders>
            <w:shd w:val="clear" w:color="auto" w:fill="EEEEEE"/>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5"/>
              </w:rPr>
              <w:t>492,133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897,530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2020 and 2019:</w:t>
      </w:r>
    </w:p>
    <w:p>
      <w:pPr>
        <w:spacing w:after="0" w:line="200" w:lineRule="exact"/>
        <w:rPr>
          <w:sz w:val="20"/>
          <w:szCs w:val="20"/>
          <w:color w:val="auto"/>
        </w:rPr>
      </w:pPr>
    </w:p>
    <w:p>
      <w:pPr>
        <w:spacing w:after="0" w:line="204"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980" w:type="dxa"/>
            <w:vAlign w:val="bottom"/>
          </w:tcPr>
          <w:p>
            <w:pPr>
              <w:spacing w:after="0"/>
              <w:rPr>
                <w:sz w:val="19"/>
                <w:szCs w:val="19"/>
                <w:color w:val="auto"/>
              </w:rPr>
            </w:pPr>
          </w:p>
        </w:tc>
        <w:tc>
          <w:tcPr>
            <w:tcW w:w="14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980" w:type="dxa"/>
            <w:vAlign w:val="bottom"/>
            <w:shd w:val="clear" w:color="auto" w:fill="EEEEEE"/>
          </w:tcPr>
          <w:p>
            <w:pPr>
              <w:jc w:val="right"/>
              <w:ind w:right="821"/>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406,693</w:t>
            </w:r>
          </w:p>
        </w:tc>
        <w:tc>
          <w:tcPr>
            <w:tcW w:w="680" w:type="dxa"/>
            <w:vAlign w:val="bottom"/>
            <w:gridSpan w:val="2"/>
            <w:shd w:val="clear" w:color="auto" w:fill="EEEEEE"/>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698,870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4600" w:type="dxa"/>
            <w:vAlign w:val="bottom"/>
          </w:tcPr>
          <w:p>
            <w:pPr>
              <w:ind w:left="20"/>
              <w:spacing w:after="0"/>
              <w:rPr>
                <w:sz w:val="20"/>
                <w:szCs w:val="20"/>
                <w:color w:val="auto"/>
              </w:rPr>
            </w:pPr>
            <w:r>
              <w:rPr>
                <w:rFonts w:ascii="Arial" w:cs="Arial" w:eastAsia="Arial" w:hAnsi="Arial"/>
                <w:sz w:val="18"/>
                <w:szCs w:val="18"/>
                <w:color w:val="auto"/>
              </w:rPr>
              <w:t>- 60 days</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56,572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107,951</w:t>
            </w:r>
          </w:p>
        </w:tc>
        <w:tc>
          <w:tcPr>
            <w:tcW w:w="0" w:type="dxa"/>
            <w:vAlign w:val="bottom"/>
          </w:tcPr>
          <w:p>
            <w:pPr>
              <w:spacing w:after="0"/>
              <w:rPr>
                <w:sz w:val="1"/>
                <w:szCs w:val="1"/>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61</w:t>
            </w:r>
          </w:p>
        </w:tc>
        <w:tc>
          <w:tcPr>
            <w:tcW w:w="46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9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22,660</w:t>
            </w: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57,395</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4600" w:type="dxa"/>
            <w:vAlign w:val="bottom"/>
          </w:tcPr>
          <w:p>
            <w:pPr>
              <w:ind w:left="20"/>
              <w:spacing w:after="0"/>
              <w:rPr>
                <w:sz w:val="20"/>
                <w:szCs w:val="20"/>
                <w:color w:val="auto"/>
              </w:rPr>
            </w:pPr>
            <w:r>
              <w:rPr>
                <w:rFonts w:ascii="Arial" w:cs="Arial" w:eastAsia="Arial" w:hAnsi="Arial"/>
                <w:sz w:val="18"/>
                <w:szCs w:val="18"/>
                <w:color w:val="auto"/>
              </w:rPr>
              <w:t>+ days</w:t>
            </w: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5,382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31,350</w:t>
            </w:r>
          </w:p>
        </w:tc>
        <w:tc>
          <w:tcPr>
            <w:tcW w:w="0" w:type="dxa"/>
            <w:vAlign w:val="bottom"/>
          </w:tcPr>
          <w:p>
            <w:pPr>
              <w:spacing w:after="0"/>
              <w:rPr>
                <w:sz w:val="1"/>
                <w:szCs w:val="1"/>
                <w:color w:val="auto"/>
              </w:rPr>
            </w:pPr>
          </w:p>
        </w:tc>
      </w:tr>
      <w:tr>
        <w:trPr>
          <w:trHeight w:val="223"/>
        </w:trPr>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460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491,307</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895,566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receivables totaling $5.4 million and $31.4 million at December 31, 2020 and 2019, respectively, have been placed on non-accrual status as a result of their delinquency status.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amortized cost basis of our finance receivables by annual vintage as of December 31, 2020 and 2019:</w:t>
      </w:r>
    </w:p>
    <w:p>
      <w:pPr>
        <w:spacing w:after="0" w:line="200" w:lineRule="exact"/>
        <w:rPr>
          <w:sz w:val="20"/>
          <w:szCs w:val="20"/>
          <w:color w:val="auto"/>
        </w:rPr>
      </w:pPr>
    </w:p>
    <w:p>
      <w:pPr>
        <w:spacing w:after="0" w:line="262"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80" w:type="dxa"/>
            <w:vAlign w:val="bottom"/>
            <w:gridSpan w:val="4"/>
            <w:vMerge w:val="restart"/>
          </w:tcPr>
          <w:p>
            <w:pPr>
              <w:jc w:val="right"/>
              <w:ind w:right="1867"/>
              <w:spacing w:after="0"/>
              <w:rPr>
                <w:sz w:val="20"/>
                <w:szCs w:val="20"/>
                <w:color w:val="auto"/>
              </w:rPr>
            </w:pPr>
            <w:r>
              <w:rPr>
                <w:rFonts w:ascii="Arial" w:cs="Arial" w:eastAsia="Arial" w:hAnsi="Arial"/>
                <w:sz w:val="18"/>
                <w:szCs w:val="18"/>
                <w:color w:val="auto"/>
              </w:rPr>
              <w:t>Annual Vintage Pool</w:t>
            </w:r>
          </w:p>
        </w:tc>
        <w:tc>
          <w:tcPr>
            <w:tcW w:w="332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3680" w:type="dxa"/>
            <w:vAlign w:val="bottom"/>
            <w:gridSpan w:val="4"/>
            <w:vMerge w:val="continue"/>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2012 and prior</w:t>
            </w:r>
          </w:p>
        </w:tc>
        <w:tc>
          <w:tcPr>
            <w:tcW w:w="3680" w:type="dxa"/>
            <w:vAlign w:val="bottom"/>
            <w:gridSpan w:val="4"/>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608</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4,483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23,115</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61,290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78,457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162,242</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163,677</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292,360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220,967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361,753</w:t>
            </w:r>
          </w:p>
        </w:tc>
        <w:tc>
          <w:tcPr>
            <w:tcW w:w="0" w:type="dxa"/>
            <w:vAlign w:val="bottom"/>
          </w:tcPr>
          <w:p>
            <w:pPr>
              <w:spacing w:after="0"/>
              <w:rPr>
                <w:sz w:val="1"/>
                <w:szCs w:val="1"/>
                <w:color w:val="auto"/>
              </w:rPr>
            </w:pPr>
          </w:p>
        </w:tc>
      </w:tr>
      <w:tr>
        <w:trPr>
          <w:trHeight w:val="223"/>
        </w:trPr>
        <w:tc>
          <w:tcPr>
            <w:tcW w:w="13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17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895,566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adoption of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uncertainty associated with the pandemic, the Company made additional provisions for credit losses on finance receivables for the year ended December 31, 2020 in the amount of $14.1 million.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years ended December 31, 2020, 2019 and 2018:</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60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11,640</w:t>
            </w:r>
          </w:p>
        </w:tc>
        <w:tc>
          <w:tcPr>
            <w:tcW w:w="18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67,376</w:t>
            </w:r>
          </w:p>
        </w:tc>
        <w:tc>
          <w:tcPr>
            <w:tcW w:w="30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109,187</w:t>
            </w:r>
          </w:p>
        </w:tc>
        <w:tc>
          <w:tcPr>
            <w:tcW w:w="10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Impact of adopting ASC 326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w w:val="98"/>
              </w:rPr>
              <w:t>Provision for credit losses on finance receivables</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14,113</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85,773</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133,080</w:t>
            </w:r>
          </w:p>
        </w:tc>
        <w:tc>
          <w:tcPr>
            <w:tcW w:w="10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Charge-offs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(90,824)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(184,449)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(220,523)</w:t>
            </w:r>
          </w:p>
        </w:tc>
      </w:tr>
      <w:tr>
        <w:trPr>
          <w:trHeight w:val="229"/>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18,861</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42,940</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45,632</w:t>
            </w:r>
          </w:p>
        </w:tc>
        <w:tc>
          <w:tcPr>
            <w:tcW w:w="100" w:type="dxa"/>
            <w:vAlign w:val="bottom"/>
            <w:shd w:val="clear" w:color="auto" w:fill="EEEEEE"/>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67,376</w:t>
            </w:r>
          </w:p>
        </w:tc>
        <w:tc>
          <w:tcPr>
            <w:tcW w:w="10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Gross balance of repossessions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-107315</wp:posOffset>
            </wp:positionV>
            <wp:extent cx="5700395"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117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4"/>
          </w:tcPr>
          <w:p>
            <w:pPr>
              <w:jc w:val="right"/>
              <w:ind w:right="49"/>
              <w:spacing w:after="0" w:line="195" w:lineRule="exact"/>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15,589</w:t>
            </w:r>
          </w:p>
        </w:tc>
        <w:tc>
          <w:tcPr>
            <w:tcW w:w="300" w:type="dxa"/>
            <w:vAlign w:val="bottom"/>
          </w:tcPr>
          <w:p>
            <w:pPr>
              <w:spacing w:after="0"/>
              <w:rPr>
                <w:sz w:val="18"/>
                <w:szCs w:val="18"/>
                <w:color w:val="auto"/>
              </w:rPr>
            </w:pPr>
          </w:p>
        </w:tc>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28,933</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(11,790)</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(21,389)</w:t>
            </w: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0" w:space="720"/>
            <w:col w:w="4720"/>
          </w:cols>
          <w:pgMar w:left="320" w:top="796"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Furniture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furniture and equipment:</w:t>
      </w:r>
    </w:p>
    <w:p>
      <w:pPr>
        <w:spacing w:after="0" w:line="200" w:lineRule="exact"/>
        <w:rPr>
          <w:sz w:val="20"/>
          <w:szCs w:val="20"/>
          <w:color w:val="auto"/>
        </w:rPr>
      </w:pPr>
    </w:p>
    <w:p>
      <w:pPr>
        <w:spacing w:after="0" w:line="251"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4"/>
          </w:tcPr>
          <w:p>
            <w:pPr>
              <w:jc w:val="right"/>
              <w:ind w:right="69"/>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1,648</w:t>
            </w:r>
          </w:p>
        </w:tc>
        <w:tc>
          <w:tcPr>
            <w:tcW w:w="520" w:type="dxa"/>
            <w:vAlign w:val="bottom"/>
            <w:gridSpan w:val="2"/>
            <w:shd w:val="clear" w:color="auto" w:fill="EEEEEE"/>
          </w:tcPr>
          <w:p>
            <w:pPr>
              <w:jc w:val="right"/>
              <w:ind w:right="389"/>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Computer and telephone equipment</w:t>
            </w:r>
          </w:p>
        </w:tc>
        <w:tc>
          <w:tcPr>
            <w:tcW w:w="3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4,672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6,803</w:t>
            </w:r>
          </w:p>
        </w:tc>
        <w:tc>
          <w:tcPr>
            <w:tcW w:w="80" w:type="dxa"/>
            <w:vAlign w:val="bottom"/>
          </w:tcPr>
          <w:p>
            <w:pPr>
              <w:spacing w:after="0"/>
              <w:rPr>
                <w:sz w:val="18"/>
                <w:szCs w:val="18"/>
                <w:color w:val="auto"/>
              </w:rPr>
            </w:pPr>
          </w:p>
        </w:tc>
      </w:tr>
      <w:tr>
        <w:trPr>
          <w:trHeight w:val="230"/>
        </w:trPr>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1,507</w:t>
            </w:r>
          </w:p>
        </w:tc>
        <w:tc>
          <w:tcPr>
            <w:tcW w:w="2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EEEEEE"/>
          </w:tcPr>
          <w:p>
            <w:pPr>
              <w:spacing w:after="0"/>
              <w:rPr>
                <w:sz w:val="19"/>
                <w:szCs w:val="19"/>
                <w:color w:val="auto"/>
              </w:rPr>
            </w:pPr>
          </w:p>
        </w:tc>
      </w:tr>
      <w:tr>
        <w:trPr>
          <w:trHeight w:val="210"/>
        </w:trPr>
        <w:tc>
          <w:tcPr>
            <w:tcW w:w="36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6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Less: accumulated depreciation and</w:t>
            </w: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4"/>
        </w:trPr>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EEEEEE"/>
          </w:tcPr>
          <w:p>
            <w:pPr>
              <w:spacing w:after="0"/>
              <w:rPr>
                <w:sz w:val="21"/>
                <w:szCs w:val="21"/>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(6,999)</w:t>
            </w:r>
          </w:p>
        </w:tc>
        <w:tc>
          <w:tcPr>
            <w:tcW w:w="20" w:type="dxa"/>
            <w:vAlign w:val="bottom"/>
            <w:shd w:val="clear" w:color="auto" w:fill="EEEEEE"/>
          </w:tcPr>
          <w:p>
            <w:pPr>
              <w:spacing w:after="0"/>
              <w:rPr>
                <w:sz w:val="21"/>
                <w:szCs w:val="21"/>
                <w:color w:val="auto"/>
              </w:rPr>
            </w:pPr>
          </w:p>
        </w:tc>
        <w:tc>
          <w:tcPr>
            <w:tcW w:w="500" w:type="dxa"/>
            <w:vAlign w:val="bottom"/>
            <w:shd w:val="clear" w:color="auto" w:fill="EEEEEE"/>
          </w:tcPr>
          <w:p>
            <w:pPr>
              <w:spacing w:after="0"/>
              <w:rPr>
                <w:sz w:val="21"/>
                <w:szCs w:val="21"/>
                <w:color w:val="auto"/>
              </w:rPr>
            </w:pPr>
          </w:p>
        </w:tc>
        <w:tc>
          <w:tcPr>
            <w:tcW w:w="11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(8,446)</w:t>
            </w:r>
          </w:p>
        </w:tc>
      </w:tr>
      <w:tr>
        <w:trPr>
          <w:trHeight w:val="223"/>
        </w:trPr>
        <w:tc>
          <w:tcPr>
            <w:tcW w:w="36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Depreciation expense totaled $1,784,000, $1,076,000, and $992,000 for the years ended December 31, 2020, 2019 and 2018, respectively. There were $2.2 million in equipment disposals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5"/>
              </w:rPr>
              <w:t>Final</w:t>
            </w: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Receivables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Outstanding</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5"/>
              </w:rPr>
              <w:t>Scheduled</w:t>
            </w: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Pledged at</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Principal at</w:t>
            </w:r>
          </w:p>
        </w:tc>
        <w:tc>
          <w:tcPr>
            <w:tcW w:w="140" w:type="dxa"/>
            <w:vAlign w:val="bottom"/>
          </w:tcPr>
          <w:p>
            <w:pPr>
              <w:spacing w:after="0"/>
              <w:rPr>
                <w:sz w:val="18"/>
                <w:szCs w:val="18"/>
                <w:color w:val="auto"/>
              </w:rPr>
            </w:pPr>
          </w:p>
        </w:tc>
        <w:tc>
          <w:tcPr>
            <w:tcW w:w="16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Interest Rate at</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Payment</w:t>
            </w: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480" w:type="dxa"/>
            <w:vAlign w:val="bottom"/>
            <w:gridSpan w:val="2"/>
          </w:tcPr>
          <w:p>
            <w:pPr>
              <w:ind w:left="380"/>
              <w:spacing w:after="0"/>
              <w:rPr>
                <w:sz w:val="20"/>
                <w:szCs w:val="20"/>
                <w:color w:val="auto"/>
              </w:rPr>
            </w:pPr>
            <w:r>
              <w:rPr>
                <w:rFonts w:ascii="Arial" w:cs="Arial" w:eastAsia="Arial" w:hAnsi="Arial"/>
                <w:sz w:val="18"/>
                <w:szCs w:val="18"/>
                <w:b w:val="1"/>
                <w:bCs w:val="1"/>
                <w:color w:val="auto"/>
              </w:rPr>
              <w:t>Series</w:t>
            </w:r>
          </w:p>
        </w:tc>
        <w:tc>
          <w:tcPr>
            <w:tcW w:w="15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3"/>
              </w:rPr>
              <w:t>Date (1)</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 (2)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r>
      <w:tr>
        <w:trPr>
          <w:trHeight w:val="209"/>
        </w:trPr>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(Dollars in thousands)</w:t>
            </w: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w w:val="93"/>
              </w:rPr>
              <w:t>December 2021</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273,000</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19,758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2014-D</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March 2022</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267,500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23,755</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2015-A</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June 2022</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245,000</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26,713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2015-B</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September 2022</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17,737</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17,984</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36,338</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2015-C</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w w:val="93"/>
              </w:rPr>
              <w:t>December 2022</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27,788</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28,529</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53,579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6.77%</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2016-A</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March 2023</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35,042</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329,460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37,158</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71,599</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2016-B</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June 2023</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45,407</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332,690</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46,079</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82,667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7.42%</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2016-C</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September 2023</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47,358</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318,500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47,325</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83,696</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7.53%</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2016-D</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April 2024</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38,498</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206,325</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36,455</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65,021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5.81%</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2017-A</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April 2024</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42,972</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206,320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40,619</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71,450</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2017-B</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w w:val="93"/>
              </w:rPr>
              <w:t>December 2023</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53,753</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225,170</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39,016</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76,201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2017-C</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September 2024</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56,048</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224,825</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47,553</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80,315</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2017-D</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June 2024</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57,986</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196,300</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49,297</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83,801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4.32%</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2018-A</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March 2025</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62,902</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53,549</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91,258</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2018-B</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w w:val="93"/>
              </w:rPr>
              <w:t>December 2024</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75,400</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201,823</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66,955</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111,188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4.51%</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2018-C</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September 2025</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87,223</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230,275</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77,345</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130,064</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2018-D</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June 2025</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104,155</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233,730</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88,228</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149,470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4.58%</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2019-A</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March 2026</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131,575</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254,400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114,373</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186,900</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2019-B</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June 2026</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128,787</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228,275</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118,982</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184,308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2019-C</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September 2026</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150,637</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243,513</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142,080</w:t>
            </w: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216,650</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2019-D</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w w:val="93"/>
              </w:rPr>
              <w:t>December 2026</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190,916</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274,313</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181,485</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265,035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2.80%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CPS 2020-A</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March 2027</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187,537</w:t>
            </w:r>
          </w:p>
        </w:tc>
        <w:tc>
          <w:tcPr>
            <w:tcW w:w="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260,000</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184,944</w:t>
            </w:r>
          </w:p>
        </w:tc>
        <w:tc>
          <w:tcPr>
            <w:tcW w:w="140" w:type="dxa"/>
            <w:vAlign w:val="bottom"/>
          </w:tcPr>
          <w:p>
            <w:pPr>
              <w:spacing w:after="0"/>
              <w:rPr>
                <w:sz w:val="18"/>
                <w:szCs w:val="18"/>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r>
      <w:tr>
        <w:trPr>
          <w:trHeight w:val="216"/>
        </w:trPr>
        <w:tc>
          <w:tcPr>
            <w:tcW w:w="1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2020-B</w:t>
            </w:r>
          </w:p>
        </w:tc>
        <w:tc>
          <w:tcPr>
            <w:tcW w:w="152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June 2027</w:t>
            </w: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187,597</w:t>
            </w:r>
          </w:p>
        </w:tc>
        <w:tc>
          <w:tcPr>
            <w:tcW w:w="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202,343</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164,403</w:t>
            </w:r>
          </w:p>
        </w:tc>
        <w:tc>
          <w:tcPr>
            <w:tcW w:w="14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3.09%</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CPS 2020-C</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w w:val="93"/>
              </w:rPr>
              <w:t>November 2027</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243,367</w:t>
            </w:r>
          </w:p>
        </w:tc>
        <w:tc>
          <w:tcPr>
            <w:tcW w:w="8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252,200</w:t>
            </w:r>
          </w:p>
        </w:tc>
        <w:tc>
          <w:tcPr>
            <w:tcW w:w="1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231,961</w:t>
            </w:r>
          </w:p>
        </w:tc>
        <w:tc>
          <w:tcPr>
            <w:tcW w:w="140" w:type="dxa"/>
            <w:vAlign w:val="bottom"/>
          </w:tcPr>
          <w:p>
            <w:pPr>
              <w:spacing w:after="0"/>
              <w:rPr>
                <w:sz w:val="19"/>
                <w:szCs w:val="19"/>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23"/>
        </w:trPr>
        <w:tc>
          <w:tcPr>
            <w:tcW w:w="12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1,972,684</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5,945,962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1,814,320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2,109,766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jc w:val="both"/>
        <w:ind w:left="580" w:hanging="248"/>
        <w:spacing w:after="0" w:line="253" w:lineRule="auto"/>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$818.4 million in 2021, $450.9 million in 2022, $350.7 million in 2023, $81.1 million in 2024, $83.7 million in 2025, and $18.7 million in 2026.</w:t>
      </w:r>
    </w:p>
    <w:p>
      <w:pPr>
        <w:spacing w:after="0" w:line="219" w:lineRule="exact"/>
        <w:rPr>
          <w:rFonts w:ascii="Arial" w:cs="Arial" w:eastAsia="Arial" w:hAnsi="Arial"/>
          <w:sz w:val="18"/>
          <w:szCs w:val="18"/>
          <w:i w:val="1"/>
          <w:iCs w:val="1"/>
          <w:color w:val="auto"/>
        </w:rPr>
      </w:pPr>
    </w:p>
    <w:p>
      <w:pPr>
        <w:ind w:left="580" w:hanging="248"/>
        <w:spacing w:after="0"/>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of $10.6 million and $12.0 million as of December 31, 2020 and December 31, 2019, respectively, have been excluded from the table above. These debt issuance costs are presented as a direct deduction to the carrying amount of the Securitization trust debt on our Consolidated Balance Sheets.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2020.</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2020, restricted cash under the various agreements totaled approximately $130.7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our debt outstanding at December 31, 2020 and 2019 are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gridSpan w:val="5"/>
          </w:tcPr>
          <w:p>
            <w:pPr>
              <w:ind w:left="62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3"/>
              </w:rPr>
              <w:t>December 31,</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gridSpan w:val="2"/>
            <w:vMerge w:val="restart"/>
          </w:tcPr>
          <w:p>
            <w:pPr>
              <w:ind w:left="720"/>
              <w:spacing w:after="0"/>
              <w:rPr>
                <w:sz w:val="20"/>
                <w:szCs w:val="20"/>
                <w:color w:val="auto"/>
              </w:rPr>
            </w:pPr>
            <w:r>
              <w:rPr>
                <w:rFonts w:ascii="Arial" w:cs="Arial" w:eastAsia="Arial" w:hAnsi="Arial"/>
                <w:sz w:val="18"/>
                <w:szCs w:val="18"/>
                <w:color w:val="auto"/>
              </w:rPr>
              <w:t>Description</w:t>
            </w:r>
          </w:p>
        </w:tc>
        <w:tc>
          <w:tcPr>
            <w:tcW w:w="24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Interest Rate</w:t>
            </w:r>
          </w:p>
        </w:tc>
        <w:tc>
          <w:tcPr>
            <w:tcW w:w="2700" w:type="dxa"/>
            <w:vAlign w:val="bottom"/>
            <w:gridSpan w:val="2"/>
            <w:vMerge w:val="restart"/>
          </w:tcPr>
          <w:p>
            <w:pPr>
              <w:ind w:left="860"/>
              <w:spacing w:after="0"/>
              <w:rPr>
                <w:sz w:val="20"/>
                <w:szCs w:val="20"/>
                <w:color w:val="auto"/>
              </w:rPr>
            </w:pPr>
            <w:r>
              <w:rPr>
                <w:rFonts w:ascii="Arial" w:cs="Arial" w:eastAsia="Arial" w:hAnsi="Arial"/>
                <w:sz w:val="18"/>
                <w:szCs w:val="18"/>
                <w:color w:val="auto"/>
              </w:rPr>
              <w:t>Maturity</w:t>
            </w:r>
          </w:p>
        </w:tc>
        <w:tc>
          <w:tcPr>
            <w:tcW w:w="180" w:type="dxa"/>
            <w:vAlign w:val="bottom"/>
          </w:tcPr>
          <w:p>
            <w:pPr>
              <w:spacing w:after="0"/>
              <w:rPr>
                <w:sz w:val="19"/>
                <w:szCs w:val="19"/>
                <w:color w:val="auto"/>
              </w:rPr>
            </w:pPr>
          </w:p>
        </w:tc>
        <w:tc>
          <w:tcPr>
            <w:tcW w:w="328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00" w:type="dxa"/>
            <w:vAlign w:val="bottom"/>
            <w:gridSpan w:val="2"/>
            <w:vMerge w:val="continue"/>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8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700" w:type="dxa"/>
            <w:vAlign w:val="bottom"/>
            <w:gridSpan w:val="2"/>
            <w:vMerge w:val="restart"/>
            <w:shd w:val="clear" w:color="auto" w:fill="EEEEEE"/>
          </w:tcPr>
          <w:p>
            <w:pPr>
              <w:jc w:val="center"/>
              <w:ind w:right="200"/>
              <w:spacing w:after="0"/>
              <w:rPr>
                <w:sz w:val="20"/>
                <w:szCs w:val="20"/>
                <w:color w:val="auto"/>
              </w:rPr>
            </w:pPr>
            <w:r>
              <w:rPr>
                <w:rFonts w:ascii="Arial" w:cs="Arial" w:eastAsia="Arial" w:hAnsi="Arial"/>
                <w:sz w:val="18"/>
                <w:szCs w:val="18"/>
                <w:color w:val="auto"/>
                <w:w w:val="90"/>
              </w:rPr>
              <w:t>February 2021</w:t>
            </w:r>
          </w:p>
        </w:tc>
        <w:tc>
          <w:tcPr>
            <w:tcW w:w="180" w:type="dxa"/>
            <w:vAlign w:val="bottom"/>
            <w:vMerge w:val="restart"/>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42,558</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40,558</w:t>
            </w:r>
          </w:p>
        </w:tc>
        <w:tc>
          <w:tcPr>
            <w:tcW w:w="0" w:type="dxa"/>
            <w:vAlign w:val="bottom"/>
          </w:tcPr>
          <w:p>
            <w:pPr>
              <w:spacing w:after="0"/>
              <w:rPr>
                <w:sz w:val="1"/>
                <w:szCs w:val="1"/>
                <w:color w:val="auto"/>
              </w:rPr>
            </w:pPr>
          </w:p>
        </w:tc>
      </w:tr>
      <w:tr>
        <w:trPr>
          <w:trHeight w:val="122"/>
        </w:trPr>
        <w:tc>
          <w:tcPr>
            <w:tcW w:w="2500" w:type="dxa"/>
            <w:vAlign w:val="bottom"/>
            <w:gridSpan w:val="2"/>
            <w:vMerge w:val="continue"/>
            <w:shd w:val="clear" w:color="auto" w:fill="EEEEEE"/>
          </w:tcPr>
          <w:p>
            <w:pPr>
              <w:spacing w:after="0"/>
              <w:rPr>
                <w:sz w:val="10"/>
                <w:szCs w:val="10"/>
                <w:color w:val="auto"/>
              </w:rPr>
            </w:pPr>
          </w:p>
        </w:tc>
        <w:tc>
          <w:tcPr>
            <w:tcW w:w="248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6.50%)</w:t>
            </w:r>
          </w:p>
        </w:tc>
        <w:tc>
          <w:tcPr>
            <w:tcW w:w="2700" w:type="dxa"/>
            <w:vAlign w:val="bottom"/>
            <w:gridSpan w:val="2"/>
            <w:vMerge w:val="continue"/>
            <w:shd w:val="clear" w:color="auto" w:fill="EEEEEE"/>
          </w:tcPr>
          <w:p>
            <w:pPr>
              <w:spacing w:after="0"/>
              <w:rPr>
                <w:sz w:val="10"/>
                <w:szCs w:val="10"/>
                <w:color w:val="auto"/>
              </w:rPr>
            </w:pPr>
          </w:p>
        </w:tc>
        <w:tc>
          <w:tcPr>
            <w:tcW w:w="180" w:type="dxa"/>
            <w:vAlign w:val="bottom"/>
            <w:vMerge w:val="continue"/>
            <w:shd w:val="clear" w:color="auto" w:fill="EEEEEE"/>
          </w:tcPr>
          <w:p>
            <w:pPr>
              <w:spacing w:after="0"/>
              <w:rPr>
                <w:sz w:val="10"/>
                <w:szCs w:val="10"/>
                <w:color w:val="auto"/>
              </w:rPr>
            </w:pPr>
          </w:p>
        </w:tc>
        <w:tc>
          <w:tcPr>
            <w:tcW w:w="1700" w:type="dxa"/>
            <w:vAlign w:val="bottom"/>
            <w:gridSpan w:val="2"/>
            <w:vMerge w:val="continue"/>
            <w:shd w:val="clear" w:color="auto" w:fill="EEEEEE"/>
          </w:tcPr>
          <w:p>
            <w:pPr>
              <w:spacing w:after="0"/>
              <w:rPr>
                <w:sz w:val="10"/>
                <w:szCs w:val="10"/>
                <w:color w:val="auto"/>
              </w:rPr>
            </w:pPr>
          </w:p>
        </w:tc>
        <w:tc>
          <w:tcPr>
            <w:tcW w:w="180" w:type="dxa"/>
            <w:vAlign w:val="bottom"/>
            <w:vMerge w:val="continue"/>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80" w:type="dxa"/>
            <w:vAlign w:val="bottom"/>
            <w:gridSpan w:val="2"/>
            <w:vMerge w:val="continue"/>
            <w:shd w:val="clear" w:color="auto" w:fill="EEEEEE"/>
          </w:tcPr>
          <w:p>
            <w:pPr>
              <w:spacing w:after="0"/>
              <w:rPr>
                <w:sz w:val="9"/>
                <w:szCs w:val="9"/>
                <w:color w:val="auto"/>
              </w:rPr>
            </w:pPr>
          </w:p>
        </w:tc>
        <w:tc>
          <w:tcPr>
            <w:tcW w:w="2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8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3.00% over one month Libor</w:t>
            </w:r>
          </w:p>
        </w:tc>
        <w:tc>
          <w:tcPr>
            <w:tcW w:w="2700" w:type="dxa"/>
            <w:vAlign w:val="bottom"/>
            <w:gridSpan w:val="2"/>
            <w:vMerge w:val="restart"/>
            <w:shd w:val="clear" w:color="auto" w:fill="EEEEEE"/>
          </w:tcPr>
          <w:p>
            <w:pPr>
              <w:jc w:val="center"/>
              <w:ind w:right="200"/>
              <w:spacing w:after="0"/>
              <w:rPr>
                <w:sz w:val="20"/>
                <w:szCs w:val="20"/>
                <w:color w:val="auto"/>
              </w:rPr>
            </w:pPr>
            <w:r>
              <w:rPr>
                <w:rFonts w:ascii="Arial" w:cs="Arial" w:eastAsia="Arial" w:hAnsi="Arial"/>
                <w:sz w:val="18"/>
                <w:szCs w:val="18"/>
                <w:color w:val="auto"/>
                <w:w w:val="88"/>
              </w:rPr>
              <w:t>December 2022</w:t>
            </w:r>
          </w:p>
        </w:tc>
        <w:tc>
          <w:tcPr>
            <w:tcW w:w="180" w:type="dxa"/>
            <w:vAlign w:val="bottom"/>
            <w:shd w:val="clear" w:color="auto" w:fill="EEEEEE"/>
          </w:tcPr>
          <w:p>
            <w:pPr>
              <w:spacing w:after="0"/>
              <w:rPr>
                <w:sz w:val="17"/>
                <w:szCs w:val="17"/>
                <w:color w:val="auto"/>
              </w:rPr>
            </w:pPr>
          </w:p>
        </w:tc>
        <w:tc>
          <w:tcPr>
            <w:tcW w:w="17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45,689</w:t>
            </w:r>
          </w:p>
        </w:tc>
        <w:tc>
          <w:tcPr>
            <w:tcW w:w="180" w:type="dxa"/>
            <w:vAlign w:val="bottom"/>
            <w:shd w:val="clear" w:color="auto" w:fill="EEEEEE"/>
          </w:tcPr>
          <w:p>
            <w:pPr>
              <w:spacing w:after="0"/>
              <w:rPr>
                <w:sz w:val="17"/>
                <w:szCs w:val="17"/>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96,225</w:t>
            </w:r>
          </w:p>
        </w:tc>
        <w:tc>
          <w:tcPr>
            <w:tcW w:w="0" w:type="dxa"/>
            <w:vAlign w:val="bottom"/>
          </w:tcPr>
          <w:p>
            <w:pPr>
              <w:spacing w:after="0"/>
              <w:rPr>
                <w:sz w:val="1"/>
                <w:szCs w:val="1"/>
                <w:color w:val="auto"/>
              </w:rPr>
            </w:pPr>
          </w:p>
        </w:tc>
      </w:tr>
      <w:tr>
        <w:trPr>
          <w:trHeight w:val="122"/>
        </w:trPr>
        <w:tc>
          <w:tcPr>
            <w:tcW w:w="22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48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3.75%)</w:t>
            </w:r>
          </w:p>
        </w:tc>
        <w:tc>
          <w:tcPr>
            <w:tcW w:w="270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70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80" w:type="dxa"/>
            <w:vAlign w:val="bottom"/>
            <w:gridSpan w:val="2"/>
            <w:vMerge w:val="continue"/>
            <w:shd w:val="clear" w:color="auto" w:fill="EEEEEE"/>
          </w:tcPr>
          <w:p>
            <w:pPr>
              <w:spacing w:after="0"/>
              <w:rPr>
                <w:sz w:val="9"/>
                <w:szCs w:val="9"/>
                <w:color w:val="auto"/>
              </w:rPr>
            </w:pPr>
          </w:p>
        </w:tc>
        <w:tc>
          <w:tcPr>
            <w:tcW w:w="2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8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4.00% over a commercial</w:t>
            </w:r>
          </w:p>
        </w:tc>
        <w:tc>
          <w:tcPr>
            <w:tcW w:w="2700" w:type="dxa"/>
            <w:vAlign w:val="bottom"/>
            <w:gridSpan w:val="2"/>
            <w:vMerge w:val="restart"/>
            <w:shd w:val="clear" w:color="auto" w:fill="EEEEEE"/>
          </w:tcPr>
          <w:p>
            <w:pPr>
              <w:jc w:val="center"/>
              <w:ind w:right="200"/>
              <w:spacing w:after="0"/>
              <w:rPr>
                <w:sz w:val="20"/>
                <w:szCs w:val="20"/>
                <w:color w:val="auto"/>
              </w:rPr>
            </w:pPr>
            <w:r>
              <w:rPr>
                <w:rFonts w:ascii="Arial" w:cs="Arial" w:eastAsia="Arial" w:hAnsi="Arial"/>
                <w:sz w:val="18"/>
                <w:szCs w:val="18"/>
                <w:color w:val="auto"/>
                <w:w w:val="88"/>
              </w:rPr>
              <w:t>December 2021</w:t>
            </w:r>
          </w:p>
        </w:tc>
        <w:tc>
          <w:tcPr>
            <w:tcW w:w="180" w:type="dxa"/>
            <w:vAlign w:val="bottom"/>
            <w:shd w:val="clear" w:color="auto" w:fill="EEEEEE"/>
          </w:tcPr>
          <w:p>
            <w:pPr>
              <w:spacing w:after="0"/>
              <w:rPr>
                <w:sz w:val="17"/>
                <w:szCs w:val="17"/>
                <w:color w:val="auto"/>
              </w:rPr>
            </w:pPr>
          </w:p>
        </w:tc>
        <w:tc>
          <w:tcPr>
            <w:tcW w:w="17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32,265</w:t>
            </w:r>
          </w:p>
        </w:tc>
        <w:tc>
          <w:tcPr>
            <w:tcW w:w="180" w:type="dxa"/>
            <w:vAlign w:val="bottom"/>
            <w:shd w:val="clear" w:color="auto" w:fill="EEEEEE"/>
          </w:tcPr>
          <w:p>
            <w:pPr>
              <w:spacing w:after="0"/>
              <w:rPr>
                <w:sz w:val="17"/>
                <w:szCs w:val="17"/>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2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48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2"/>
              </w:rPr>
              <w:t>paper rate (Minimum 5.00%)</w:t>
            </w:r>
          </w:p>
        </w:tc>
        <w:tc>
          <w:tcPr>
            <w:tcW w:w="270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70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80" w:type="dxa"/>
            <w:vAlign w:val="bottom"/>
            <w:gridSpan w:val="2"/>
            <w:vMerge w:val="continue"/>
            <w:shd w:val="clear" w:color="auto" w:fill="EEEEEE"/>
          </w:tcPr>
          <w:p>
            <w:pPr>
              <w:spacing w:after="0"/>
              <w:rPr>
                <w:sz w:val="9"/>
                <w:szCs w:val="9"/>
                <w:color w:val="auto"/>
              </w:rPr>
            </w:pPr>
          </w:p>
        </w:tc>
        <w:tc>
          <w:tcPr>
            <w:tcW w:w="2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8.60%</w:t>
            </w:r>
          </w:p>
        </w:tc>
        <w:tc>
          <w:tcPr>
            <w:tcW w:w="240" w:type="dxa"/>
            <w:vAlign w:val="bottom"/>
            <w:shd w:val="clear" w:color="auto" w:fill="EEEEEE"/>
          </w:tcPr>
          <w:p>
            <w:pPr>
              <w:spacing w:after="0"/>
              <w:rPr>
                <w:sz w:val="18"/>
                <w:szCs w:val="18"/>
                <w:color w:val="auto"/>
              </w:rPr>
            </w:pPr>
          </w:p>
        </w:tc>
        <w:tc>
          <w:tcPr>
            <w:tcW w:w="27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2026</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25,576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8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9"/>
              </w:rPr>
              <w:t>Weighted average rate of</w:t>
            </w:r>
          </w:p>
        </w:tc>
        <w:tc>
          <w:tcPr>
            <w:tcW w:w="270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91"/>
              </w:rPr>
              <w:t>Weighted average maturity of</w:t>
            </w:r>
          </w:p>
        </w:tc>
        <w:tc>
          <w:tcPr>
            <w:tcW w:w="18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10.09% and 9.75% at</w:t>
            </w:r>
          </w:p>
        </w:tc>
        <w:tc>
          <w:tcPr>
            <w:tcW w:w="270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1"/>
              </w:rPr>
              <w:t>January 2023 and April 2022</w:t>
            </w: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December 31, 2020 and</w:t>
            </w:r>
          </w:p>
        </w:tc>
        <w:tc>
          <w:tcPr>
            <w:tcW w:w="270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9"/>
              </w:rPr>
              <w:t>at December 31, 2020 and</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21,323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89"/>
              </w:rPr>
              <w:t>December 31, 2019,</w:t>
            </w:r>
          </w:p>
        </w:tc>
        <w:tc>
          <w:tcPr>
            <w:tcW w:w="270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9"/>
              </w:rPr>
              <w:t>December 31, 2019,</w:t>
            </w: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respectively</w:t>
            </w:r>
          </w:p>
        </w:tc>
        <w:tc>
          <w:tcPr>
            <w:tcW w:w="270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respectively</w:t>
            </w:r>
          </w:p>
        </w:tc>
        <w:tc>
          <w:tcPr>
            <w:tcW w:w="18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24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380" w:type="dxa"/>
            <w:vAlign w:val="bottom"/>
            <w:tcBorders>
              <w:bottom w:val="single" w:sz="8" w:color="EEEEEE"/>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24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38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167,411</w:t>
            </w: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194,317</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of $1.5 million and $2.0 million as of December 31, 2020 and December 31, 2019, respectively, have been excluded from the table above. These debt issuance costs are presented as a direct deduction to the carrying amount of the Warehouse lines of credit and residual interest financing on our Consolidated Balance Sheets.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83.0% of eligible finance receivables. The loans under the facility accrue interest at one-month LIBOR plus 3.00% per annum, with a minimum rate of 3.75% per annum. In December 2020, this facility was amended to extend the revolving period to December 2022 and to include an amortization period through December 2023 for any receivables pledged to the facility at the end of the revolving period. At December 31, 2020 there was $45.7 million outstanding under this facility.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17, 2015, we entered into an additional $100 million one-year warehouse credit line with Fortress 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February 2019, this facility was amended to extend the revolving period to February 2021 followed by an amortization period through February 2023 for any receivables pledged to the facility at the end of the revolving period. At December 31, 2020 there was $42.6 million outstanding under this facility. In February 2021, we repaid this facility in full at its maturity date.</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24, 2015, we entered into an additional $100 million one-year warehouse credit line with 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The loans under the facility accrue interest at a commercial paper rate plus 4.00% per annum, with a minimum rate of 5.00% per annum. In December 2019, this facility was amended to extend the revolving period to December 2021 followed by an amortization period through December 2023 for any receivables pledged to the facility at the end of the revolving period. At December 31, 2020 there was $32.3 million outstanding under this facility.</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outstanding debt on our three warehouse lines of credit was $120.6 million as of December 31, 2020, compared to $136.8 million outstanding as of December 31, 2019.</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agreed valuation of the collateral for the 2018-1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With respect to the securitizations conducted by CPS in 2017, only 80% of such amounts are included in the collateral. On each monthly payment date, the 2018-1 Notes are entitled to interest at the coupon rate and, if necessary, a principal payment necessary to maintain a specified minimum collateral ratio. At December 31, 2020 there was $25.6 million outstanding under this facility.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Unamortized debt issuance costs of $150,000 have been excluded from the amount reported above for residual interest financing. These debt issuance costs are presented as a direct deduction to the carrying amount of the debt on our Consolidated Balance Sheets.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2020:</w:t>
      </w:r>
    </w:p>
    <w:p>
      <w:pPr>
        <w:spacing w:after="0" w:line="200" w:lineRule="exact"/>
        <w:rPr>
          <w:sz w:val="20"/>
          <w:szCs w:val="20"/>
          <w:color w:val="auto"/>
        </w:rPr>
      </w:pPr>
    </w:p>
    <w:p>
      <w:pPr>
        <w:spacing w:after="0" w:line="237"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Subordinated</w:t>
            </w:r>
          </w:p>
        </w:tc>
      </w:tr>
      <w:tr>
        <w:trPr>
          <w:trHeight w:val="229"/>
        </w:trPr>
        <w:tc>
          <w:tcPr>
            <w:tcW w:w="25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Contractual maturity</w:t>
            </w:r>
          </w:p>
        </w:tc>
        <w:tc>
          <w:tcPr>
            <w:tcW w:w="240" w:type="dxa"/>
            <w:vAlign w:val="bottom"/>
          </w:tcPr>
          <w:p>
            <w:pPr>
              <w:spacing w:after="0"/>
              <w:rPr>
                <w:sz w:val="19"/>
                <w:szCs w:val="19"/>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renewable</w:t>
            </w:r>
          </w:p>
        </w:tc>
      </w:tr>
      <w:tr>
        <w:trPr>
          <w:trHeight w:val="234"/>
        </w:trPr>
        <w:tc>
          <w:tcPr>
            <w:tcW w:w="2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date</w:t>
            </w:r>
          </w:p>
        </w:tc>
        <w:tc>
          <w:tcPr>
            <w:tcW w:w="2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notes</w:t>
            </w:r>
          </w:p>
        </w:tc>
      </w:tr>
      <w:tr>
        <w:trPr>
          <w:trHeight w:val="209"/>
        </w:trPr>
        <w:tc>
          <w:tcPr>
            <w:tcW w:w="2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9,506</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3,350</w:t>
            </w:r>
          </w:p>
        </w:tc>
      </w:tr>
      <w:tr>
        <w:trPr>
          <w:trHeight w:val="216"/>
        </w:trPr>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3,331</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1,162</w:t>
            </w:r>
          </w:p>
        </w:tc>
      </w:tr>
      <w:tr>
        <w:trPr>
          <w:trHeight w:val="216"/>
        </w:trPr>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2,322</w:t>
            </w: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r>
      <w:tr>
        <w:trPr>
          <w:trHeight w:val="223"/>
        </w:trPr>
        <w:tc>
          <w:tcPr>
            <w:tcW w:w="252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21,323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ending December 31, 2020, we purchased 351,926 shares of our common stock at an average price of $3.45. In October 2017 our board of directors authorized the repurchase of up to $10 million of our common stock. There is approximately $5.1 million of board authorization remaining under such plans, which have no expiration date. The table below describes the purchase of our common stock for the twelve-month periods ended December 31, 2020 and 2019:</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4"/>
          </w:tcPr>
          <w:p>
            <w:pPr>
              <w:ind w:left="420"/>
              <w:spacing w:after="0"/>
              <w:rPr>
                <w:sz w:val="20"/>
                <w:szCs w:val="20"/>
                <w:color w:val="auto"/>
              </w:rPr>
            </w:pPr>
            <w:r>
              <w:rPr>
                <w:rFonts w:ascii="Arial" w:cs="Arial" w:eastAsia="Arial" w:hAnsi="Arial"/>
                <w:sz w:val="18"/>
                <w:szCs w:val="18"/>
                <w:b w:val="1"/>
                <w:bCs w:val="1"/>
                <w:color w:val="auto"/>
              </w:rPr>
              <w:t>Twelve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400" w:type="dxa"/>
            <w:vAlign w:val="bottom"/>
            <w:gridSpan w:val="5"/>
          </w:tcPr>
          <w:p>
            <w:pPr>
              <w:ind w:left="800"/>
              <w:spacing w:after="0"/>
              <w:rPr>
                <w:sz w:val="20"/>
                <w:szCs w:val="20"/>
                <w:color w:val="auto"/>
              </w:rPr>
            </w:pPr>
            <w:r>
              <w:rPr>
                <w:rFonts w:ascii="Arial" w:cs="Arial" w:eastAsia="Arial" w:hAnsi="Arial"/>
                <w:sz w:val="18"/>
                <w:szCs w:val="18"/>
                <w:b w:val="1"/>
                <w:bCs w:val="1"/>
                <w:color w:val="auto"/>
              </w:rPr>
              <w:t>December 31, 2020</w:t>
            </w:r>
          </w:p>
        </w:tc>
        <w:tc>
          <w:tcPr>
            <w:tcW w:w="3020" w:type="dxa"/>
            <w:vAlign w:val="bottom"/>
            <w:gridSpan w:val="6"/>
          </w:tcPr>
          <w:p>
            <w:pPr>
              <w:ind w:left="7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170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Avg. Price</w:t>
            </w:r>
          </w:p>
        </w:tc>
        <w:tc>
          <w:tcPr>
            <w:tcW w:w="20" w:type="dxa"/>
            <w:vAlign w:val="bottom"/>
          </w:tcPr>
          <w:p>
            <w:pPr>
              <w:spacing w:after="0"/>
              <w:rPr>
                <w:sz w:val="19"/>
                <w:szCs w:val="19"/>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105,017</w:t>
            </w:r>
          </w:p>
        </w:tc>
        <w:tc>
          <w:tcPr>
            <w:tcW w:w="34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3.60</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335,546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3.95</w:t>
            </w:r>
          </w:p>
        </w:tc>
        <w:tc>
          <w:tcPr>
            <w:tcW w:w="20" w:type="dxa"/>
            <w:vAlign w:val="bottom"/>
          </w:tcPr>
          <w:p>
            <w:pPr>
              <w:spacing w:after="0"/>
              <w:rPr>
                <w:sz w:val="16"/>
                <w:szCs w:val="16"/>
                <w:color w:val="auto"/>
              </w:rPr>
            </w:pPr>
          </w:p>
        </w:tc>
      </w:tr>
      <w:tr>
        <w:trPr>
          <w:trHeight w:val="230"/>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46,909</w:t>
            </w: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18,424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r>
      <w:tr>
        <w:trPr>
          <w:trHeight w:val="230"/>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24,500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351,926</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378,470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May 2015 and again in July 2018, the shareholders of the Company approved an amendment to the 2006 Plan to increase the maximum number of shares that may be subject to awards under the 2006 Plan to 5,000,000, 7,200,000, 12,200,000, 17,200,000 and 19,200,000,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2020, 2019 and 2018 was $1.33, $1.11 and $1.06,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72% to 80% for 2020, 37% to 39% for 2019, and 31% to 34% for 2018.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200" w:lineRule="exact"/>
        <w:rPr>
          <w:sz w:val="20"/>
          <w:szCs w:val="20"/>
          <w:color w:val="auto"/>
        </w:rPr>
      </w:pPr>
    </w:p>
    <w:p>
      <w:pPr>
        <w:spacing w:after="0" w:line="20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160" w:type="dxa"/>
            <w:vAlign w:val="bottom"/>
            <w:tcBorders>
              <w:bottom w:val="single" w:sz="8" w:color="EEEEEE"/>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EEEEEE"/>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EEEEEE"/>
            </w:tcBorders>
          </w:tcPr>
          <w:p>
            <w:pPr>
              <w:spacing w:after="0"/>
              <w:rPr>
                <w:sz w:val="19"/>
                <w:szCs w:val="19"/>
                <w:color w:val="auto"/>
              </w:rPr>
            </w:pPr>
          </w:p>
        </w:tc>
      </w:tr>
      <w:tr>
        <w:trPr>
          <w:trHeight w:val="209"/>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91"/>
              </w:rPr>
              <w:t>4.01</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4.02</w:t>
            </w:r>
          </w:p>
        </w:tc>
        <w:tc>
          <w:tcPr>
            <w:tcW w:w="3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EEEEEE"/>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8"/>
                <w:szCs w:val="18"/>
                <w:color w:val="auto"/>
                <w:w w:val="86"/>
              </w:rPr>
              <w:t>0.25%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EEEEEE"/>
          </w:tcPr>
          <w:p>
            <w:pPr>
              <w:spacing w:after="0"/>
              <w:rPr>
                <w:sz w:val="18"/>
                <w:szCs w:val="18"/>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jc w:val="center"/>
              <w:ind w:right="38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center"/>
              <w:ind w:left="3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center"/>
              <w:ind w:left="650"/>
              <w:spacing w:after="0"/>
              <w:rPr>
                <w:sz w:val="20"/>
                <w:szCs w:val="20"/>
                <w:color w:val="auto"/>
              </w:rPr>
            </w:pPr>
            <w:r>
              <w:rPr>
                <w:rFonts w:ascii="Arial" w:cs="Arial" w:eastAsia="Arial" w:hAnsi="Arial"/>
                <w:sz w:val="18"/>
                <w:szCs w:val="18"/>
                <w:color w:val="auto"/>
                <w:w w:val="79"/>
              </w:rPr>
              <w:t>–</w:t>
            </w: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years ended December 31, 2020, 2019 and 2018, we recorded stock-based compensation costs in the amount of $1.9 million, $2.1 million and $3.5 million, respectively. As of December 31, 2020, the unrecognized stock-based compensation costs to be recognized over future periods was equal to $3.2 million. This amount will be recognized as expense over a weighted-average period of 2.2 years.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2020 and 2019, options outstanding had intrinsic values of $11.9 million and $4.8 million, respectively. At December 31, 2020 and 2019, options exercisable had intrinsic values of $8.2 million and $4.8 million, respectively. The total intrinsic value of options exercised was $1.0 million and $1.4 million for the years ended December 31, 2020 and 2019, respectively. New shares were issued for all options exercised during the year ended December 2020 and cash of $949,000 was received. At December 31, 2020, there were a total of 270,000 additional shares available for grant under the 2006 Plan.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year ended December 31, 2020 for stock options under the 2006 and 1997 plans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5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5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55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 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r>
      <w:tr>
        <w:trPr>
          <w:trHeight w:val="209"/>
        </w:trPr>
        <w:tc>
          <w:tcPr>
            <w:tcW w:w="5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15,348</w:t>
            </w:r>
          </w:p>
        </w:tc>
        <w:tc>
          <w:tcPr>
            <w:tcW w:w="3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5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w:t>
            </w:r>
          </w:p>
        </w:tc>
        <w:tc>
          <w:tcPr>
            <w:tcW w:w="1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7"/>
        </w:trPr>
        <w:tc>
          <w:tcPr>
            <w:tcW w:w="5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15,977</w:t>
            </w:r>
          </w:p>
        </w:tc>
        <w:tc>
          <w:tcPr>
            <w:tcW w:w="30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4.46</w:t>
            </w:r>
          </w:p>
        </w:tc>
        <w:tc>
          <w:tcPr>
            <w:tcW w:w="126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2.85 years</w:t>
            </w:r>
          </w:p>
        </w:tc>
      </w:tr>
      <w:tr>
        <w:trPr>
          <w:trHeight w:val="20"/>
        </w:trPr>
        <w:tc>
          <w:tcPr>
            <w:tcW w:w="5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12,597</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4.81</w:t>
            </w:r>
          </w:p>
        </w:tc>
        <w:tc>
          <w:tcPr>
            <w:tcW w:w="1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2.15 years</w:t>
            </w:r>
          </w:p>
        </w:tc>
      </w:tr>
      <w:tr>
        <w:trPr>
          <w:trHeight w:val="20"/>
        </w:trPr>
        <w:tc>
          <w:tcPr>
            <w:tcW w:w="5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price distribution of stock options outstanding and exercisable for the years ended December 31, 2020 and 2019:</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Number of shares as of</w:t>
            </w:r>
          </w:p>
        </w:tc>
        <w:tc>
          <w:tcPr>
            <w:tcW w:w="100" w:type="dxa"/>
            <w:vAlign w:val="bottom"/>
          </w:tcPr>
          <w:p>
            <w:pPr>
              <w:spacing w:after="0"/>
              <w:rPr>
                <w:sz w:val="18"/>
                <w:szCs w:val="18"/>
                <w:color w:val="auto"/>
              </w:rPr>
            </w:pPr>
          </w:p>
        </w:tc>
        <w:tc>
          <w:tcPr>
            <w:tcW w:w="30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Number of shares as of</w:t>
            </w: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20" w:type="dxa"/>
            <w:vAlign w:val="bottom"/>
          </w:tcPr>
          <w:p>
            <w:pPr>
              <w:spacing w:after="0"/>
              <w:rPr>
                <w:sz w:val="20"/>
                <w:szCs w:val="20"/>
                <w:color w:val="auto"/>
              </w:rPr>
            </w:pPr>
          </w:p>
        </w:tc>
        <w:tc>
          <w:tcPr>
            <w:tcW w:w="32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c>
          <w:tcPr>
            <w:tcW w:w="30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Outstanding</w:t>
            </w: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$0.95 - $1.99</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1,904</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1,904</w:t>
            </w:r>
          </w:p>
        </w:tc>
        <w:tc>
          <w:tcPr>
            <w:tcW w:w="17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2,436</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2,436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$2.00 - $2.99</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1,570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$3.00 - $3.99</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4,973</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3,306</w:t>
            </w:r>
          </w:p>
        </w:tc>
        <w:tc>
          <w:tcPr>
            <w:tcW w:w="17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5,145</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2,158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$4.00 - $4.99</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1,540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1,217</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1,547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$5.00 - $5.99</w:t>
            </w: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$6.00 - $6.99</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4,770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4,770</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4,955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$7.00 - $7.99</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1,220</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1,220</w:t>
            </w:r>
          </w:p>
        </w:tc>
        <w:tc>
          <w:tcPr>
            <w:tcW w:w="17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1,265</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shares</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15,977</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12,597</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15,348</w:t>
            </w:r>
          </w:p>
        </w:tc>
        <w:tc>
          <w:tcPr>
            <w:tcW w:w="4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7"/>
          <w:szCs w:val="17"/>
          <w:b w:val="1"/>
          <w:bCs w:val="1"/>
          <w:color w:val="auto"/>
        </w:rPr>
        <w:t>CONSUMER PORTFOLIO SERVICES, INC. AND SUBSIDIARIES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p>
      <w:pPr>
        <w:sectPr>
          <w:pgSz w:w="11900" w:h="16838" w:orient="portrait"/>
          <w:cols w:equalWidth="0" w:num="1">
            <w:col w:w="11200"/>
          </w:cols>
          <w:pgMar w:left="320" w:top="796" w:right="37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to finance receivables measured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2"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federal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Current state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Deferred federal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state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ind w:left="8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126,043</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211,138</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334,634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168,266</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123,059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43,863</w:t>
            </w: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(29,528)</w:t>
            </w: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673</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2,899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265,454</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337,096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380,297</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ind w:left="8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88,031</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96,870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89,926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7,678</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8,402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7,752</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3,454</w:t>
            </w: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3,822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2,343</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2,175</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1,434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101,338</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110,528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101,466</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9914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2180" w:val="left"/>
          <w:tab w:leader="none" w:pos="38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9914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1"/>
              <w:spacing w:after="0"/>
              <w:rPr>
                <w:sz w:val="20"/>
                <w:szCs w:val="20"/>
                <w:color w:val="auto"/>
              </w:rPr>
            </w:pPr>
            <w:r>
              <w:rPr>
                <w:rFonts w:ascii="Arial" w:cs="Arial" w:eastAsia="Arial" w:hAnsi="Arial"/>
                <w:sz w:val="18"/>
                <w:szCs w:val="18"/>
                <w:color w:val="auto"/>
              </w:rPr>
              <w:t>(23,576)</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(7,526)</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81"/>
              <w:spacing w:after="0"/>
              <w:rPr>
                <w:sz w:val="20"/>
                <w:szCs w:val="20"/>
                <w:color w:val="auto"/>
              </w:rPr>
            </w:pPr>
            <w:r>
              <w:rPr>
                <w:rFonts w:ascii="Arial" w:cs="Arial" w:eastAsia="Arial" w:hAnsi="Arial"/>
                <w:sz w:val="18"/>
                <w:szCs w:val="18"/>
                <w:color w:val="auto"/>
              </w:rPr>
              <w:t>472</w:t>
            </w:r>
          </w:p>
        </w:tc>
        <w:tc>
          <w:tcPr>
            <w:tcW w:w="5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(2,064)</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281"/>
              <w:spacing w:after="0"/>
              <w:rPr>
                <w:sz w:val="20"/>
                <w:szCs w:val="20"/>
                <w:color w:val="auto"/>
              </w:rPr>
            </w:pPr>
            <w:r>
              <w:rPr>
                <w:rFonts w:ascii="Arial" w:cs="Arial" w:eastAsia="Arial" w:hAnsi="Arial"/>
                <w:sz w:val="18"/>
                <w:szCs w:val="18"/>
                <w:color w:val="auto"/>
              </w:rPr>
              <w:t>18,937</w:t>
            </w:r>
          </w:p>
        </w:tc>
        <w:tc>
          <w:tcPr>
            <w:tcW w:w="5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81"/>
              <w:spacing w:after="0"/>
              <w:rPr>
                <w:sz w:val="20"/>
                <w:szCs w:val="20"/>
                <w:color w:val="auto"/>
              </w:rPr>
            </w:pPr>
            <w:r>
              <w:rPr>
                <w:rFonts w:ascii="Arial" w:cs="Arial" w:eastAsia="Arial" w:hAnsi="Arial"/>
                <w:sz w:val="18"/>
                <w:szCs w:val="18"/>
                <w:color w:val="auto"/>
              </w:rPr>
              <w:t>2,610</w:t>
            </w:r>
          </w:p>
        </w:tc>
        <w:tc>
          <w:tcPr>
            <w:tcW w:w="5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1,466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4,357</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00" w:space="720"/>
            <w:col w:w="4780"/>
          </w:cols>
          <w:pgMar w:left="320" w:top="796" w:right="37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for the years ended December 31, 2020, 2019 and 2018 differs from the amount determined by applying the statutory federal rate to income before income taxes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4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5"/>
              </w:rPr>
              <w:t>(In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252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4,225</w:t>
            </w:r>
          </w:p>
        </w:tc>
        <w:tc>
          <w:tcPr>
            <w:tcW w:w="280" w:type="dxa"/>
            <w:vAlign w:val="bottom"/>
            <w:shd w:val="clear" w:color="auto" w:fill="EEEEEE"/>
          </w:tcPr>
          <w:p>
            <w:pPr>
              <w:jc w:val="right"/>
              <w:ind w:right="121"/>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1,924</w:t>
            </w: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3,928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1,505</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35</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169</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Net operating loss carryback</w:t>
            </w:r>
          </w:p>
        </w:tc>
        <w:tc>
          <w:tcPr>
            <w:tcW w:w="1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w w:val="91"/>
              </w:rPr>
              <w:t>(9,435)</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Effect of change in tax rate</w:t>
            </w:r>
          </w:p>
        </w:tc>
        <w:tc>
          <w:tcPr>
            <w:tcW w:w="1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Accounting method change</w:t>
            </w:r>
          </w:p>
        </w:tc>
        <w:tc>
          <w:tcPr>
            <w:tcW w:w="1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(2,100)</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1,139</w:t>
            </w:r>
          </w:p>
        </w:tc>
        <w:tc>
          <w:tcPr>
            <w:tcW w:w="2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r>
      <w:tr>
        <w:trPr>
          <w:trHeight w:val="223"/>
        </w:trPr>
        <w:tc>
          <w:tcPr>
            <w:tcW w:w="4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EEEEEE"/>
              </w:rPr>
              <w:t>income tax expense</w:t>
            </w:r>
          </w:p>
        </w:tc>
        <w:tc>
          <w:tcPr>
            <w:tcW w:w="16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0"/>
              </w:rPr>
              <w:t>(1,557</w:t>
            </w:r>
          </w:p>
        </w:tc>
        <w:tc>
          <w:tcPr>
            <w:tcW w:w="360" w:type="dxa"/>
            <w:vAlign w:val="bottom"/>
            <w:tcBorders>
              <w:top w:val="single" w:sz="8" w:color="EEEEEE"/>
              <w:bottom w:val="single" w:sz="8" w:color="EEEEEE"/>
            </w:tcBorders>
            <w:shd w:val="clear" w:color="auto" w:fill="EEEEEE"/>
          </w:tcPr>
          <w:p>
            <w:pPr>
              <w:jc w:val="right"/>
              <w:ind w:right="2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EEEEEE"/>
          </w:tcPr>
          <w:p>
            <w:pPr>
              <w:jc w:val="right"/>
              <w:ind w:right="12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3,756</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the Company has revalued the benefit from its NOLs to reflect a 35% tax rate. The result of the revaluation of NOLs and other tax adjustments is a net tax benefit of $8.8 million, which is reflected in income taxes for the year ended December 31, 2020.</w:t>
      </w:r>
    </w:p>
    <w:p>
      <w:pPr>
        <w:spacing w:after="0" w:line="17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For the year ended December 31, 2018, we recorded income tax expense of $3.8 million which include a $2.1 million net tax benefit related to certain tax planning strategies and other adjustments. Without the benefit, income tax expense for 2018 would have been $5.9 million.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 effected cumulative temporary differences that give rise to deferred tax assets and liabilities as of December 31, 2020 and 2019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0" w:lineRule="exact"/>
        <w:rPr>
          <w:sz w:val="20"/>
          <w:szCs w:val="20"/>
          <w:color w:val="auto"/>
        </w:rPr>
      </w:pPr>
    </w:p>
    <w:p>
      <w:pPr>
        <w:spacing w:after="0" w:line="236"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1020" w:type="dxa"/>
            <w:vAlign w:val="bottom"/>
          </w:tcPr>
          <w:p>
            <w:pPr>
              <w:spacing w:after="0"/>
              <w:rPr>
                <w:sz w:val="19"/>
                <w:szCs w:val="19"/>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020" w:type="dxa"/>
            <w:vAlign w:val="bottom"/>
            <w:shd w:val="clear" w:color="auto" w:fill="EEEEEE"/>
          </w:tcPr>
          <w:p>
            <w:pPr>
              <w:jc w:val="right"/>
              <w:ind w:right="8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w w:val="98"/>
              </w:rPr>
              <w:t>10,930</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541</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carryforwards</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7,470</w:t>
            </w: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Built in losses</w:t>
            </w:r>
          </w:p>
        </w:tc>
        <w:tc>
          <w:tcPr>
            <w:tcW w:w="10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3,312</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Pension accrual</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1,745</w:t>
            </w: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 compensation</w:t>
            </w:r>
          </w:p>
        </w:tc>
        <w:tc>
          <w:tcPr>
            <w:tcW w:w="10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4,463</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3,843</w:t>
            </w: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32,350</w:t>
            </w:r>
          </w:p>
        </w:tc>
        <w:tc>
          <w:tcPr>
            <w:tcW w:w="3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33,263</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Liabilities:</w:t>
            </w: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Finance receivables</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(12,180)</w:t>
            </w:r>
          </w:p>
        </w:tc>
        <w:tc>
          <w:tcPr>
            <w:tcW w:w="0" w:type="dxa"/>
            <w:vAlign w:val="bottom"/>
          </w:tcPr>
          <w:p>
            <w:pPr>
              <w:spacing w:after="0"/>
              <w:rPr>
                <w:sz w:val="1"/>
                <w:szCs w:val="1"/>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Deferred loan costs</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(205)</w:t>
            </w:r>
          </w:p>
        </w:tc>
        <w:tc>
          <w:tcPr>
            <w:tcW w:w="5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Lease right-of-use assets</w:t>
            </w:r>
          </w:p>
        </w:tc>
        <w:tc>
          <w:tcPr>
            <w:tcW w:w="102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(3,517)</w:t>
            </w:r>
          </w:p>
        </w:tc>
        <w:tc>
          <w:tcPr>
            <w:tcW w:w="52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30"/>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w:t>
            </w: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10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(17,783</w:t>
            </w:r>
          </w:p>
        </w:tc>
        <w:tc>
          <w:tcPr>
            <w:tcW w:w="120" w:type="dxa"/>
            <w:vAlign w:val="bottom"/>
            <w:tcBorders>
              <w:bottom w:val="single" w:sz="8" w:color="EEEEEE"/>
            </w:tcBorders>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8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1020" w:type="dxa"/>
            <w:vAlign w:val="bottom"/>
          </w:tcPr>
          <w:p>
            <w:pPr>
              <w:jc w:val="right"/>
              <w:ind w:right="8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28,512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$28.5 million as of December 31, 2020 is more likely than not based on forecasted future net earnings. Our net deferred tax asset of $28.5 million consists of approximately $17.0 million of net U.S. federal deferred tax assets and $11.5 million of net state deferred tax assets.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we had net operating loss carryforwards for state income tax purposes of $86.8 million. These state net operating losses begin to expire in 2024.</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2020, we had no unrecognized tax benefits for uncertain tax positions.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Condensed Consolidated Balance Sheet at December 31, 2020.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December 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gridSpan w:val="5"/>
          </w:tcPr>
          <w:p>
            <w:pPr>
              <w:jc w:val="right"/>
              <w:ind w:right="12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23,735</w:t>
            </w:r>
          </w:p>
        </w:tc>
        <w:tc>
          <w:tcPr>
            <w:tcW w:w="180" w:type="dxa"/>
            <w:vAlign w:val="bottom"/>
          </w:tcPr>
          <w:p>
            <w:pPr>
              <w:spacing w:after="0"/>
              <w:rPr>
                <w:sz w:val="18"/>
                <w:szCs w:val="18"/>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23,735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w w:val="97"/>
              </w:rPr>
              <w:t>Less: Accumulated amortization right-of-use assets</w:t>
            </w:r>
          </w:p>
        </w:tc>
        <w:tc>
          <w:tcPr>
            <w:tcW w:w="1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(12,792)</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(6,600)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40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116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10,943</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00" w:type="dxa"/>
            <w:vAlign w:val="bottom"/>
            <w:tcBorders>
              <w:bottom w:val="single" w:sz="8" w:color="EEEEEE"/>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17"/>
                <w:szCs w:val="17"/>
                <w:color w:val="auto"/>
              </w:rPr>
            </w:pPr>
          </w:p>
        </w:tc>
        <w:tc>
          <w:tcPr>
            <w:tcW w:w="40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(12,096)</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(18,527)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0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1360" w:type="dxa"/>
            <w:vAlign w:val="bottom"/>
            <w:gridSpan w:val="2"/>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3,407</w:t>
            </w: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EEEEE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(1,226)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1360" w:type="dxa"/>
            <w:vAlign w:val="bottom"/>
            <w:gridSpan w:val="2"/>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(2,243)</w:t>
            </w:r>
          </w:p>
        </w:tc>
        <w:tc>
          <w:tcPr>
            <w:tcW w:w="340" w:type="dxa"/>
            <w:vAlign w:val="bottom"/>
            <w:gridSpan w:val="2"/>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(718)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Operating lease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EEEEE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5140" w:type="dxa"/>
            <w:vAlign w:val="bottom"/>
            <w:gridSpan w:val="2"/>
          </w:tcPr>
          <w:p>
            <w:pPr>
              <w:ind w:left="1140"/>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Operating</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Finance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1140"/>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40" w:type="dxa"/>
            <w:vAlign w:val="bottom"/>
            <w:gridSpan w:val="2"/>
          </w:tcPr>
          <w:p>
            <w:pPr>
              <w:ind w:left="1140"/>
              <w:spacing w:after="0"/>
              <w:rPr>
                <w:sz w:val="20"/>
                <w:szCs w:val="20"/>
                <w:color w:val="auto"/>
              </w:rPr>
            </w:pPr>
            <w:r>
              <w:rPr>
                <w:rFonts w:ascii="Arial" w:cs="Arial" w:eastAsia="Arial" w:hAnsi="Arial"/>
                <w:sz w:val="18"/>
                <w:szCs w:val="18"/>
                <w:color w:val="auto"/>
              </w:rPr>
              <w:t>Year Ending December 31,</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Lease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Lease</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2021</w:t>
            </w:r>
          </w:p>
        </w:tc>
        <w:tc>
          <w:tcPr>
            <w:tcW w:w="11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7,458</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top w:val="single" w:sz="8" w:color="EEEEEE"/>
            </w:tcBorders>
            <w:shd w:val="clear" w:color="auto" w:fill="EEEEE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1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1,397</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EEEE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2024</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1160" w:type="dxa"/>
            <w:vAlign w:val="bottom"/>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spacing w:after="0"/>
              <w:rPr>
                <w:sz w:val="19"/>
                <w:szCs w:val="19"/>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spacing w:after="0"/>
              <w:rPr>
                <w:sz w:val="19"/>
                <w:szCs w:val="19"/>
                <w:color w:val="auto"/>
              </w:rPr>
            </w:pPr>
          </w:p>
        </w:tc>
        <w:tc>
          <w:tcPr>
            <w:tcW w:w="15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EEEE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Less amounts representing interest</w:t>
            </w:r>
          </w:p>
        </w:tc>
        <w:tc>
          <w:tcPr>
            <w:tcW w:w="1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Lease Liability</w:t>
            </w:r>
          </w:p>
        </w:tc>
        <w:tc>
          <w:tcPr>
            <w:tcW w:w="1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1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627"/>
              <w:spacing w:after="0"/>
              <w:rPr>
                <w:sz w:val="20"/>
                <w:szCs w:val="20"/>
                <w:color w:val="auto"/>
              </w:rPr>
            </w:pPr>
            <w:r>
              <w:rPr>
                <w:rFonts w:ascii="Arial" w:cs="Arial" w:eastAsia="Arial" w:hAnsi="Arial"/>
                <w:sz w:val="18"/>
                <w:szCs w:val="18"/>
                <w:color w:val="auto"/>
              </w:rPr>
              <w:t>F-31</w:t>
            </w: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leases expense included in Occupancy, General and administrative on our Condensed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80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cost</w:t>
            </w:r>
          </w:p>
        </w:tc>
        <w:tc>
          <w:tcPr>
            <w:tcW w:w="2220" w:type="dxa"/>
            <w:vAlign w:val="bottom"/>
            <w:gridSpan w:val="2"/>
            <w:shd w:val="clear" w:color="auto" w:fill="EEEEEE"/>
          </w:tcPr>
          <w:p>
            <w:pPr>
              <w:jc w:val="right"/>
              <w:ind w:right="727"/>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7,523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7,521</w:t>
            </w:r>
          </w:p>
        </w:tc>
        <w:tc>
          <w:tcPr>
            <w:tcW w:w="6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7,124</w:t>
            </w:r>
          </w:p>
        </w:tc>
        <w:tc>
          <w:tcPr>
            <w:tcW w:w="100" w:type="dxa"/>
            <w:vAlign w:val="bottom"/>
            <w:shd w:val="clear" w:color="auto" w:fill="EEEEEE"/>
          </w:tcPr>
          <w:p>
            <w:pPr>
              <w:spacing w:after="0"/>
              <w:rPr>
                <w:sz w:val="18"/>
                <w:szCs w:val="18"/>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Finance lease cost</w:t>
            </w: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1,179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lease cost</w:t>
            </w: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8,702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7,681</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w w:val="97"/>
              </w:rPr>
              <w:t>Cash paid for amounts included in the measurement of lease liabilities:</w:t>
            </w:r>
          </w:p>
        </w:tc>
        <w:tc>
          <w:tcPr>
            <w:tcW w:w="4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1400" w:type="dxa"/>
            <w:vAlign w:val="bottom"/>
            <w:gridSpan w:val="2"/>
            <w:shd w:val="clear" w:color="auto" w:fill="EEEEEE"/>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3"/>
              </w:rPr>
              <w:t>7,762</w:t>
            </w:r>
          </w:p>
        </w:tc>
        <w:tc>
          <w:tcPr>
            <w:tcW w:w="46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7,584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1,007</w:t>
            </w:r>
          </w:p>
        </w:tc>
        <w:tc>
          <w:tcPr>
            <w:tcW w:w="46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4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172</w:t>
            </w: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2020,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December 31, 2020 is immaterial, and that the range of reasonably possible losses for the legal proceedings and contingencies we face, including those described or identified above, as of December 31, 2020 does not exceed $3 million.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Employee Benefits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$1.4 million, $1.6 million, and $1.5 respectively, for the years ended December 31, 2020, 2019 and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sponsor a defined benefit plan, the MFN Financial Corporation Pension Plan (the “Plan”). The Plan benefits were frozen on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represents a reconciliation of the change in the plan’s benefit obligations, fair value of plan assets, and funded status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3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20" w:type="dxa"/>
            <w:vAlign w:val="bottom"/>
            <w:vMerge w:val="continue"/>
          </w:tcPr>
          <w:p>
            <w:pPr>
              <w:spacing w:after="0"/>
              <w:rPr>
                <w:sz w:val="17"/>
                <w:szCs w:val="17"/>
                <w:color w:val="auto"/>
              </w:rPr>
            </w:pPr>
          </w:p>
        </w:tc>
        <w:tc>
          <w:tcPr>
            <w:tcW w:w="3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Projected benefit obligation, beginning of year</w:t>
            </w:r>
          </w:p>
        </w:tc>
        <w:tc>
          <w:tcPr>
            <w:tcW w:w="426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w w:val="98"/>
              </w:rPr>
              <w:t>22,997</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20,085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Service cost</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693</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Assumption changes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2,418</w:t>
            </w:r>
          </w:p>
        </w:tc>
        <w:tc>
          <w:tcPr>
            <w:tcW w:w="5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Actuarial (gain) loss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(89)</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Settlements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32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(1,341)</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0"/>
        </w:trPr>
        <w:tc>
          <w:tcPr>
            <w:tcW w:w="4420" w:type="dxa"/>
            <w:vAlign w:val="bottom"/>
          </w:tcPr>
          <w:p>
            <w:pPr>
              <w:ind w:left="180"/>
              <w:spacing w:after="0"/>
              <w:rPr>
                <w:sz w:val="20"/>
                <w:szCs w:val="20"/>
                <w:color w:val="auto"/>
              </w:rPr>
            </w:pPr>
            <w:r>
              <w:rPr>
                <w:rFonts w:ascii="Arial" w:cs="Arial" w:eastAsia="Arial" w:hAnsi="Arial"/>
                <w:sz w:val="18"/>
                <w:szCs w:val="18"/>
                <w:color w:val="auto"/>
              </w:rPr>
              <w:t>Projected benefit obligation, end of year</w:t>
            </w:r>
          </w:p>
        </w:tc>
        <w:tc>
          <w:tcPr>
            <w:tcW w:w="3240" w:type="dxa"/>
            <w:vAlign w:val="bottom"/>
          </w:tcPr>
          <w:p>
            <w:pPr>
              <w:spacing w:after="0"/>
              <w:rPr>
                <w:sz w:val="18"/>
                <w:szCs w:val="18"/>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24,678</w:t>
            </w:r>
          </w:p>
        </w:tc>
        <w:tc>
          <w:tcPr>
            <w:tcW w:w="32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18"/>
                <w:szCs w:val="18"/>
                <w:color w:val="auto"/>
              </w:rPr>
            </w:pP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Fair value of plan assets, beginning of year</w:t>
            </w:r>
          </w:p>
        </w:tc>
        <w:tc>
          <w:tcPr>
            <w:tcW w:w="426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w w:val="98"/>
              </w:rPr>
              <w:t>15,910</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14,368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Return on assets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2,775</w:t>
            </w:r>
          </w:p>
        </w:tc>
        <w:tc>
          <w:tcPr>
            <w:tcW w:w="50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Employer contribution</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1,161</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Expenses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(340)</w:t>
            </w:r>
          </w:p>
        </w:tc>
        <w:tc>
          <w:tcPr>
            <w:tcW w:w="5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Benefits paid</w:t>
            </w:r>
          </w:p>
        </w:tc>
        <w:tc>
          <w:tcPr>
            <w:tcW w:w="3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(1,341)</w:t>
            </w:r>
          </w:p>
        </w:tc>
        <w:tc>
          <w:tcPr>
            <w:tcW w:w="5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9"/>
        </w:trPr>
        <w:tc>
          <w:tcPr>
            <w:tcW w:w="44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Fair value of plan assets, end of year</w:t>
            </w:r>
          </w:p>
        </w:tc>
        <w:tc>
          <w:tcPr>
            <w:tcW w:w="3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18,165</w:t>
            </w:r>
          </w:p>
        </w:tc>
        <w:tc>
          <w:tcPr>
            <w:tcW w:w="3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15,910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EEEEEE"/>
            </w:tcBorders>
          </w:tcPr>
          <w:p>
            <w:pPr>
              <w:spacing w:after="0"/>
              <w:rPr>
                <w:sz w:val="19"/>
                <w:szCs w:val="19"/>
                <w:color w:val="auto"/>
              </w:rPr>
            </w:pPr>
          </w:p>
        </w:tc>
        <w:tc>
          <w:tcPr>
            <w:tcW w:w="324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Funded Status at end of year</w:t>
            </w:r>
          </w:p>
        </w:tc>
        <w:tc>
          <w:tcPr>
            <w:tcW w:w="324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(6,513</w:t>
            </w:r>
          </w:p>
        </w:tc>
        <w:tc>
          <w:tcPr>
            <w:tcW w:w="320" w:type="dxa"/>
            <w:vAlign w:val="bottom"/>
            <w:tcBorders>
              <w:bottom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4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790"/>
              <w:spacing w:after="0"/>
              <w:rPr>
                <w:sz w:val="20"/>
                <w:szCs w:val="20"/>
                <w:color w:val="auto"/>
              </w:rPr>
            </w:pPr>
            <w:r>
              <w:rPr>
                <w:rFonts w:ascii="Arial" w:cs="Arial" w:eastAsia="Arial" w:hAnsi="Arial"/>
                <w:sz w:val="18"/>
                <w:szCs w:val="18"/>
                <w:color w:val="auto"/>
              </w:rPr>
              <w:t>F-33</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assumptions used to determine benefit obligations and cost at December 31, 2020 and 2019 were as follows:</w:t>
      </w:r>
    </w:p>
    <w:p>
      <w:pPr>
        <w:spacing w:after="0" w:line="200" w:lineRule="exact"/>
        <w:rPr>
          <w:sz w:val="20"/>
          <w:szCs w:val="20"/>
          <w:color w:val="auto"/>
        </w:rPr>
      </w:pPr>
    </w:p>
    <w:p>
      <w:pPr>
        <w:spacing w:after="0" w:line="251"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7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8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7.25%</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7.25%</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overall expected long-term rate of return on assets is 7.25% per annum as of December 31, 2020. The expected long-term rate of return is based on the weighted average of historical returns on individual asset categories, which are described in more detail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95"/>
              </w:rPr>
              <w:t>(In thousands)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240" w:type="dxa"/>
            <w:vAlign w:val="bottom"/>
            <w:gridSpan w:val="2"/>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w w:val="94"/>
              </w:rPr>
              <w:t>(6,513)</w:t>
            </w: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Arial" w:cs="Arial" w:eastAsia="Arial" w:hAnsi="Arial"/>
                <w:sz w:val="18"/>
                <w:szCs w:val="18"/>
                <w:color w:val="auto"/>
              </w:rPr>
              <w:t>(7,087)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23"/>
        </w:trPr>
        <w:tc>
          <w:tcPr>
            <w:tcW w:w="60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(6,513</w:t>
            </w:r>
          </w:p>
        </w:tc>
        <w:tc>
          <w:tcPr>
            <w:tcW w:w="360" w:type="dxa"/>
            <w:vAlign w:val="bottom"/>
            <w:tcBorders>
              <w:top w:val="single" w:sz="8" w:color="EEEEEE"/>
              <w:bottom w:val="single" w:sz="8" w:color="EEEEEE"/>
            </w:tcBorders>
            <w:shd w:val="clear" w:color="auto" w:fill="EEEEEE"/>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(7,087</w:t>
            </w:r>
          </w:p>
        </w:tc>
        <w:tc>
          <w:tcPr>
            <w:tcW w:w="180" w:type="dxa"/>
            <w:vAlign w:val="bottom"/>
            <w:tcBorders>
              <w:top w:val="single" w:sz="8" w:color="EEEEEE"/>
              <w:bottom w:val="single" w:sz="8" w:color="EEEEEE"/>
            </w:tcBorders>
            <w:shd w:val="clear" w:color="auto" w:fill="EEEEEE"/>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2"/>
              </w:rPr>
              <w:t>Amounts recognized in accumulated other comprehensive loss consists of:</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w w:val="87"/>
              </w:rPr>
              <w:t>13,297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13,092</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11,896</w:t>
            </w:r>
          </w:p>
        </w:tc>
        <w:tc>
          <w:tcPr>
            <w:tcW w:w="0" w:type="dxa"/>
            <w:vAlign w:val="bottom"/>
          </w:tcPr>
          <w:p>
            <w:pPr>
              <w:spacing w:after="0"/>
              <w:rPr>
                <w:sz w:val="1"/>
                <w:szCs w:val="1"/>
                <w:color w:val="auto"/>
              </w:rPr>
            </w:pPr>
          </w:p>
        </w:tc>
      </w:tr>
      <w:tr>
        <w:trPr>
          <w:trHeight w:val="230"/>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Unrecognized transition asset</w:t>
            </w:r>
          </w:p>
        </w:tc>
        <w:tc>
          <w:tcPr>
            <w:tcW w:w="38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bottom w:val="single" w:sz="8" w:color="EEEEEE"/>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13,297</w:t>
            </w:r>
          </w:p>
        </w:tc>
        <w:tc>
          <w:tcPr>
            <w:tcW w:w="36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13,092</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11,896</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240" w:type="dxa"/>
            <w:vAlign w:val="bottom"/>
            <w:gridSpan w:val="2"/>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808</w:t>
            </w:r>
          </w:p>
        </w:tc>
        <w:tc>
          <w:tcPr>
            <w:tcW w:w="4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w w:val="94"/>
              </w:rPr>
              <w:t>(1,150)</w:t>
            </w:r>
          </w:p>
        </w:tc>
        <w:tc>
          <w:tcPr>
            <w:tcW w:w="10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0"/>
        </w:trPr>
        <w:tc>
          <w:tcPr>
            <w:tcW w:w="60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Settlement (gain)/loss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9"/>
              </w:rPr>
              <w:t>Benefit Obligation Recognized in Other Comprehensive Loss (Income)</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loss (gain)</w:t>
            </w:r>
          </w:p>
        </w:tc>
        <w:tc>
          <w:tcPr>
            <w:tcW w:w="12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1,197</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Prior service cost (credit)</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amount recognized in other comprehensive loss (income)</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net loss that will be amortized from accumulated other comprehensive income into net periodic benefit cost in 2020 is $148,000.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asset allocation of our pension benefits at December 31, 2020 and 2019 were as follows:</w:t>
      </w:r>
    </w:p>
    <w:p>
      <w:pPr>
        <w:spacing w:after="0" w:line="200" w:lineRule="exact"/>
        <w:rPr>
          <w:sz w:val="20"/>
          <w:szCs w:val="20"/>
          <w:color w:val="auto"/>
        </w:rPr>
      </w:pPr>
    </w:p>
    <w:p>
      <w:pPr>
        <w:spacing w:after="0" w:line="251"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7660" w:type="dxa"/>
            <w:vAlign w:val="bottom"/>
          </w:tcPr>
          <w:p>
            <w:pPr>
              <w:spacing w:after="0" w:line="191" w:lineRule="exact"/>
              <w:rPr>
                <w:sz w:val="20"/>
                <w:szCs w:val="20"/>
                <w:color w:val="auto"/>
              </w:rPr>
            </w:pPr>
            <w:r>
              <w:rPr>
                <w:rFonts w:ascii="Arial" w:cs="Arial" w:eastAsia="Arial" w:hAnsi="Arial"/>
                <w:sz w:val="18"/>
                <w:szCs w:val="18"/>
                <w:b w:val="1"/>
                <w:bCs w:val="1"/>
                <w:color w:val="auto"/>
              </w:rPr>
              <w:t>Weighted Average Asset Allocation at Year-End</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w:t>
            </w:r>
          </w:p>
        </w:tc>
        <w:tc>
          <w:tcPr>
            <w:tcW w:w="16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29"/>
        </w:trPr>
        <w:tc>
          <w:tcPr>
            <w:tcW w:w="8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r>
      <w:tr>
        <w:trPr>
          <w:trHeight w:val="223"/>
        </w:trPr>
        <w:tc>
          <w:tcPr>
            <w:tcW w:w="766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34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896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2022</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933</w:t>
            </w:r>
          </w:p>
        </w:tc>
      </w:tr>
      <w:tr>
        <w:trPr>
          <w:trHeight w:val="216"/>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957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983</w:t>
            </w:r>
          </w:p>
        </w:tc>
      </w:tr>
      <w:tr>
        <w:trPr>
          <w:trHeight w:val="216"/>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1,026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Years 2026 - 2029</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5,678</w:t>
            </w:r>
          </w:p>
        </w:tc>
      </w:tr>
      <w:tr>
        <w:trPr>
          <w:trHeight w:val="216"/>
        </w:trPr>
        <w:tc>
          <w:tcPr>
            <w:tcW w:w="6740" w:type="dxa"/>
            <w:vAlign w:val="bottom"/>
            <w:shd w:val="clear" w:color="auto" w:fill="EEEEEE"/>
          </w:tcPr>
          <w:p>
            <w:pPr>
              <w:spacing w:after="0"/>
              <w:rPr>
                <w:sz w:val="18"/>
                <w:szCs w:val="18"/>
                <w:color w:val="auto"/>
              </w:rPr>
            </w:pP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Anticipated Contributions in 2021</w:t>
            </w:r>
          </w:p>
        </w:tc>
        <w:tc>
          <w:tcPr>
            <w:tcW w:w="3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522</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plan assets at December 31, 2020 and 2019, by asset category,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3"/>
          </w:tcPr>
          <w:p>
            <w:pPr>
              <w:jc w:val="right"/>
              <w:ind w:right="561"/>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 (2)</w:t>
            </w:r>
          </w:p>
        </w:tc>
        <w:tc>
          <w:tcPr>
            <w:tcW w:w="1160" w:type="dxa"/>
            <w:vAlign w:val="bottom"/>
          </w:tcPr>
          <w:p>
            <w:pPr>
              <w:jc w:val="right"/>
              <w:ind w:right="21"/>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right"/>
              <w:ind w:right="741"/>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3,811</w:t>
            </w:r>
          </w:p>
        </w:tc>
        <w:tc>
          <w:tcPr>
            <w:tcW w:w="3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1001"/>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2,523</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757</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765</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785</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Blend</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691</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2,342</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3,003</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1,809</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381</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485</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813</w:t>
            </w:r>
          </w:p>
        </w:tc>
        <w:tc>
          <w:tcPr>
            <w:tcW w:w="116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3,811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14,354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ind w:right="100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3"/>
          </w:tcPr>
          <w:p>
            <w:pPr>
              <w:jc w:val="right"/>
              <w:ind w:right="561"/>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 (2)</w:t>
            </w:r>
          </w:p>
        </w:tc>
        <w:tc>
          <w:tcPr>
            <w:tcW w:w="1160" w:type="dxa"/>
            <w:vAlign w:val="bottom"/>
          </w:tcPr>
          <w:p>
            <w:pPr>
              <w:jc w:val="right"/>
              <w:ind w:right="21"/>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right"/>
              <w:ind w:right="741"/>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2,950</w:t>
            </w:r>
          </w:p>
        </w:tc>
        <w:tc>
          <w:tcPr>
            <w:tcW w:w="3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1001"/>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2,370</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658</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655</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674</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Blend</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683</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2,342</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2,667</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1,909</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116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509</w:t>
            </w:r>
          </w:p>
        </w:tc>
        <w:tc>
          <w:tcPr>
            <w:tcW w:w="11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16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12,960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ind w:right="100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15,910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________________________</w:t>
      </w:r>
    </w:p>
    <w:p>
      <w:pPr>
        <w:spacing w:after="0" w:line="9" w:lineRule="exact"/>
        <w:rPr>
          <w:sz w:val="20"/>
          <w:szCs w:val="20"/>
          <w:color w:val="auto"/>
        </w:rPr>
      </w:pPr>
    </w:p>
    <w:p>
      <w:pPr>
        <w:ind w:left="740" w:hanging="327"/>
        <w:spacing w:after="0"/>
        <w:tabs>
          <w:tab w:leader="none" w:pos="7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237" w:lineRule="exact"/>
        <w:rPr>
          <w:rFonts w:ascii="Arial" w:cs="Arial" w:eastAsia="Arial" w:hAnsi="Arial"/>
          <w:sz w:val="18"/>
          <w:szCs w:val="18"/>
          <w:i w:val="1"/>
          <w:iCs w:val="1"/>
          <w:color w:val="auto"/>
        </w:rPr>
      </w:pPr>
    </w:p>
    <w:p>
      <w:pPr>
        <w:ind w:left="740" w:hanging="327"/>
        <w:spacing w:after="0"/>
        <w:tabs>
          <w:tab w:leader="none" w:pos="7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252" w:lineRule="exact"/>
        <w:rPr>
          <w:rFonts w:ascii="Arial" w:cs="Arial" w:eastAsia="Arial" w:hAnsi="Arial"/>
          <w:sz w:val="18"/>
          <w:szCs w:val="18"/>
          <w:i w:val="1"/>
          <w:iCs w:val="1"/>
          <w:color w:val="auto"/>
        </w:rPr>
      </w:pPr>
    </w:p>
    <w:p>
      <w:pPr>
        <w:ind w:left="740" w:hanging="327"/>
        <w:spacing w:after="0"/>
        <w:tabs>
          <w:tab w:leader="none" w:pos="7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Fair Value Measurements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00" w:lineRule="exact"/>
        <w:rPr>
          <w:sz w:val="20"/>
          <w:szCs w:val="20"/>
          <w:color w:val="auto"/>
        </w:rPr>
      </w:pPr>
    </w:p>
    <w:p>
      <w:pPr>
        <w:spacing w:after="0" w:line="2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Twelve Months Ended</w:t>
      </w:r>
    </w:p>
    <w:p>
      <w:pPr>
        <w:spacing w:after="0" w:line="27"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2117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4"/>
          </w:tcPr>
          <w:p>
            <w:pPr>
              <w:jc w:val="right"/>
              <w:ind w:right="49"/>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1,444,038</w:t>
            </w:r>
          </w:p>
        </w:tc>
        <w:tc>
          <w:tcPr>
            <w:tcW w:w="3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38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821,066</w:t>
            </w:r>
          </w:p>
        </w:tc>
        <w:tc>
          <w:tcPr>
            <w:tcW w:w="100" w:type="dxa"/>
            <w:vAlign w:val="bottom"/>
            <w:shd w:val="clear" w:color="auto" w:fill="EEEEEE"/>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739,734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1,004,194</w:t>
            </w:r>
          </w:p>
        </w:tc>
        <w:tc>
          <w:tcPr>
            <w:tcW w:w="100" w:type="dxa"/>
            <w:vAlign w:val="bottom"/>
          </w:tcPr>
          <w:p>
            <w:pPr>
              <w:spacing w:after="0"/>
              <w:rPr>
                <w:sz w:val="18"/>
                <w:szCs w:val="18"/>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6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(496,747)</w:t>
            </w: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(292,948)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(133,771)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(90,383)</w:t>
            </w:r>
          </w:p>
        </w:tc>
      </w:tr>
      <w:tr>
        <w:trPr>
          <w:trHeight w:val="230"/>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6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(29,528)</w:t>
            </w:r>
          </w:p>
        </w:tc>
        <w:tc>
          <w:tcPr>
            <w:tcW w:w="2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EEEEEE"/>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6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1,523,726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1,444,038</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4"/>
          </w:tcPr>
          <w:p>
            <w:pPr>
              <w:ind w:left="66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2019</w:t>
            </w:r>
          </w:p>
        </w:tc>
      </w:tr>
      <w:tr>
        <w:trPr>
          <w:trHeight w:val="205"/>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44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28"/>
        </w:trPr>
        <w:tc>
          <w:tcPr>
            <w:tcW w:w="4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1,668,076</w:t>
            </w: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1,523,726</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1,492,803</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1,444,038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ectPr>
          <w:pgSz w:w="11900" w:h="16838" w:orient="portrait"/>
          <w:cols w:equalWidth="0" w:num="1">
            <w:col w:w="11240"/>
          </w:cols>
          <w:pgMar w:left="320" w:top="796" w:right="339" w:bottom="1440" w:gutter="0" w:footer="0" w:header="0"/>
        </w:sectPr>
      </w:pPr>
    </w:p>
    <w:p>
      <w:pPr>
        <w:spacing w:after="0" w:line="22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Schedule of level 3 fair value measurements</w:t>
      </w:r>
    </w:p>
    <w:p>
      <w:pPr>
        <w:spacing w:after="0"/>
        <w:rPr>
          <w:sz w:val="20"/>
          <w:szCs w:val="20"/>
          <w:color w:val="auto"/>
        </w:rPr>
      </w:pPr>
      <w:r>
        <w:rPr>
          <w:rFonts w:ascii="Arial" w:cs="Arial" w:eastAsia="Arial" w:hAnsi="Arial"/>
          <w:sz w:val="18"/>
          <w:szCs w:val="18"/>
          <w:b w:val="1"/>
          <w:bCs w:val="1"/>
          <w:u w:val="single" w:color="auto"/>
          <w:color w:val="auto"/>
        </w:rPr>
        <w:t>Financial Instrument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Fair Values as of</w:t>
            </w:r>
          </w:p>
        </w:tc>
        <w:tc>
          <w:tcPr>
            <w:tcW w:w="20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b w:val="1"/>
                <w:bCs w:val="1"/>
                <w:color w:val="auto"/>
                <w:w w:val="89"/>
              </w:rPr>
              <w:t>Inputs as of</w:t>
            </w:r>
          </w:p>
        </w:tc>
      </w:tr>
      <w:tr>
        <w:trPr>
          <w:trHeight w:val="205"/>
        </w:trPr>
        <w:tc>
          <w:tcPr>
            <w:tcW w:w="250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0"/>
              </w:rPr>
              <w:t>December 31,</w:t>
            </w:r>
          </w:p>
        </w:tc>
        <w:tc>
          <w:tcPr>
            <w:tcW w:w="2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00" w:type="dxa"/>
            <w:vAlign w:val="bottom"/>
          </w:tcPr>
          <w:p>
            <w:pPr>
              <w:jc w:val="center"/>
              <w:ind w:right="970"/>
              <w:spacing w:after="0" w:line="205"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0" w:type="dxa"/>
            <w:vAlign w:val="bottom"/>
          </w:tcPr>
          <w:p>
            <w:pPr>
              <w:ind w:left="260"/>
              <w:spacing w:after="0"/>
              <w:rPr>
                <w:sz w:val="20"/>
                <w:szCs w:val="20"/>
                <w:color w:val="auto"/>
              </w:rPr>
            </w:pPr>
            <w:r>
              <w:rPr>
                <w:rFonts w:ascii="Arial" w:cs="Arial" w:eastAsia="Arial" w:hAnsi="Arial"/>
                <w:sz w:val="18"/>
                <w:szCs w:val="18"/>
                <w:b w:val="1"/>
                <w:bCs w:val="1"/>
                <w:u w:val="single" w:color="auto"/>
                <w:color w:val="auto"/>
                <w:w w:val="96"/>
              </w:rPr>
              <w:t>Unobservable Inputs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9891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sectPr>
          <w:pgSz w:w="11900" w:h="16838" w:orient="portrait"/>
          <w:cols w:equalWidth="0" w:num="2">
            <w:col w:w="2560" w:space="720"/>
            <w:col w:w="796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w w:val="96"/>
              </w:rPr>
              <w:t>Finance receivables measured at fair value  $</w:t>
            </w:r>
          </w:p>
        </w:tc>
        <w:tc>
          <w:tcPr>
            <w:tcW w:w="10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1,523,726</w:t>
            </w:r>
          </w:p>
        </w:tc>
        <w:tc>
          <w:tcPr>
            <w:tcW w:w="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1,444,038</w:t>
            </w:r>
          </w:p>
        </w:tc>
        <w:tc>
          <w:tcPr>
            <w:tcW w:w="1940" w:type="dxa"/>
            <w:vAlign w:val="bottom"/>
            <w:shd w:val="clear" w:color="auto" w:fill="EEEEEE"/>
          </w:tcPr>
          <w:p>
            <w:pPr>
              <w:jc w:val="center"/>
              <w:ind w:right="10"/>
              <w:spacing w:after="0"/>
              <w:rPr>
                <w:sz w:val="20"/>
                <w:szCs w:val="20"/>
                <w:color w:val="auto"/>
              </w:rPr>
            </w:pPr>
            <w:r>
              <w:rPr>
                <w:rFonts w:ascii="Arial" w:cs="Arial" w:eastAsia="Arial" w:hAnsi="Arial"/>
                <w:sz w:val="18"/>
                <w:szCs w:val="18"/>
                <w:color w:val="auto"/>
                <w:w w:val="90"/>
              </w:rPr>
              <w:t>Discount rate</w:t>
            </w:r>
          </w:p>
        </w:tc>
        <w:tc>
          <w:tcPr>
            <w:tcW w:w="16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10.4% - 11.1%</w:t>
            </w:r>
          </w:p>
        </w:tc>
        <w:tc>
          <w:tcPr>
            <w:tcW w:w="172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8.9% - 11.1%</w:t>
            </w:r>
          </w:p>
        </w:tc>
      </w:tr>
      <w:tr>
        <w:trPr>
          <w:trHeight w:val="230"/>
        </w:trPr>
        <w:tc>
          <w:tcPr>
            <w:tcW w:w="3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89"/>
              </w:rPr>
              <w:t>Cumulative net losses</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15.3% - 18.4%</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15.0% - 16.1%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delinquency status using the contractual balance of these finance receivables measured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December 31, 2019:</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3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1,505,486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1,344,883</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96,296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81,262</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4320" w:type="dxa"/>
            <w:vAlign w:val="bottom"/>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36,436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34,280</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9,607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15,167</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Repo</w:t>
            </w: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20,251</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17,211</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1,668,076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1,492,803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Repossessed vehicle inventory, which is included in Other assets on our consolidated balance sheet, is measured at fair value using level 2 assumptions based on our actual loss experience on sale of repossessed vehicles. At December 31, 2020, the finance receivables related to the repossessed vehicles in inventory totaled $15.6 million . We have applied a valuation adjustment, or loss allowance, of $11.8 million, which is based on a recovery rate of approximately 24%, resulting in an estimated fair value and carrying amount of $3.8 million. The fair value and carrying amount of the repossessed inventory at December 31, 2019 was $7.5 million after applying a valuation adjustment of $21.4 million .</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2020 and 2019. We have no level 3 assets or liabilities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December 31, 2020 and 2019,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As of December 31, 2020</w:t>
            </w: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6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13,466</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13,466</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130,686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130,686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411,343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429,972</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429,972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118,999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118,999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118,999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4,919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4,919</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1,803,673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1,862,630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1,862,630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21,323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21,323</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661"/>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As of December 31, 2019</w:t>
            </w: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6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5,295</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5,295</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135,537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135,537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135,537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885,890</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841,160</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841,160</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11,645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134,791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134,791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134,791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5,254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5,254</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2,097,728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2,116,520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2,116,520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17,534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17,534</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27, 2021 we executed our first securitization of 2021. In the transaction, qualified institutional buyers purchased $230.5 million of asset-backed notes secured by $245.0 million in automobile receivables originated by CPS. The sold notes, issued by CPS Auto Receivables Trust 2021-A,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1.11%.</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2021-A transaction has initial credit enhancement consisting of a cash deposit equal to 1.00% of the original receivable pool balance and overcollateralization of 5.90%. The transaction agreements require accelerated payment of principal on the notes to reach overcollateralization of the lesser of 9.30% of the original receivable pool balance, or 32.05% of the then outstanding pool balance. The transaction utilizes a pre-funding structure, in which CPS sold approximately $184.4 million of receivables at inception approximately $60.6 million of additional receivables in February 2021.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Exhibit 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Registrant Consumer Portfolio Services,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09"/>
        </w:trPr>
        <w:tc>
          <w:tcPr>
            <w:tcW w:w="5880" w:type="dxa"/>
            <w:vAlign w:val="bottom"/>
            <w:tcBorders>
              <w:left w:val="single" w:sz="8" w:color="auto"/>
              <w:bottom w:val="single" w:sz="8" w:color="auto"/>
              <w:right w:val="single" w:sz="8" w:color="auto"/>
            </w:tcBorders>
          </w:tcPr>
          <w:p>
            <w:pPr>
              <w:spacing w:after="0"/>
              <w:rPr>
                <w:sz w:val="18"/>
                <w:szCs w:val="18"/>
                <w:color w:val="auto"/>
              </w:rPr>
            </w:pPr>
          </w:p>
        </w:tc>
        <w:tc>
          <w:tcPr>
            <w:tcW w:w="5360" w:type="dxa"/>
            <w:vAlign w:val="bottom"/>
            <w:tcBorders>
              <w:bottom w:val="single" w:sz="8" w:color="auto"/>
              <w:right w:val="single" w:sz="8" w:color="auto"/>
            </w:tcBorders>
          </w:tcPr>
          <w:p>
            <w:pPr>
              <w:spacing w:after="0"/>
              <w:rPr>
                <w:sz w:val="18"/>
                <w:szCs w:val="18"/>
                <w:color w:val="auto"/>
              </w:rPr>
            </w:pPr>
          </w:p>
        </w:tc>
      </w:tr>
      <w:tr>
        <w:trPr>
          <w:trHeight w:val="209"/>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CPS Receivables Five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Six Funding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09"/>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Seven Funding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09"/>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Nine Funding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Folio Residual Holdings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which would not constitute a significant subsidiary if considered collectively as a single subsidiary, are omitted.</w:t>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consent to the incorporation by reference in Registration Statement Nos. 333-168976 and 333-190766 on Form S-1, Nos. 333-152969 and 333-204492 on Form S-3, and Nos. 333-58199, 333-35758, 333-75594, 333-115622, 333-135907, 333-161448, 333-166892 and 333-193926 on form S-8 of Consumer Portfolio Services, Inc. of our report dated March 10, 2021 relating to the financial statements appearing in this Annual Report on Form 10-K.</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10, 2021</w:t>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2019 of Consumer Portfolio Services, Inc.;</w:t>
      </w:r>
    </w:p>
    <w:p>
      <w:pPr>
        <w:spacing w:after="0" w:line="236" w:lineRule="exact"/>
        <w:rPr>
          <w:rFonts w:ascii="Arial" w:cs="Arial" w:eastAsia="Arial" w:hAnsi="Arial"/>
          <w:sz w:val="17"/>
          <w:szCs w:val="17"/>
          <w:color w:val="auto"/>
        </w:rPr>
      </w:pPr>
    </w:p>
    <w:p>
      <w:pPr>
        <w:ind w:left="820" w:hanging="812"/>
        <w:spacing w:after="0" w:line="263"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60" w:hanging="812"/>
        <w:spacing w:after="0" w:line="308"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812"/>
        <w:spacing w:after="0" w:line="291"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ind w:left="820" w:right="80" w:hanging="812"/>
        <w:spacing w:after="0" w:line="342" w:lineRule="auto"/>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25"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20"/>
          </w:cols>
          <w:pgMar w:left="320" w:top="125" w:right="35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225" w:lineRule="exact"/>
        <w:rPr>
          <w:sz w:val="20"/>
          <w:szCs w:val="20"/>
          <w:color w:val="auto"/>
        </w:rPr>
      </w:pPr>
    </w:p>
    <w:p>
      <w:pPr>
        <w:ind w:left="820" w:hanging="812"/>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2019 of Consumer Portfolio Services, Inc.;</w:t>
      </w:r>
    </w:p>
    <w:p>
      <w:pPr>
        <w:spacing w:after="0" w:line="236" w:lineRule="exact"/>
        <w:rPr>
          <w:rFonts w:ascii="Arial" w:cs="Arial" w:eastAsia="Arial" w:hAnsi="Arial"/>
          <w:sz w:val="17"/>
          <w:szCs w:val="17"/>
          <w:color w:val="auto"/>
        </w:rPr>
      </w:pPr>
    </w:p>
    <w:p>
      <w:pPr>
        <w:ind w:left="820" w:hanging="812"/>
        <w:spacing w:after="0" w:line="263"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60" w:hanging="812"/>
        <w:spacing w:after="0" w:line="308"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812"/>
        <w:spacing w:after="0" w:line="291"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ind w:left="820" w:right="80" w:hanging="812"/>
        <w:spacing w:after="0" w:line="342"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25"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20"/>
          </w:cols>
          <w:pgMar w:left="320" w:top="125" w:right="3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2020, as filed with the Securities and Exchange Commission on March 10, 2021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140"/>
      </w:cols>
      <w:pgMar w:left="32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4"/>
    </w:lvl>
  </w:abstractNum>
  <w:abstractNum w:abstractNumId="22">
    <w:nsid w:val="836C40E"/>
    <w:multiLevelType w:val="hybridMultilevel"/>
    <w:lvl w:ilvl="0">
      <w:lvlJc w:val="left"/>
      <w:lvlText w:val="%1"/>
      <w:numFmt w:val="decimal"/>
      <w:start w:val="14"/>
    </w:lvl>
  </w:abstractNum>
  <w:abstractNum w:abstractNumId="23">
    <w:nsid w:val="2901D82"/>
    <w:multiLevelType w:val="hybridMultilevel"/>
    <w:lvl w:ilvl="0">
      <w:lvlJc w:val="left"/>
      <w:lvlText w:val="%1"/>
      <w:numFmt w:val="decimal"/>
      <w:start w:val="21"/>
    </w:lvl>
  </w:abstractNum>
  <w:abstractNum w:abstractNumId="24">
    <w:nsid w:val="3A95F874"/>
    <w:multiLevelType w:val="hybridMultilevel"/>
    <w:lvl w:ilvl="0">
      <w:lvlJc w:val="left"/>
      <w:lvlText w:val="%1"/>
      <w:numFmt w:val="decimal"/>
      <w:start w:val="32"/>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5"/>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6"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77" Type="http://schemas.openxmlformats.org/officeDocument/2006/relationships/hyperlink" Target="http://www.sec.gov/Archives/edgar/data/889609/000088960909000010/exh3-1.htm" TargetMode="External"/><Relationship Id="rId78" Type="http://schemas.openxmlformats.org/officeDocument/2006/relationships/hyperlink" Target="http://www.sec.gov/Archives/edgar/data/889609/000088960910000073/cpssex313.htm" TargetMode="External"/><Relationship Id="rId79" Type="http://schemas.openxmlformats.org/officeDocument/2006/relationships/hyperlink" Target="http://www.sec.gov/Archives/edgar/data/889609/000088960909000032/cpssexhibit33.htm" TargetMode="External"/><Relationship Id="rId80" Type="http://schemas.openxmlformats.org/officeDocument/2006/relationships/hyperlink" Target="http://www.sec.gov/Archives/edgar/data/889609/000101968705000040/cps_s2ex4-1.txt" TargetMode="External"/><Relationship Id="rId81" Type="http://schemas.openxmlformats.org/officeDocument/2006/relationships/hyperlink" Target="http://www.sec.gov/Archives/edgar/data/889609/000101968705000040/cps_s2ex4-2.txt" TargetMode="External"/><Relationship Id="rId82" Type="http://schemas.openxmlformats.org/officeDocument/2006/relationships/hyperlink" Target="http://www.sec.gov/Archives/edgar/data/889609/000088960910000033/cpssexh41.htm" TargetMode="External"/><Relationship Id="rId83" Type="http://schemas.openxmlformats.org/officeDocument/2006/relationships/hyperlink" Target="http://www.sec.gov/Archives/edgar/data/889609/000088960910000033/cpss42.htm" TargetMode="External"/><Relationship Id="rId84" Type="http://schemas.openxmlformats.org/officeDocument/2006/relationships/hyperlink" Target="http://www.sec.gov/Archives/edgar/data/889609/000088960910000059/cpssex43_dtd121207.htm" TargetMode="External"/><Relationship Id="rId85" Type="http://schemas.openxmlformats.org/officeDocument/2006/relationships/hyperlink" Target="http://www.sec.gov/Archives/edgar/data/889609/000101968714000228/cps_s1a1-ex0404.htm" TargetMode="External"/><Relationship Id="rId86" Type="http://schemas.openxmlformats.org/officeDocument/2006/relationships/hyperlink" Target="http://www.sec.gov/Archives/edgar/data/889609/000088960915000030/cpss8kaexh461_dtd150625.htm" TargetMode="External"/><Relationship Id="rId87" Type="http://schemas.openxmlformats.org/officeDocument/2006/relationships/hyperlink" Target="http://www.sec.gov/Archives/edgar/data/889609/000088960915000030/cpss8kaex462_dtd150625.htm" TargetMode="External"/><Relationship Id="rId88" Type="http://schemas.openxmlformats.org/officeDocument/2006/relationships/hyperlink" Target="http://www.sec.gov/Archives/edgar/data/889609/000088960915000041/cpss8kex463_dtd150916.htm" TargetMode="External"/><Relationship Id="rId89" Type="http://schemas.openxmlformats.org/officeDocument/2006/relationships/hyperlink" Target="http://www.sec.gov/Archives/edgar/data/889609/000088960915000041/cpss8kex464_dtd150916.htm" TargetMode="External"/><Relationship Id="rId90" Type="http://schemas.openxmlformats.org/officeDocument/2006/relationships/hyperlink" Target="http://www.sec.gov/Archives/edgar/data/889609/000088960916000054/cpss10qa_exh465dtd160502.htm" TargetMode="External"/><Relationship Id="rId91" Type="http://schemas.openxmlformats.org/officeDocument/2006/relationships/hyperlink" Target="http://www.sec.gov/Archives/edgar/data/889609/000088960916000054/cpss10qa_exh466dtd160502.htm" TargetMode="External"/><Relationship Id="rId92" Type="http://schemas.openxmlformats.org/officeDocument/2006/relationships/hyperlink" Target="http://www.sec.gov/Archives/edgar/data/889609/000088960916000054/cpss10qa_exh467dtd160502.htm" TargetMode="External"/><Relationship Id="rId93" Type="http://schemas.openxmlformats.org/officeDocument/2006/relationships/hyperlink" Target="http://www.sec.gov/Archives/edgar/data/889609/000088960916000054/cpss10qa_exh468dtd160502.htm" TargetMode="External"/><Relationship Id="rId94" Type="http://schemas.openxmlformats.org/officeDocument/2006/relationships/hyperlink" Target="http://www.sec.gov/Archives/edgar/data/889609/000101968716007049/cps_8k-ex0469.htm" TargetMode="External"/><Relationship Id="rId95" Type="http://schemas.openxmlformats.org/officeDocument/2006/relationships/hyperlink" Target="http://www.sec.gov/Archives/edgar/data/889609/000101968716007049/cps_8k-ex0470.htm" TargetMode="External"/><Relationship Id="rId97" Type="http://schemas.openxmlformats.org/officeDocument/2006/relationships/hyperlink" Target="http://www.sec.gov/Archives/edgar/data/889609/000101968705001015/cps_s2a1ex10-20.txt" TargetMode="External"/><Relationship Id="rId98" Type="http://schemas.openxmlformats.org/officeDocument/2006/relationships/hyperlink" Target="http://www.sec.gov/Archives/edgar/data/889609/000101968706000537/cps_10kex10-0201.txt" TargetMode="External"/><Relationship Id="rId99" Type="http://schemas.openxmlformats.org/officeDocument/2006/relationships/hyperlink" Target="http://www.sec.gov/Archives/edgar/data/889609/000101968715001620/cps_def14a.htm" TargetMode="External"/><Relationship Id="rId100" Type="http://schemas.openxmlformats.org/officeDocument/2006/relationships/hyperlink" Target="http://www.sec.gov/Archives/edgar/data/889609/000101968707000676/cps_10kex14-1.txt" TargetMode="External"/><Relationship Id="rId101" Type="http://schemas.openxmlformats.org/officeDocument/2006/relationships/hyperlink" Target="http://www.sec.gov/Archives/edgar/data/889609/000088960909000053/cpsslongterm2006.htm" TargetMode="External"/><Relationship Id="rId102" Type="http://schemas.openxmlformats.org/officeDocument/2006/relationships/hyperlink" Target="http://www.sec.gov/Archives/edgar/data/889609/000101968706000537/cps_10kex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2021-03-10T16:20:30Z</dcterms:created>
  <dcterms:modified xsi:type="dcterms:W3CDTF">2021-03-10T16:20:30Z</dcterms:modified>
</cp:coreProperties>
</file>